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left"/>
      </w:pPr>
      <w:r>
        <w:rPr>
          <w:rFonts w:ascii="Arial" w:hAnsi="Arial"/>
          <w:b/>
          <w:color w:val="111111"/>
          <w:sz w:val="50"/>
        </w:rPr>
        <w:t>Global AI Compliance White Paper 2026</w:t>
      </w:r>
    </w:p>
    <w:p>
      <w:r>
        <w:rPr>
          <w:rFonts w:ascii="Arial" w:hAnsi="Arial"/>
          <w:color w:val="3B82F6"/>
          <w:sz w:val="24"/>
        </w:rPr>
        <w:t>Evaluation Results Scored Draft - DOCX editable derivative</w:t>
      </w:r>
    </w:p>
    <w:p>
      <w:r>
        <w:rPr>
          <w:i/>
          <w:sz w:val="17"/>
        </w:rPr>
        <w:t>This DOCX is an editable derivative generated from the same active source used by the HTML renderer. HTML/PDF remain the visual source of truth.</w:t>
      </w:r>
    </w:p>
    <w:p>
      <w:r>
        <w:br w:type="page"/>
      </w:r>
    </w:p>
    <w:p>
      <w:pPr>
        <w:spacing w:after="56"/>
      </w:pPr>
      <w:r>
        <w:t>From Model Governance to Agentic Lifecycle Conformance</w:t>
      </w:r>
    </w:p>
    <w:p>
      <w:pPr>
        <w:spacing w:after="56"/>
      </w:pPr>
      <w:r>
        <w:t>Document ID: GACWP-2026-v0.3.2-FRC-R3</w:t>
      </w:r>
    </w:p>
    <w:p>
      <w:pPr>
        <w:spacing w:after="56"/>
      </w:pPr>
      <w:r>
        <w:t>Version: v0.3.2 Final Release Candidate R3</w:t>
      </w:r>
    </w:p>
    <w:p>
      <w:pPr>
        <w:spacing w:after="56"/>
      </w:pPr>
      <w:r>
        <w:t>Trace Tag: GACWP-2026-v0.3.2-FRC-R3</w:t>
      </w:r>
    </w:p>
    <w:p>
      <w:pPr>
        <w:spacing w:after="56"/>
      </w:pPr>
      <w:r>
        <w:t>Publication Note: Publication Draft — non-legal technical governance analysis; not legal advice</w:t>
      </w:r>
    </w:p>
    <w:p>
      <w:pPr>
        <w:spacing w:after="56"/>
      </w:pPr>
      <w:r>
        <w:t>Compiled: May 2026</w:t>
      </w:r>
    </w:p>
    <w:p>
      <w:pPr>
        <w:spacing w:after="56"/>
      </w:pPr>
      <w:r>
        <w:t>Source Snapshot: Sources available and checked as of May 2026</w:t>
      </w:r>
    </w:p>
    <w:p>
      <w:pPr>
        <w:spacing w:after="56"/>
      </w:pPr>
      <w:r>
        <w:t>Scope Snapshot: Public-source technical governance analysis based on sources available and checked as of May 2026</w:t>
      </w:r>
    </w:p>
    <w:p>
      <w:pPr>
        <w:spacing w:after="56"/>
      </w:pPr>
      <w:r>
        <w:t>Author: Jearon Wong</w:t>
      </w:r>
    </w:p>
    <w:p>
      <w:pPr>
        <w:spacing w:after="56"/>
      </w:pPr>
      <w:r>
        <w:t>Role: Protocol Architect for the Agent Era</w:t>
      </w:r>
    </w:p>
    <w:p>
      <w:pPr>
        <w:spacing w:after="56"/>
      </w:pPr>
      <w:r>
        <w:t>Protocol Disclosure: Creator of MPLP — Multi-Agent Lifecycle Protocol</w:t>
      </w:r>
    </w:p>
    <w:p>
      <w:pPr>
        <w:spacing w:after="56"/>
      </w:pPr>
      <w:r>
        <w:t>Site: JearonWong.com</w:t>
      </w:r>
    </w:p>
    <w:p>
      <w:pPr>
        <w:pStyle w:val="Heading2"/>
      </w:pPr>
      <w:r>
        <w:t>Core Thesis</w:t>
      </w:r>
    </w:p>
    <w:p>
      <w:pPr>
        <w:spacing w:after="56"/>
      </w:pPr>
      <w:r>
        <w:t>AI Agent / MAS compliance is not only model compliance. It is lifecycle responsibility compliance.</w:t>
      </w:r>
    </w:p>
    <w:p>
      <w:pPr>
        <w:pStyle w:val="Heading2"/>
      </w:pPr>
      <w:r>
        <w:t>Document Control and Positioning</w:t>
      </w:r>
    </w:p>
    <w:p>
      <w:pPr>
        <w:keepNext/>
      </w:pPr>
      <w:r>
        <w:rPr>
          <w:b/>
          <w:sz w:val="16"/>
        </w:rPr>
        <w:t>Table T-FM-01: Document Control and Positioning</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Value</w:t>
            </w:r>
          </w:p>
        </w:tc>
      </w:tr>
      <w:tr>
        <w:tc>
          <w:tcPr>
            <w:tcW w:type="dxa" w:w="5112"/>
          </w:tcPr>
          <w:p>
            <w:pPr>
              <w:spacing w:after="0"/>
            </w:pPr>
            <w:r>
              <w:rPr>
                <w:rFonts w:ascii="Arial" w:hAnsi="Arial"/>
                <w:b w:val="0"/>
                <w:sz w:val="14"/>
              </w:rPr>
              <w:t>Document ID</w:t>
            </w:r>
          </w:p>
        </w:tc>
        <w:tc>
          <w:tcPr>
            <w:tcW w:type="dxa" w:w="5112"/>
          </w:tcPr>
          <w:p>
            <w:pPr>
              <w:spacing w:after="0"/>
            </w:pPr>
            <w:r>
              <w:rPr>
                <w:rFonts w:ascii="Arial" w:hAnsi="Arial"/>
                <w:b w:val="0"/>
                <w:sz w:val="14"/>
              </w:rPr>
              <w:t>GACWP-2026-v0.3.2-FRC-R3</w:t>
            </w:r>
          </w:p>
        </w:tc>
      </w:tr>
      <w:tr>
        <w:tc>
          <w:tcPr>
            <w:tcW w:type="dxa" w:w="5112"/>
          </w:tcPr>
          <w:p>
            <w:pPr>
              <w:spacing w:after="0"/>
            </w:pPr>
            <w:r>
              <w:rPr>
                <w:rFonts w:ascii="Arial" w:hAnsi="Arial"/>
                <w:b w:val="0"/>
                <w:sz w:val="14"/>
              </w:rPr>
              <w:t>Version</w:t>
            </w:r>
          </w:p>
        </w:tc>
        <w:tc>
          <w:tcPr>
            <w:tcW w:type="dxa" w:w="5112"/>
          </w:tcPr>
          <w:p>
            <w:pPr>
              <w:spacing w:after="0"/>
            </w:pPr>
            <w:r>
              <w:rPr>
                <w:rFonts w:ascii="Arial" w:hAnsi="Arial"/>
                <w:b w:val="0"/>
                <w:sz w:val="14"/>
              </w:rPr>
              <w:t>v0.3.2 Final Release Candidate R3</w:t>
            </w:r>
          </w:p>
        </w:tc>
      </w:tr>
      <w:tr>
        <w:tc>
          <w:tcPr>
            <w:tcW w:type="dxa" w:w="5112"/>
          </w:tcPr>
          <w:p>
            <w:pPr>
              <w:spacing w:after="0"/>
            </w:pPr>
            <w:r>
              <w:rPr>
                <w:rFonts w:ascii="Arial" w:hAnsi="Arial"/>
                <w:b w:val="0"/>
                <w:sz w:val="14"/>
              </w:rPr>
              <w:t>Status</w:t>
            </w:r>
          </w:p>
        </w:tc>
        <w:tc>
          <w:tcPr>
            <w:tcW w:type="dxa" w:w="5112"/>
          </w:tcPr>
          <w:p>
            <w:pPr>
              <w:spacing w:after="0"/>
            </w:pPr>
            <w:r>
              <w:rPr>
                <w:rFonts w:ascii="Arial" w:hAnsi="Arial"/>
                <w:b w:val="0"/>
                <w:sz w:val="14"/>
              </w:rPr>
              <w:t>Publication Draft — agenda-setting technical governance white paper; not legal advice</w:t>
            </w:r>
          </w:p>
        </w:tc>
      </w:tr>
      <w:tr>
        <w:tc>
          <w:tcPr>
            <w:tcW w:type="dxa" w:w="5112"/>
          </w:tcPr>
          <w:p>
            <w:pPr>
              <w:spacing w:after="0"/>
            </w:pPr>
            <w:r>
              <w:rPr>
                <w:rFonts w:ascii="Arial" w:hAnsi="Arial"/>
                <w:b w:val="0"/>
                <w:sz w:val="14"/>
              </w:rPr>
              <w:t>Author</w:t>
            </w:r>
          </w:p>
        </w:tc>
        <w:tc>
          <w:tcPr>
            <w:tcW w:type="dxa" w:w="5112"/>
          </w:tcPr>
          <w:p>
            <w:pPr>
              <w:spacing w:after="0"/>
            </w:pPr>
            <w:r>
              <w:rPr>
                <w:rFonts w:ascii="Arial" w:hAnsi="Arial"/>
                <w:b w:val="0"/>
                <w:sz w:val="14"/>
              </w:rPr>
              <w:t>Jearon Wong</w:t>
            </w:r>
          </w:p>
        </w:tc>
      </w:tr>
      <w:tr>
        <w:tc>
          <w:tcPr>
            <w:tcW w:type="dxa" w:w="5112"/>
          </w:tcPr>
          <w:p>
            <w:pPr>
              <w:spacing w:after="0"/>
            </w:pPr>
            <w:r>
              <w:rPr>
                <w:rFonts w:ascii="Arial" w:hAnsi="Arial"/>
                <w:b w:val="0"/>
                <w:sz w:val="14"/>
              </w:rPr>
              <w:t>Author role</w:t>
            </w:r>
          </w:p>
        </w:tc>
        <w:tc>
          <w:tcPr>
            <w:tcW w:type="dxa" w:w="5112"/>
          </w:tcPr>
          <w:p>
            <w:pPr>
              <w:spacing w:after="0"/>
            </w:pPr>
            <w:r>
              <w:rPr>
                <w:rFonts w:ascii="Arial" w:hAnsi="Arial"/>
                <w:b w:val="0"/>
                <w:sz w:val="14"/>
              </w:rPr>
              <w:t>Protocol Architect for the Agent Era</w:t>
            </w:r>
          </w:p>
        </w:tc>
      </w:tr>
      <w:tr>
        <w:tc>
          <w:tcPr>
            <w:tcW w:type="dxa" w:w="5112"/>
          </w:tcPr>
          <w:p>
            <w:pPr>
              <w:spacing w:after="0"/>
            </w:pPr>
            <w:r>
              <w:rPr>
                <w:rFonts w:ascii="Arial" w:hAnsi="Arial"/>
                <w:b w:val="0"/>
                <w:sz w:val="14"/>
              </w:rPr>
              <w:t>Author disclosure</w:t>
            </w:r>
          </w:p>
        </w:tc>
        <w:tc>
          <w:tcPr>
            <w:tcW w:type="dxa" w:w="5112"/>
          </w:tcPr>
          <w:p>
            <w:pPr>
              <w:spacing w:after="0"/>
            </w:pPr>
            <w:r>
              <w:rPr>
                <w:rFonts w:ascii="Arial" w:hAnsi="Arial"/>
                <w:b w:val="0"/>
                <w:sz w:val="14"/>
              </w:rPr>
              <w:t>Creator of MPLP — Multi-Agent Lifecycle Protocol</w:t>
            </w:r>
          </w:p>
        </w:tc>
      </w:tr>
      <w:tr>
        <w:tc>
          <w:tcPr>
            <w:tcW w:type="dxa" w:w="5112"/>
          </w:tcPr>
          <w:p>
            <w:pPr>
              <w:spacing w:after="0"/>
            </w:pPr>
            <w:r>
              <w:rPr>
                <w:rFonts w:ascii="Arial" w:hAnsi="Arial"/>
                <w:b w:val="0"/>
                <w:sz w:val="14"/>
              </w:rPr>
              <w:t>Site</w:t>
            </w:r>
          </w:p>
        </w:tc>
        <w:tc>
          <w:tcPr>
            <w:tcW w:type="dxa" w:w="5112"/>
          </w:tcPr>
          <w:p>
            <w:pPr>
              <w:spacing w:after="0"/>
            </w:pPr>
            <w:r>
              <w:rPr>
                <w:rFonts w:ascii="Arial" w:hAnsi="Arial"/>
                <w:b w:val="0"/>
                <w:sz w:val="14"/>
              </w:rPr>
              <w:t>JearonWong.com</w:t>
            </w:r>
          </w:p>
        </w:tc>
      </w:tr>
      <w:tr>
        <w:tc>
          <w:tcPr>
            <w:tcW w:type="dxa" w:w="5112"/>
          </w:tcPr>
          <w:p>
            <w:pPr>
              <w:spacing w:after="0"/>
            </w:pPr>
            <w:r>
              <w:rPr>
                <w:rFonts w:ascii="Arial" w:hAnsi="Arial"/>
                <w:b w:val="0"/>
                <w:sz w:val="14"/>
              </w:rPr>
              <w:t>Primary concept</w:t>
            </w:r>
          </w:p>
        </w:tc>
        <w:tc>
          <w:tcPr>
            <w:tcW w:type="dxa" w:w="5112"/>
          </w:tcPr>
          <w:p>
            <w:pPr>
              <w:spacing w:after="0"/>
            </w:pPr>
            <w:r>
              <w:rPr>
                <w:rFonts w:ascii="Arial" w:hAnsi="Arial"/>
                <w:b w:val="0"/>
                <w:sz w:val="14"/>
              </w:rPr>
              <w:t>AI Agent Lifecycle Governance</w:t>
            </w:r>
          </w:p>
        </w:tc>
      </w:tr>
      <w:tr>
        <w:tc>
          <w:tcPr>
            <w:tcW w:type="dxa" w:w="5112"/>
          </w:tcPr>
          <w:p>
            <w:pPr>
              <w:spacing w:after="0"/>
            </w:pPr>
            <w:r>
              <w:rPr>
                <w:rFonts w:ascii="Arial" w:hAnsi="Arial"/>
                <w:b w:val="0"/>
                <w:sz w:val="14"/>
              </w:rPr>
              <w:t>Primary transition</w:t>
            </w:r>
          </w:p>
        </w:tc>
        <w:tc>
          <w:tcPr>
            <w:tcW w:type="dxa" w:w="5112"/>
          </w:tcPr>
          <w:p>
            <w:pPr>
              <w:spacing w:after="0"/>
            </w:pPr>
            <w:r>
              <w:rPr>
                <w:rFonts w:ascii="Arial" w:hAnsi="Arial"/>
                <w:b w:val="0"/>
                <w:sz w:val="14"/>
              </w:rPr>
              <w:t>From model governance to agentic lifecycle conformance</w:t>
            </w:r>
          </w:p>
        </w:tc>
      </w:tr>
      <w:tr>
        <w:tc>
          <w:tcPr>
            <w:tcW w:type="dxa" w:w="5112"/>
          </w:tcPr>
          <w:p>
            <w:pPr>
              <w:spacing w:after="0"/>
            </w:pPr>
            <w:r>
              <w:rPr>
                <w:rFonts w:ascii="Arial" w:hAnsi="Arial"/>
                <w:b w:val="0"/>
                <w:sz w:val="14"/>
              </w:rPr>
              <w:t>Primary thesis</w:t>
            </w:r>
          </w:p>
        </w:tc>
        <w:tc>
          <w:tcPr>
            <w:tcW w:type="dxa" w:w="5112"/>
          </w:tcPr>
          <w:p>
            <w:pPr>
              <w:spacing w:after="0"/>
            </w:pPr>
            <w:r>
              <w:rPr>
                <w:rFonts w:ascii="Arial" w:hAnsi="Arial"/>
                <w:b w:val="0"/>
                <w:sz w:val="14"/>
              </w:rPr>
              <w:t>AI Agent / MAS compliance is not only model compliance. It is lifecycle responsibility compliance.</w:t>
            </w:r>
          </w:p>
        </w:tc>
      </w:tr>
      <w:tr>
        <w:tc>
          <w:tcPr>
            <w:tcW w:type="dxa" w:w="5112"/>
          </w:tcPr>
          <w:p>
            <w:pPr>
              <w:spacing w:after="0"/>
            </w:pPr>
            <w:r>
              <w:rPr>
                <w:rFonts w:ascii="Arial" w:hAnsi="Arial"/>
                <w:b w:val="0"/>
                <w:sz w:val="14"/>
              </w:rPr>
              <w:t>Protocol boundary</w:t>
            </w:r>
          </w:p>
        </w:tc>
        <w:tc>
          <w:tcPr>
            <w:tcW w:type="dxa" w:w="5112"/>
          </w:tcPr>
          <w:p>
            <w:pPr>
              <w:spacing w:after="0"/>
            </w:pPr>
            <w:r>
              <w:rPr>
                <w:rFonts w:ascii="Arial" w:hAnsi="Arial"/>
                <w:b w:val="0"/>
                <w:sz w:val="14"/>
              </w:rPr>
              <w:t>MPLP is discussed as a lifecycle protocol path, not as a certification program, legal authority, cloud platform, or exclusive compliance method.</w:t>
            </w:r>
          </w:p>
        </w:tc>
      </w:tr>
      <w:tr>
        <w:tc>
          <w:tcPr>
            <w:tcW w:type="dxa" w:w="5112"/>
          </w:tcPr>
          <w:p>
            <w:pPr>
              <w:spacing w:after="0"/>
            </w:pPr>
            <w:r>
              <w:rPr>
                <w:rFonts w:ascii="Arial" w:hAnsi="Arial"/>
                <w:b w:val="0"/>
                <w:sz w:val="14"/>
              </w:rPr>
              <w:t>Validation boundary</w:t>
            </w:r>
          </w:p>
        </w:tc>
        <w:tc>
          <w:tcPr>
            <w:tcW w:type="dxa" w:w="5112"/>
          </w:tcPr>
          <w:p>
            <w:pPr>
              <w:spacing w:after="0"/>
            </w:pPr>
            <w:r>
              <w:rPr>
                <w:rFonts w:ascii="Arial" w:hAnsi="Arial"/>
                <w:b w:val="0"/>
                <w:sz w:val="14"/>
              </w:rPr>
              <w:t>Validation Lab is referenced as a non-certifying evidence adjudication example, not as a regulator, conformity assessment body, certification authority, market endorsement program, or legal compliance certification mechanism.</w:t>
            </w:r>
          </w:p>
        </w:tc>
      </w:tr>
      <w:tr>
        <w:tc>
          <w:tcPr>
            <w:tcW w:type="dxa" w:w="5112"/>
          </w:tcPr>
          <w:p>
            <w:pPr>
              <w:spacing w:after="0"/>
            </w:pPr>
            <w:r>
              <w:rPr>
                <w:rFonts w:ascii="Arial" w:hAnsi="Arial"/>
                <w:b w:val="0"/>
                <w:sz w:val="14"/>
              </w:rPr>
              <w:t>Scoring boundary</w:t>
            </w:r>
          </w:p>
        </w:tc>
        <w:tc>
          <w:tcPr>
            <w:tcW w:type="dxa" w:w="5112"/>
          </w:tcPr>
          <w:p>
            <w:pPr>
              <w:spacing w:after="0"/>
            </w:pPr>
            <w:r>
              <w:rPr>
                <w:rFonts w:ascii="Arial" w:hAnsi="Arial"/>
                <w:b w:val="0"/>
                <w:sz w:val="14"/>
              </w:rPr>
              <w:t>RCCS/ALCS is an analytical scoring framework, not a legal compliance score.</w:t>
            </w:r>
          </w:p>
        </w:tc>
      </w:tr>
      <w:tr>
        <w:tc>
          <w:tcPr>
            <w:tcW w:type="dxa" w:w="5112"/>
          </w:tcPr>
          <w:p>
            <w:pPr>
              <w:spacing w:after="0"/>
            </w:pPr>
            <w:r>
              <w:rPr>
                <w:rFonts w:ascii="Arial" w:hAnsi="Arial"/>
                <w:b w:val="0"/>
                <w:sz w:val="14"/>
              </w:rPr>
              <w:t>System mapping boundary</w:t>
            </w:r>
          </w:p>
        </w:tc>
        <w:tc>
          <w:tcPr>
            <w:tcW w:type="dxa" w:w="5112"/>
          </w:tcPr>
          <w:p>
            <w:pPr>
              <w:spacing w:after="0"/>
            </w:pPr>
            <w:r>
              <w:rPr>
                <w:rFonts w:ascii="Arial" w:hAnsi="Arial"/>
                <w:b w:val="0"/>
                <w:sz w:val="14"/>
              </w:rPr>
              <w:t>System mappings are responsibility-semantics comparisons, not product endorsements or procurement recommendations.</w:t>
            </w:r>
          </w:p>
        </w:tc>
      </w:tr>
    </w:tbl>
    <w:p>
      <w:pPr>
        <w:pStyle w:val="Heading2"/>
      </w:pPr>
      <w:r>
        <w:t>Publication Scope and Boundary Statement</w:t>
      </w:r>
    </w:p>
    <w:p>
      <w:pPr>
        <w:spacing w:after="56"/>
      </w:pPr>
      <w:r>
        <w:t>This white paper is a non-legal technical governance analysis, not legal advice. It translates regulatory and standards language into engineering requirements for agentic and multi-agent systems.</w:t>
      </w:r>
    </w:p>
    <w:p>
      <w:pPr>
        <w:pStyle w:val="Heading3"/>
      </w:pPr>
      <w:r>
        <w:t>Purpose</w:t>
      </w:r>
    </w:p>
    <w:p>
      <w:pPr>
        <w:spacing w:after="56"/>
      </w:pPr>
      <w:r>
        <w:t>This research edition defines a missing semantic and engineering layer for AI agent and multi-agent system compliance. It is deliberately more detailed than an executive brief: the paper introduces a terminology layer, an object model, a dual scoring framework, system-specific mappings, comparative matrices, and implementation templates.</w:t>
      </w:r>
    </w:p>
    <w:p>
      <w:pPr>
        <w:pStyle w:val="Heading3"/>
      </w:pPr>
      <w:r>
        <w:t>What This Paper Does</w:t>
      </w:r>
    </w:p>
    <w:p>
      <w:pPr>
        <w:spacing w:after="56"/>
      </w:pPr>
      <w:r>
        <w:t>The paper does not claim that current AI regulation is absent or weak. The claim is narrower and more technical: current regulation and governance frameworks increasingly require human oversight, logging, documentation, monitoring, accountability, transparency, and privacy controls, but they do not yet fully specify the lifecycle objects required to prove those properties inside dynamic agentic and multi-agent execution.</w:t>
      </w:r>
    </w:p>
    <w:p>
      <w:pPr>
        <w:spacing w:after="56"/>
      </w:pPr>
      <w:r>
        <w:t>The report therefore separates three questions that are often confused:</w:t>
      </w:r>
    </w:p>
    <w:p>
      <w:pPr>
        <w:pStyle w:val="ListNumber"/>
        <w:spacing w:after="56"/>
      </w:pPr>
      <w:r>
        <w:t>What does existing regulation or governance guidance already require?</w:t>
      </w:r>
    </w:p>
    <w:p>
      <w:pPr>
        <w:pStyle w:val="ListNumber"/>
        <w:spacing w:after="56"/>
      </w:pPr>
      <w:r>
        <w:t>What must engineering systems represent to make those requirements testable in agentic workflows?</w:t>
      </w:r>
    </w:p>
    <w:p>
      <w:pPr>
        <w:pStyle w:val="ListNumber"/>
        <w:spacing w:after="56"/>
      </w:pPr>
      <w:r>
        <w:t>Which current frameworks, platforms, and protocols have primitives that can be mapped to those requirements, and where do their mappings stop?</w:t>
      </w:r>
    </w:p>
    <w:p>
      <w:pPr>
        <w:pStyle w:val="Heading3"/>
      </w:pPr>
      <w:r>
        <w:t>Scope Boundaries</w:t>
      </w:r>
    </w:p>
    <w:p>
      <w:pPr>
        <w:keepNext/>
      </w:pPr>
      <w:r>
        <w:rPr>
          <w:b/>
          <w:sz w:val="16"/>
        </w:rPr>
        <w:t>Table T-FM-02: Publication Scope Boundaries</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In Scope</w:t>
            </w:r>
          </w:p>
        </w:tc>
        <w:tc>
          <w:tcPr>
            <w:tcW w:type="dxa" w:w="5112"/>
          </w:tcPr>
          <w:p>
            <w:pPr>
              <w:spacing w:after="0"/>
            </w:pPr>
            <w:r>
              <w:rPr>
                <w:rFonts w:ascii="Arial" w:hAnsi="Arial"/>
                <w:b/>
                <w:sz w:val="14"/>
              </w:rPr>
              <w:t>Out of Scope</w:t>
            </w:r>
          </w:p>
        </w:tc>
      </w:tr>
      <w:tr>
        <w:tc>
          <w:tcPr>
            <w:tcW w:type="dxa" w:w="5112"/>
          </w:tcPr>
          <w:p>
            <w:pPr>
              <w:spacing w:after="0"/>
            </w:pPr>
            <w:r>
              <w:rPr>
                <w:rFonts w:ascii="Arial" w:hAnsi="Arial"/>
                <w:b w:val="0"/>
                <w:sz w:val="14"/>
              </w:rPr>
              <w:t>Agentic AI lifecycle responsibility</w:t>
            </w:r>
          </w:p>
        </w:tc>
        <w:tc>
          <w:tcPr>
            <w:tcW w:type="dxa" w:w="5112"/>
          </w:tcPr>
          <w:p>
            <w:pPr>
              <w:spacing w:after="0"/>
            </w:pPr>
            <w:r>
              <w:rPr>
                <w:rFonts w:ascii="Arial" w:hAnsi="Arial"/>
                <w:b w:val="0"/>
                <w:sz w:val="14"/>
              </w:rPr>
              <w:t>Legal advice for any specific jurisdiction</w:t>
            </w:r>
          </w:p>
        </w:tc>
      </w:tr>
      <w:tr>
        <w:tc>
          <w:tcPr>
            <w:tcW w:type="dxa" w:w="5112"/>
          </w:tcPr>
          <w:p>
            <w:pPr>
              <w:spacing w:after="0"/>
            </w:pPr>
            <w:r>
              <w:rPr>
                <w:rFonts w:ascii="Arial" w:hAnsi="Arial"/>
                <w:b w:val="0"/>
                <w:sz w:val="14"/>
              </w:rPr>
              <w:t>Multi-agent system responsibility transfer</w:t>
            </w:r>
          </w:p>
        </w:tc>
        <w:tc>
          <w:tcPr>
            <w:tcW w:type="dxa" w:w="5112"/>
          </w:tcPr>
          <w:p>
            <w:pPr>
              <w:spacing w:after="0"/>
            </w:pPr>
            <w:r>
              <w:rPr>
                <w:rFonts w:ascii="Arial" w:hAnsi="Arial"/>
                <w:b w:val="0"/>
                <w:sz w:val="14"/>
              </w:rPr>
              <w:t>Political content moderation regimes</w:t>
            </w:r>
          </w:p>
        </w:tc>
      </w:tr>
      <w:tr>
        <w:tc>
          <w:tcPr>
            <w:tcW w:type="dxa" w:w="5112"/>
          </w:tcPr>
          <w:p>
            <w:pPr>
              <w:spacing w:after="0"/>
            </w:pPr>
            <w:r>
              <w:rPr>
                <w:rFonts w:ascii="Arial" w:hAnsi="Arial"/>
                <w:b w:val="0"/>
                <w:sz w:val="14"/>
              </w:rPr>
              <w:t>Evidence, provenance, record-keeping, replay</w:t>
            </w:r>
          </w:p>
        </w:tc>
        <w:tc>
          <w:tcPr>
            <w:tcW w:type="dxa" w:w="5112"/>
          </w:tcPr>
          <w:p>
            <w:pPr>
              <w:spacing w:after="0"/>
            </w:pPr>
            <w:r>
              <w:rPr>
                <w:rFonts w:ascii="Arial" w:hAnsi="Arial"/>
                <w:b w:val="0"/>
                <w:sz w:val="14"/>
              </w:rPr>
              <w:t>Certification issuance or conformity assessment</w:t>
            </w:r>
          </w:p>
        </w:tc>
      </w:tr>
      <w:tr>
        <w:tc>
          <w:tcPr>
            <w:tcW w:type="dxa" w:w="5112"/>
          </w:tcPr>
          <w:p>
            <w:pPr>
              <w:spacing w:after="0"/>
            </w:pPr>
            <w:r>
              <w:rPr>
                <w:rFonts w:ascii="Arial" w:hAnsi="Arial"/>
                <w:b w:val="0"/>
                <w:sz w:val="14"/>
              </w:rPr>
              <w:t>Human oversight as an engineering control</w:t>
            </w:r>
          </w:p>
        </w:tc>
        <w:tc>
          <w:tcPr>
            <w:tcW w:type="dxa" w:w="5112"/>
          </w:tcPr>
          <w:p>
            <w:pPr>
              <w:spacing w:after="0"/>
            </w:pPr>
            <w:r>
              <w:rPr>
                <w:rFonts w:ascii="Arial" w:hAnsi="Arial"/>
                <w:b w:val="0"/>
                <w:sz w:val="14"/>
              </w:rPr>
              <w:t>Claims of regulatory approval</w:t>
            </w:r>
          </w:p>
        </w:tc>
      </w:tr>
      <w:tr>
        <w:tc>
          <w:tcPr>
            <w:tcW w:type="dxa" w:w="5112"/>
          </w:tcPr>
          <w:p>
            <w:pPr>
              <w:spacing w:after="0"/>
            </w:pPr>
            <w:r>
              <w:rPr>
                <w:rFonts w:ascii="Arial" w:hAnsi="Arial"/>
                <w:b w:val="0"/>
                <w:sz w:val="14"/>
              </w:rPr>
              <w:t>Privacy-preserving validation and selective disclosure</w:t>
            </w:r>
          </w:p>
        </w:tc>
        <w:tc>
          <w:tcPr>
            <w:tcW w:type="dxa" w:w="5112"/>
          </w:tcPr>
          <w:p>
            <w:pPr>
              <w:spacing w:after="0"/>
            </w:pPr>
            <w:r>
              <w:rPr>
                <w:rFonts w:ascii="Arial" w:hAnsi="Arial"/>
                <w:b w:val="0"/>
                <w:sz w:val="14"/>
              </w:rPr>
              <w:t>Full product security review of each vendor</w:t>
            </w:r>
          </w:p>
        </w:tc>
      </w:tr>
      <w:tr>
        <w:tc>
          <w:tcPr>
            <w:tcW w:type="dxa" w:w="5112"/>
          </w:tcPr>
          <w:p>
            <w:pPr>
              <w:spacing w:after="0"/>
            </w:pPr>
            <w:r>
              <w:rPr>
                <w:rFonts w:ascii="Arial" w:hAnsi="Arial"/>
                <w:b w:val="0"/>
                <w:sz w:val="14"/>
              </w:rPr>
              <w:t>Framework and platform semantic mapping</w:t>
            </w:r>
          </w:p>
        </w:tc>
        <w:tc>
          <w:tcPr>
            <w:tcW w:type="dxa" w:w="5112"/>
          </w:tcPr>
          <w:p>
            <w:pPr>
              <w:spacing w:after="0"/>
            </w:pPr>
            <w:r>
              <w:rPr>
                <w:rFonts w:ascii="Arial" w:hAnsi="Arial"/>
                <w:b w:val="0"/>
                <w:sz w:val="14"/>
              </w:rPr>
              <w:t>Performance benchmarking or model quality ranking</w:t>
            </w:r>
          </w:p>
        </w:tc>
      </w:tr>
    </w:tbl>
    <w:p>
      <w:pPr>
        <w:pStyle w:val="Heading2"/>
      </w:pPr>
      <w:r>
        <w:t>Conflict of Interest and Boundary Disclosure</w:t>
      </w:r>
    </w:p>
    <w:p>
      <w:pPr>
        <w:pStyle w:val="Heading3"/>
      </w:pPr>
      <w:r>
        <w:t>Conflict of Interest</w:t>
      </w:r>
    </w:p>
    <w:p>
      <w:pPr>
        <w:spacing w:after="56"/>
      </w:pPr>
      <w:r>
        <w:t>The author is the creator of MPLP - Multi-Agent Lifecycle Protocol. MPLP is one of the systems discussed in this paper. This creates an inherent conflict of interest. The conflict does not invalidate the analysis, but it must be disclosed clearly because this paper argues for a lifecycle protocol layer and then maps MPLP to that layer.</w:t>
      </w:r>
    </w:p>
    <w:p>
      <w:pPr>
        <w:pStyle w:val="Heading3"/>
      </w:pPr>
      <w:r>
        <w:t>Boundary Controls</w:t>
      </w:r>
    </w:p>
    <w:p>
      <w:pPr>
        <w:spacing w:after="56"/>
      </w:pPr>
      <w:r>
        <w:t>The controls used to limit over-claiming are as follows:</w:t>
      </w:r>
    </w:p>
    <w:p>
      <w:pPr>
        <w:keepNext/>
      </w:pPr>
      <w:r>
        <w:rPr>
          <w:b/>
          <w:sz w:val="16"/>
        </w:rPr>
        <w:t>Table T-FM-03: Conflict of Interest Boundary Controls</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Boundary</w:t>
            </w:r>
          </w:p>
        </w:tc>
        <w:tc>
          <w:tcPr>
            <w:tcW w:type="dxa" w:w="3408"/>
          </w:tcPr>
          <w:p>
            <w:pPr>
              <w:spacing w:after="0"/>
            </w:pPr>
            <w:r>
              <w:rPr>
                <w:rFonts w:ascii="Arial" w:hAnsi="Arial"/>
                <w:b/>
                <w:sz w:val="14"/>
              </w:rPr>
              <w:t>Required Wording</w:t>
            </w:r>
          </w:p>
        </w:tc>
        <w:tc>
          <w:tcPr>
            <w:tcW w:type="dxa" w:w="3408"/>
          </w:tcPr>
          <w:p>
            <w:pPr>
              <w:spacing w:after="0"/>
            </w:pPr>
            <w:r>
              <w:rPr>
                <w:rFonts w:ascii="Arial" w:hAnsi="Arial"/>
                <w:b/>
                <w:sz w:val="14"/>
              </w:rPr>
              <w:t>Forbidden Wording</w:t>
            </w:r>
          </w:p>
        </w:tc>
      </w:tr>
      <w:tr>
        <w:tc>
          <w:tcPr>
            <w:tcW w:type="dxa" w:w="3408"/>
          </w:tcPr>
          <w:p>
            <w:pPr>
              <w:spacing w:after="0"/>
            </w:pPr>
            <w:r>
              <w:rPr>
                <w:rFonts w:ascii="Arial" w:hAnsi="Arial"/>
                <w:b w:val="0"/>
                <w:sz w:val="14"/>
              </w:rPr>
              <w:t>MPLP</w:t>
            </w:r>
          </w:p>
        </w:tc>
        <w:tc>
          <w:tcPr>
            <w:tcW w:type="dxa" w:w="3408"/>
          </w:tcPr>
          <w:p>
            <w:pPr>
              <w:spacing w:after="0"/>
            </w:pPr>
            <w:r>
              <w:rPr>
                <w:rFonts w:ascii="Arial" w:hAnsi="Arial"/>
                <w:b w:val="0"/>
                <w:sz w:val="14"/>
              </w:rPr>
              <w:t>A lifecycle protocol path for expressing agentic responsibility objects</w:t>
            </w:r>
          </w:p>
        </w:tc>
        <w:tc>
          <w:tcPr>
            <w:tcW w:type="dxa" w:w="3408"/>
          </w:tcPr>
          <w:p>
            <w:pPr>
              <w:spacing w:after="0"/>
            </w:pPr>
            <w:r>
              <w:rPr>
                <w:rFonts w:ascii="Arial" w:hAnsi="Arial"/>
                <w:b w:val="0"/>
                <w:sz w:val="14"/>
              </w:rPr>
              <w:t>The only compliant standard</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A non-certifying evidence adjudication example</w:t>
            </w:r>
          </w:p>
        </w:tc>
        <w:tc>
          <w:tcPr>
            <w:tcW w:type="dxa" w:w="3408"/>
          </w:tcPr>
          <w:p>
            <w:pPr>
              <w:spacing w:after="0"/>
            </w:pPr>
            <w:r>
              <w:rPr>
                <w:rFonts w:ascii="Arial" w:hAnsi="Arial"/>
                <w:b w:val="0"/>
                <w:sz w:val="14"/>
              </w:rPr>
              <w:t>A certification authority</w:t>
            </w:r>
          </w:p>
        </w:tc>
      </w:tr>
      <w:tr>
        <w:tc>
          <w:tcPr>
            <w:tcW w:type="dxa" w:w="3408"/>
          </w:tcPr>
          <w:p>
            <w:pPr>
              <w:spacing w:after="0"/>
            </w:pPr>
            <w:r>
              <w:rPr>
                <w:rFonts w:ascii="Arial" w:hAnsi="Arial"/>
                <w:b w:val="0"/>
                <w:sz w:val="14"/>
              </w:rPr>
              <w:t>RCCS/ALCS</w:t>
            </w:r>
          </w:p>
        </w:tc>
        <w:tc>
          <w:tcPr>
            <w:tcW w:type="dxa" w:w="3408"/>
          </w:tcPr>
          <w:p>
            <w:pPr>
              <w:spacing w:after="0"/>
            </w:pPr>
            <w:r>
              <w:rPr>
                <w:rFonts w:ascii="Arial" w:hAnsi="Arial"/>
                <w:b w:val="0"/>
                <w:sz w:val="14"/>
              </w:rPr>
              <w:t>A proposed analytical scoring framework</w:t>
            </w:r>
          </w:p>
        </w:tc>
        <w:tc>
          <w:tcPr>
            <w:tcW w:type="dxa" w:w="3408"/>
          </w:tcPr>
          <w:p>
            <w:pPr>
              <w:spacing w:after="0"/>
            </w:pPr>
            <w:r>
              <w:rPr>
                <w:rFonts w:ascii="Arial" w:hAnsi="Arial"/>
                <w:b w:val="0"/>
                <w:sz w:val="14"/>
              </w:rPr>
              <w:t>A regulator-approved benchmark</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A mapping of public primitives to lifecycle objects</w:t>
            </w:r>
          </w:p>
        </w:tc>
        <w:tc>
          <w:tcPr>
            <w:tcW w:type="dxa" w:w="3408"/>
          </w:tcPr>
          <w:p>
            <w:pPr>
              <w:spacing w:after="0"/>
            </w:pPr>
            <w:r>
              <w:rPr>
                <w:rFonts w:ascii="Arial" w:hAnsi="Arial"/>
                <w:b w:val="0"/>
                <w:sz w:val="14"/>
              </w:rPr>
              <w:t>A final legal compliance judgment</w:t>
            </w:r>
          </w:p>
        </w:tc>
      </w:tr>
      <w:tr>
        <w:tc>
          <w:tcPr>
            <w:tcW w:type="dxa" w:w="3408"/>
          </w:tcPr>
          <w:p>
            <w:pPr>
              <w:spacing w:after="0"/>
            </w:pPr>
            <w:r>
              <w:rPr>
                <w:rFonts w:ascii="Arial" w:hAnsi="Arial"/>
                <w:b w:val="0"/>
                <w:sz w:val="14"/>
              </w:rPr>
              <w:t>AI Agent Lifecycle Governance</w:t>
            </w:r>
          </w:p>
        </w:tc>
        <w:tc>
          <w:tcPr>
            <w:tcW w:type="dxa" w:w="3408"/>
          </w:tcPr>
          <w:p>
            <w:pPr>
              <w:spacing w:after="0"/>
            </w:pPr>
            <w:r>
              <w:rPr>
                <w:rFonts w:ascii="Arial" w:hAnsi="Arial"/>
                <w:b w:val="0"/>
                <w:sz w:val="14"/>
              </w:rPr>
              <w:t>A missing semantic and engineering layer</w:t>
            </w:r>
          </w:p>
        </w:tc>
        <w:tc>
          <w:tcPr>
            <w:tcW w:type="dxa" w:w="3408"/>
          </w:tcPr>
          <w:p>
            <w:pPr>
              <w:spacing w:after="0"/>
            </w:pPr>
            <w:r>
              <w:rPr>
                <w:rFonts w:ascii="Arial" w:hAnsi="Arial"/>
                <w:b w:val="0"/>
                <w:sz w:val="14"/>
              </w:rPr>
              <w:t>A binding regulatory standard</w:t>
            </w:r>
          </w:p>
        </w:tc>
      </w:tr>
    </w:tbl>
    <w:p>
      <w:pPr>
        <w:spacing w:after="56"/>
      </w:pPr>
      <w:r>
        <w:t>This boundary discipline strengthens the paper. The argument does not need to claim that MPLP is the only path. It only needs to show that agentic AI compliance requires lifecycle responsibility objects and that MPLP is one coherent way to express such objects.</w:t>
      </w:r>
    </w:p>
    <w:p>
      <w:pPr>
        <w:pStyle w:val="Heading2"/>
      </w:pPr>
      <w:r>
        <w:t>Citation and Evidence Basis</w:t>
      </w:r>
    </w:p>
    <w:p>
      <w:pPr>
        <w:spacing w:after="56"/>
      </w:pPr>
      <w:r>
        <w:t>This paper uses a five-level evidence hierarchy to ensure that claims are grounded in verifiable sources rather than marketing language or conceptual speculation.</w:t>
      </w:r>
    </w:p>
    <w:p>
      <w:pPr>
        <w:pStyle w:val="Heading3"/>
      </w:pPr>
      <w:r>
        <w:t>Evidence Levels</w:t>
      </w:r>
    </w:p>
    <w:p>
      <w:pPr>
        <w:keepNext/>
      </w:pPr>
      <w:r>
        <w:rPr>
          <w:b/>
          <w:sz w:val="16"/>
        </w:rPr>
        <w:t>Table T-FM-04: Evidence Levels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Level</w:t>
            </w:r>
          </w:p>
        </w:tc>
        <w:tc>
          <w:tcPr>
            <w:tcW w:type="dxa" w:w="2556"/>
          </w:tcPr>
          <w:p>
            <w:pPr>
              <w:spacing w:after="0"/>
            </w:pPr>
            <w:r>
              <w:rPr>
                <w:rFonts w:ascii="Arial" w:hAnsi="Arial"/>
                <w:b/>
                <w:sz w:val="14"/>
              </w:rPr>
              <w:t>Evidence Type</w:t>
            </w:r>
          </w:p>
        </w:tc>
        <w:tc>
          <w:tcPr>
            <w:tcW w:type="dxa" w:w="2556"/>
          </w:tcPr>
          <w:p>
            <w:pPr>
              <w:spacing w:after="0"/>
            </w:pPr>
            <w:r>
              <w:rPr>
                <w:rFonts w:ascii="Arial" w:hAnsi="Arial"/>
                <w:b/>
                <w:sz w:val="14"/>
              </w:rPr>
              <w:t>Use in This Paper</w:t>
            </w:r>
          </w:p>
        </w:tc>
        <w:tc>
          <w:tcPr>
            <w:tcW w:type="dxa" w:w="2556"/>
          </w:tcPr>
          <w:p>
            <w:pPr>
              <w:spacing w:after="0"/>
            </w:pPr>
            <w:r>
              <w:rPr>
                <w:rFonts w:ascii="Arial" w:hAnsi="Arial"/>
                <w:b/>
                <w:sz w:val="14"/>
              </w:rPr>
              <w:t>Confidence</w:t>
            </w:r>
          </w:p>
        </w:tc>
      </w:tr>
      <w:tr>
        <w:tc>
          <w:tcPr>
            <w:tcW w:type="dxa" w:w="2556"/>
          </w:tcPr>
          <w:p>
            <w:pPr>
              <w:spacing w:after="0"/>
            </w:pPr>
            <w:r>
              <w:rPr>
                <w:rFonts w:ascii="Arial" w:hAnsi="Arial"/>
                <w:b w:val="0"/>
                <w:sz w:val="14"/>
              </w:rPr>
              <w:t>L1</w:t>
            </w:r>
          </w:p>
        </w:tc>
        <w:tc>
          <w:tcPr>
            <w:tcW w:type="dxa" w:w="2556"/>
          </w:tcPr>
          <w:p>
            <w:pPr>
              <w:spacing w:after="0"/>
            </w:pPr>
            <w:r>
              <w:rPr>
                <w:rFonts w:ascii="Arial" w:hAnsi="Arial"/>
                <w:b w:val="0"/>
                <w:sz w:val="14"/>
              </w:rPr>
              <w:t>Binding legal, regulatory, or formal standards text</w:t>
            </w:r>
          </w:p>
        </w:tc>
        <w:tc>
          <w:tcPr>
            <w:tcW w:type="dxa" w:w="2556"/>
          </w:tcPr>
          <w:p>
            <w:pPr>
              <w:spacing w:after="0"/>
            </w:pPr>
            <w:r>
              <w:rPr>
                <w:rFonts w:ascii="Arial" w:hAnsi="Arial"/>
                <w:b w:val="0"/>
                <w:sz w:val="14"/>
              </w:rPr>
              <w:t>Used for baseline obligations and formal object requirements; does not prove implementation</w:t>
            </w:r>
          </w:p>
        </w:tc>
        <w:tc>
          <w:tcPr>
            <w:tcW w:type="dxa" w:w="2556"/>
          </w:tcPr>
          <w:p>
            <w:pPr>
              <w:spacing w:after="0"/>
            </w:pPr>
            <w:r>
              <w:rPr>
                <w:rFonts w:ascii="Arial" w:hAnsi="Arial"/>
                <w:b w:val="0"/>
                <w:sz w:val="14"/>
              </w:rPr>
              <w:t>Highest</w:t>
            </w:r>
          </w:p>
        </w:tc>
      </w:tr>
      <w:tr>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Official product documentation, API docs, developer documentation, platform architecture docs</w:t>
            </w:r>
          </w:p>
        </w:tc>
        <w:tc>
          <w:tcPr>
            <w:tcW w:type="dxa" w:w="2556"/>
          </w:tcPr>
          <w:p>
            <w:pPr>
              <w:spacing w:after="0"/>
            </w:pPr>
            <w:r>
              <w:rPr>
                <w:rFonts w:ascii="Arial" w:hAnsi="Arial"/>
                <w:b w:val="0"/>
                <w:sz w:val="14"/>
              </w:rPr>
              <w:t>Used for system mapping and capability interpretation</w:t>
            </w:r>
          </w:p>
        </w:tc>
        <w:tc>
          <w:tcPr>
            <w:tcW w:type="dxa" w:w="2556"/>
          </w:tcPr>
          <w:p>
            <w:pPr>
              <w:spacing w:after="0"/>
            </w:pPr>
            <w:r>
              <w:rPr>
                <w:rFonts w:ascii="Arial" w:hAnsi="Arial"/>
                <w:b w:val="0"/>
                <w:sz w:val="14"/>
              </w:rPr>
              <w:t>High</w:t>
            </w:r>
          </w:p>
        </w:tc>
      </w:tr>
      <w:tr>
        <w:tc>
          <w:tcPr>
            <w:tcW w:type="dxa" w:w="2556"/>
          </w:tcPr>
          <w:p>
            <w:pPr>
              <w:spacing w:after="0"/>
            </w:pPr>
            <w:r>
              <w:rPr>
                <w:rFonts w:ascii="Arial" w:hAnsi="Arial"/>
                <w:b w:val="0"/>
                <w:sz w:val="14"/>
              </w:rPr>
              <w:t>L3</w:t>
            </w:r>
          </w:p>
        </w:tc>
        <w:tc>
          <w:tcPr>
            <w:tcW w:type="dxa" w:w="2556"/>
          </w:tcPr>
          <w:p>
            <w:pPr>
              <w:spacing w:after="0"/>
            </w:pPr>
            <w:r>
              <w:rPr>
                <w:rFonts w:ascii="Arial" w:hAnsi="Arial"/>
                <w:b w:val="0"/>
                <w:sz w:val="14"/>
              </w:rPr>
              <w:t>Independent audits, certifications, third-party evaluations, regulatory commentary</w:t>
            </w:r>
          </w:p>
        </w:tc>
        <w:tc>
          <w:tcPr>
            <w:tcW w:type="dxa" w:w="2556"/>
          </w:tcPr>
          <w:p>
            <w:pPr>
              <w:spacing w:after="0"/>
            </w:pPr>
            <w:r>
              <w:rPr>
                <w:rFonts w:ascii="Arial" w:hAnsi="Arial"/>
                <w:b w:val="0"/>
                <w:sz w:val="14"/>
              </w:rPr>
              <w:t>Used for supplemental confidence and risk interpretation</w:t>
            </w:r>
          </w:p>
        </w:tc>
        <w:tc>
          <w:tcPr>
            <w:tcW w:type="dxa" w:w="2556"/>
          </w:tcPr>
          <w:p>
            <w:pPr>
              <w:spacing w:after="0"/>
            </w:pPr>
            <w:r>
              <w:rPr>
                <w:rFonts w:ascii="Arial" w:hAnsi="Arial"/>
                <w:b w:val="0"/>
                <w:sz w:val="14"/>
              </w:rPr>
              <w:t>Medium</w:t>
            </w:r>
          </w:p>
        </w:tc>
      </w:tr>
      <w:tr>
        <w:tc>
          <w:tcPr>
            <w:tcW w:type="dxa" w:w="2556"/>
          </w:tcPr>
          <w:p>
            <w:pPr>
              <w:spacing w:after="0"/>
            </w:pPr>
            <w:r>
              <w:rPr>
                <w:rFonts w:ascii="Arial" w:hAnsi="Arial"/>
                <w:b w:val="0"/>
                <w:sz w:val="14"/>
              </w:rPr>
              <w:t>L4</w:t>
            </w:r>
          </w:p>
        </w:tc>
        <w:tc>
          <w:tcPr>
            <w:tcW w:type="dxa" w:w="2556"/>
          </w:tcPr>
          <w:p>
            <w:pPr>
              <w:spacing w:after="0"/>
            </w:pPr>
            <w:r>
              <w:rPr>
                <w:rFonts w:ascii="Arial" w:hAnsi="Arial"/>
                <w:b w:val="0"/>
                <w:sz w:val="14"/>
              </w:rPr>
              <w:t>Vendor white papers, product pages, blog posts, marketing statements</w:t>
            </w:r>
          </w:p>
        </w:tc>
        <w:tc>
          <w:tcPr>
            <w:tcW w:type="dxa" w:w="2556"/>
          </w:tcPr>
          <w:p>
            <w:pPr>
              <w:spacing w:after="0"/>
            </w:pPr>
            <w:r>
              <w:rPr>
                <w:rFonts w:ascii="Arial" w:hAnsi="Arial"/>
                <w:b w:val="0"/>
                <w:sz w:val="14"/>
              </w:rPr>
              <w:t>Used only when lower-level technical evidence is unavailable or as positioning evidence</w:t>
            </w:r>
          </w:p>
        </w:tc>
        <w:tc>
          <w:tcPr>
            <w:tcW w:type="dxa" w:w="2556"/>
          </w:tcPr>
          <w:p>
            <w:pPr>
              <w:spacing w:after="0"/>
            </w:pPr>
            <w:r>
              <w:rPr>
                <w:rFonts w:ascii="Arial" w:hAnsi="Arial"/>
                <w:b w:val="0"/>
                <w:sz w:val="14"/>
              </w:rPr>
              <w:t>Low</w:t>
            </w:r>
          </w:p>
        </w:tc>
      </w:tr>
      <w:tr>
        <w:tc>
          <w:tcPr>
            <w:tcW w:type="dxa" w:w="2556"/>
          </w:tcPr>
          <w:p>
            <w:pPr>
              <w:spacing w:after="0"/>
            </w:pPr>
            <w:r>
              <w:rPr>
                <w:rFonts w:ascii="Arial" w:hAnsi="Arial"/>
                <w:b w:val="0"/>
                <w:sz w:val="14"/>
              </w:rPr>
              <w:t>L5</w:t>
            </w:r>
          </w:p>
        </w:tc>
        <w:tc>
          <w:tcPr>
            <w:tcW w:type="dxa" w:w="2556"/>
          </w:tcPr>
          <w:p>
            <w:pPr>
              <w:spacing w:after="0"/>
            </w:pPr>
            <w:r>
              <w:rPr>
                <w:rFonts w:ascii="Arial" w:hAnsi="Arial"/>
                <w:b w:val="0"/>
                <w:sz w:val="14"/>
              </w:rPr>
              <w:t>Author inference, conceptual analysis, strategic interpretation</w:t>
            </w:r>
          </w:p>
        </w:tc>
        <w:tc>
          <w:tcPr>
            <w:tcW w:type="dxa" w:w="2556"/>
          </w:tcPr>
          <w:p>
            <w:pPr>
              <w:spacing w:after="0"/>
            </w:pPr>
            <w:r>
              <w:rPr>
                <w:rFonts w:ascii="Arial" w:hAnsi="Arial"/>
                <w:b w:val="0"/>
                <w:sz w:val="14"/>
              </w:rPr>
              <w:t>Allowed only when clearly marked as inference</w:t>
            </w:r>
          </w:p>
        </w:tc>
        <w:tc>
          <w:tcPr>
            <w:tcW w:type="dxa" w:w="2556"/>
          </w:tcPr>
          <w:p>
            <w:pPr>
              <w:spacing w:after="0"/>
            </w:pPr>
            <w:r>
              <w:rPr>
                <w:rFonts w:ascii="Arial" w:hAnsi="Arial"/>
                <w:b w:val="0"/>
                <w:sz w:val="14"/>
              </w:rPr>
              <w:t>Disclosed</w:t>
            </w:r>
          </w:p>
        </w:tc>
      </w:tr>
    </w:tbl>
    <w:p>
      <w:pPr>
        <w:pStyle w:val="Heading3"/>
      </w:pPr>
      <w:r>
        <w:t>Evidence Hierarchy Rationale</w:t>
      </w:r>
    </w:p>
    <w:p>
      <w:pPr>
        <w:spacing w:after="56"/>
      </w:pPr>
      <w:r>
        <w:t>This hierarchy is necessary because the AI governance market has rapidly overloaded terms such as trace, guardrail, oversight, agent governance, evidence, approval, and evaluation. A trace in an observability product, a log in a cloud service, a review step in an SDK, and an evidence chain in a lifecycle protocol may all sound similar, but they have different compliance strength. This paper therefore treats terminology as insufficient unless it is tied to an object, a rule, an evidence source, and an enforcement or verification mechanism.</w:t>
      </w:r>
    </w:p>
    <w:p>
      <w:pPr>
        <w:pStyle w:val="Heading2"/>
      </w:pPr>
      <w:r>
        <w:t>How to Cite This White Paper</w:t>
      </w:r>
    </w:p>
    <w:p>
      <w:pPr>
        <w:pStyle w:val="Heading3"/>
      </w:pPr>
      <w:r>
        <w:t>Recommended Citation</w:t>
      </w:r>
    </w:p>
    <w:p>
      <w:pPr>
        <w:spacing w:after="56"/>
      </w:pPr>
      <w:r>
        <w:t>Global AI Compliance White Paper 2026: From Model Governance to Agentic Lifecycle Conformance. Version v0.3.2 Final Release Candidate R3 (GACWP-2026-v0.3.2-FRC-R3). May 2026. Publication URL to be assigned before release.</w:t>
      </w:r>
    </w:p>
    <w:p>
      <w:pPr>
        <w:pStyle w:val="Heading3"/>
      </w:pPr>
      <w:r>
        <w:t>Short Citation</w:t>
      </w:r>
    </w:p>
    <w:p>
      <w:pPr>
        <w:spacing w:after="56"/>
      </w:pPr>
      <w:r>
        <w:t>GAIC White Paper v0.3.2-FRC-R3 (May 2026)</w:t>
      </w:r>
    </w:p>
    <w:p>
      <w:pPr>
        <w:pStyle w:val="Heading3"/>
      </w:pPr>
      <w:r>
        <w:t>Trace Tag for Technical References</w:t>
      </w:r>
    </w:p>
    <w:p>
      <w:pPr>
        <w:spacing w:after="56"/>
      </w:pPr>
      <w:r>
        <w:t>GACWP-2026-v0.3.2-FRC-R3</w:t>
      </w:r>
    </w:p>
    <w:p>
      <w:pPr>
        <w:pStyle w:val="Heading2"/>
      </w:pPr>
      <w:r>
        <w:t>Version History</w:t>
      </w:r>
    </w:p>
    <w:p>
      <w:pPr>
        <w:keepNext/>
      </w:pPr>
      <w:r>
        <w:rPr>
          <w:b/>
          <w:sz w:val="16"/>
        </w:rPr>
        <w:t>Table T-FM-05: Version History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Version</w:t>
            </w:r>
          </w:p>
        </w:tc>
        <w:tc>
          <w:tcPr>
            <w:tcW w:type="dxa" w:w="2556"/>
          </w:tcPr>
          <w:p>
            <w:pPr>
              <w:spacing w:after="0"/>
            </w:pPr>
            <w:r>
              <w:rPr>
                <w:rFonts w:ascii="Arial" w:hAnsi="Arial"/>
                <w:b/>
                <w:sz w:val="14"/>
              </w:rPr>
              <w:t>Date</w:t>
            </w:r>
          </w:p>
        </w:tc>
        <w:tc>
          <w:tcPr>
            <w:tcW w:type="dxa" w:w="2556"/>
          </w:tcPr>
          <w:p>
            <w:pPr>
              <w:spacing w:after="0"/>
            </w:pPr>
            <w:r>
              <w:rPr>
                <w:rFonts w:ascii="Arial" w:hAnsi="Arial"/>
                <w:b/>
                <w:sz w:val="14"/>
              </w:rPr>
              <w:t>Trace Tag</w:t>
            </w:r>
          </w:p>
        </w:tc>
        <w:tc>
          <w:tcPr>
            <w:tcW w:type="dxa" w:w="2556"/>
          </w:tcPr>
          <w:p>
            <w:pPr>
              <w:spacing w:after="0"/>
            </w:pPr>
            <w:r>
              <w:rPr>
                <w:rFonts w:ascii="Arial" w:hAnsi="Arial"/>
                <w:b/>
                <w:sz w:val="14"/>
              </w:rPr>
              <w:t>Summary</w:t>
            </w:r>
          </w:p>
        </w:tc>
      </w:tr>
      <w:tr>
        <w:tc>
          <w:tcPr>
            <w:tcW w:type="dxa" w:w="2556"/>
          </w:tcPr>
          <w:p>
            <w:pPr>
              <w:spacing w:after="0"/>
            </w:pPr>
            <w:r>
              <w:rPr>
                <w:rFonts w:ascii="Arial" w:hAnsi="Arial"/>
                <w:b w:val="0"/>
                <w:sz w:val="14"/>
              </w:rPr>
              <w:t>v0.3.2-FRC-R3</w:t>
            </w:r>
          </w:p>
        </w:tc>
        <w:tc>
          <w:tcPr>
            <w:tcW w:type="dxa" w:w="2556"/>
          </w:tcPr>
          <w:p>
            <w:pPr>
              <w:spacing w:after="0"/>
            </w:pPr>
            <w:r>
              <w:rPr>
                <w:rFonts w:ascii="Arial" w:hAnsi="Arial"/>
                <w:b w:val="0"/>
                <w:sz w:val="14"/>
              </w:rPr>
              <w:t>May 2026</w:t>
            </w:r>
          </w:p>
        </w:tc>
        <w:tc>
          <w:tcPr>
            <w:tcW w:type="dxa" w:w="2556"/>
          </w:tcPr>
          <w:p>
            <w:pPr>
              <w:spacing w:after="0"/>
            </w:pPr>
            <w:r>
              <w:rPr>
                <w:rFonts w:ascii="Arial" w:hAnsi="Arial"/>
                <w:b w:val="0"/>
                <w:sz w:val="14"/>
              </w:rPr>
              <w:t>GACWP-2026-v0.3.2-FRC-R3</w:t>
            </w:r>
          </w:p>
        </w:tc>
        <w:tc>
          <w:tcPr>
            <w:tcW w:type="dxa" w:w="2556"/>
          </w:tcPr>
          <w:p>
            <w:pPr>
              <w:spacing w:after="0"/>
            </w:pPr>
            <w:r>
              <w:rPr>
                <w:rFonts w:ascii="Arial" w:hAnsi="Arial"/>
                <w:b w:val="0"/>
                <w:sz w:val="14"/>
              </w:rPr>
              <w:t>Expanded publication draft integrating lifecycle governance, MROs, RCCS/ALCS scoring, evidence validation, enterprise failure scenarios, adoption roadmap, and technical appendices.</w:t>
            </w:r>
          </w:p>
        </w:tc>
      </w:tr>
      <w:tr>
        <w:tc>
          <w:tcPr>
            <w:tcW w:type="dxa" w:w="2556"/>
          </w:tcPr>
          <w:p>
            <w:pPr>
              <w:spacing w:after="0"/>
            </w:pPr>
            <w:r>
              <w:rPr>
                <w:rFonts w:ascii="Arial" w:hAnsi="Arial"/>
                <w:b w:val="0"/>
                <w:sz w:val="14"/>
              </w:rPr>
              <w:t>v0.3.1-PC</w:t>
            </w:r>
          </w:p>
        </w:tc>
        <w:tc>
          <w:tcPr>
            <w:tcW w:type="dxa" w:w="2556"/>
          </w:tcPr>
          <w:p>
            <w:pPr>
              <w:spacing w:after="0"/>
            </w:pPr>
            <w:r>
              <w:rPr>
                <w:rFonts w:ascii="Arial" w:hAnsi="Arial"/>
                <w:b w:val="0"/>
                <w:sz w:val="14"/>
              </w:rPr>
              <w:t>May 2026</w:t>
            </w:r>
          </w:p>
        </w:tc>
        <w:tc>
          <w:tcPr>
            <w:tcW w:type="dxa" w:w="2556"/>
          </w:tcPr>
          <w:p>
            <w:pPr>
              <w:spacing w:after="0"/>
            </w:pPr>
            <w:r>
              <w:rPr>
                <w:rFonts w:ascii="Arial" w:hAnsi="Arial"/>
                <w:b w:val="0"/>
                <w:sz w:val="14"/>
              </w:rPr>
              <w:t>GACWP-2026-v0.3.1-PC</w:t>
            </w:r>
          </w:p>
        </w:tc>
        <w:tc>
          <w:tcPr>
            <w:tcW w:type="dxa" w:w="2556"/>
          </w:tcPr>
          <w:p>
            <w:pPr>
              <w:spacing w:after="0"/>
            </w:pPr>
            <w:r>
              <w:rPr>
                <w:rFonts w:ascii="Arial" w:hAnsi="Arial"/>
                <w:b w:val="0"/>
                <w:sz w:val="14"/>
              </w:rPr>
              <w:t>Publication candidate. Adds ALCS-to-MRO mapping, clarifies RCCS weighting and calculation reproducibility, updates Colorado AI Act status note as of 2026-05-07, aligns Singapore MGF wording with official four-part framing.</w:t>
            </w:r>
          </w:p>
        </w:tc>
      </w:tr>
      <w:tr>
        <w:tc>
          <w:tcPr>
            <w:tcW w:type="dxa" w:w="2556"/>
          </w:tcPr>
          <w:p>
            <w:pPr>
              <w:spacing w:after="0"/>
            </w:pPr>
            <w:r>
              <w:rPr>
                <w:rFonts w:ascii="Arial" w:hAnsi="Arial"/>
                <w:b w:val="0"/>
                <w:sz w:val="14"/>
              </w:rPr>
              <w:t>v0.3-FULL</w:t>
            </w:r>
          </w:p>
        </w:tc>
        <w:tc>
          <w:tcPr>
            <w:tcW w:type="dxa" w:w="2556"/>
          </w:tcPr>
          <w:p>
            <w:pPr>
              <w:spacing w:after="0"/>
            </w:pPr>
            <w:r>
              <w:rPr>
                <w:rFonts w:ascii="Arial" w:hAnsi="Arial"/>
                <w:b w:val="0"/>
                <w:sz w:val="14"/>
              </w:rPr>
              <w:t>April 2026</w:t>
            </w:r>
          </w:p>
        </w:tc>
        <w:tc>
          <w:tcPr>
            <w:tcW w:type="dxa" w:w="2556"/>
          </w:tcPr>
          <w:p>
            <w:pPr>
              <w:spacing w:after="0"/>
            </w:pPr>
            <w:r>
              <w:rPr>
                <w:rFonts w:ascii="Arial" w:hAnsi="Arial"/>
                <w:b w:val="0"/>
                <w:sz w:val="14"/>
              </w:rPr>
              <w:t>GACWP-2026-v0.3-FULL</w:t>
            </w:r>
          </w:p>
        </w:tc>
        <w:tc>
          <w:tcPr>
            <w:tcW w:type="dxa" w:w="2556"/>
          </w:tcPr>
          <w:p>
            <w:pPr>
              <w:spacing w:after="0"/>
            </w:pPr>
            <w:r>
              <w:rPr>
                <w:rFonts w:ascii="Arial" w:hAnsi="Arial"/>
                <w:b w:val="0"/>
                <w:sz w:val="14"/>
              </w:rPr>
              <w:t>Full research edition baseline (historical reference only)</w:t>
            </w:r>
          </w:p>
        </w:tc>
      </w:tr>
    </w:tbl>
    <w:p>
      <w:pPr>
        <w:pStyle w:val="Heading3"/>
      </w:pPr>
      <w:r>
        <w:t>Revision Note for v0.3.2-FRC-R3</w:t>
      </w:r>
    </w:p>
    <w:p>
      <w:pPr>
        <w:spacing w:after="56"/>
      </w:pPr>
      <w:r>
        <w:t>v0.3.2-FRC-R3 expands the white paper into a full publication draft with enterprise control mapping, lifecycle scoring, evidence validation, system assessment boundaries, adoption guidance, and technical appendices.</w:t>
      </w:r>
    </w:p>
    <w:p>
      <w:pPr>
        <w:spacing w:after="56"/>
      </w:pPr>
      <w:r>
        <w:t>Key improvements in R3:</w:t>
      </w:r>
    </w:p>
    <w:p>
      <w:pPr>
        <w:pStyle w:val="ListBullet"/>
        <w:spacing w:after="56"/>
      </w:pPr>
      <w:r>
        <w:t>Full lifecycle governance framing for agentic and multi-agent systems</w:t>
      </w:r>
    </w:p>
    <w:p>
      <w:pPr>
        <w:pStyle w:val="ListBullet"/>
        <w:spacing w:after="56"/>
      </w:pPr>
      <w:r>
        <w:t>Missing Regulatory Objects connected to RCCS and ALCS analysis</w:t>
      </w:r>
    </w:p>
    <w:p>
      <w:pPr>
        <w:pStyle w:val="ListBullet"/>
        <w:spacing w:after="56"/>
      </w:pPr>
      <w:r>
        <w:t>Evidence validation and enterprise failure scenario coverage</w:t>
      </w:r>
    </w:p>
    <w:p>
      <w:pPr>
        <w:pStyle w:val="ListBullet"/>
        <w:spacing w:after="56"/>
      </w:pPr>
      <w:r>
        <w:t>Adoption roadmap and enterprise control crosswalks</w:t>
      </w:r>
    </w:p>
    <w:p>
      <w:pPr>
        <w:pStyle w:val="ListBullet"/>
        <w:spacing w:after="56"/>
      </w:pPr>
      <w:r>
        <w:t>Strengthened boundary disclosure, conflict-of-interest discipline, and non-claim language</w:t>
      </w:r>
    </w:p>
    <w:p>
      <w:pPr>
        <w:pStyle w:val="Heading2"/>
      </w:pPr>
      <w:r>
        <w:t>Table of Contents</w:t>
      </w:r>
    </w:p>
    <w:p>
      <w:pPr>
        <w:pStyle w:val="Heading3"/>
      </w:pPr>
      <w:r>
        <w:t>Part I — Problem and Method</w:t>
      </w:r>
    </w:p>
    <w:p>
      <w:pPr>
        <w:pStyle w:val="ListNumber"/>
        <w:spacing w:after="56"/>
      </w:pPr>
      <w:r>
        <w:t>Scope, Methodology, and Non-Legal Boundary</w:t>
      </w:r>
    </w:p>
    <w:p>
      <w:pPr>
        <w:pStyle w:val="ListNumber"/>
        <w:spacing w:after="56"/>
      </w:pPr>
      <w:r>
        <w:t>The Missing Layer: AI Agent Lifecycle Governance</w:t>
      </w:r>
    </w:p>
    <w:p>
      <w:pPr>
        <w:pStyle w:val="ListNumber"/>
        <w:spacing w:after="56"/>
      </w:pPr>
      <w:r>
        <w:t>Why Agentic AI Breaks Model-Centric Compliance</w:t>
      </w:r>
    </w:p>
    <w:p>
      <w:pPr>
        <w:pStyle w:val="ListNumber"/>
        <w:spacing w:after="56"/>
      </w:pPr>
      <w:r>
        <w:t>Regulatory and Standards Baseline</w:t>
      </w:r>
    </w:p>
    <w:p>
      <w:pPr>
        <w:pStyle w:val="ListNumber"/>
        <w:spacing w:after="56"/>
      </w:pPr>
      <w:r>
        <w:t>From Regulatory Language to Engineering Objects</w:t>
      </w:r>
    </w:p>
    <w:p>
      <w:pPr>
        <w:pStyle w:val="Heading3"/>
      </w:pPr>
      <w:r>
        <w:t>Part II — Missing Regulatory Objects and Scoring</w:t>
      </w:r>
    </w:p>
    <w:p>
      <w:pPr>
        <w:pStyle w:val="ListNumber"/>
        <w:spacing w:after="56"/>
      </w:pPr>
      <w:r>
        <w:t>Missing Regulatory Objects for Agentic and MAS Compliance</w:t>
      </w:r>
    </w:p>
    <w:p>
      <w:pPr>
        <w:pStyle w:val="ListNumber"/>
        <w:spacing w:after="56"/>
      </w:pPr>
      <w:r>
        <w:t>RCCS - Regulatory Compliance Coverage Score</w:t>
      </w:r>
    </w:p>
    <w:p>
      <w:pPr>
        <w:pStyle w:val="ListNumber"/>
        <w:spacing w:after="56"/>
      </w:pPr>
      <w:r>
        <w:t>ALCS - Agentic Lifecycle Conformance Score</w:t>
      </w:r>
    </w:p>
    <w:p>
      <w:pPr>
        <w:pStyle w:val="ListNumber"/>
        <w:spacing w:after="56"/>
      </w:pPr>
      <w:r>
        <w:t>Composite Scoring Method</w:t>
      </w:r>
    </w:p>
    <w:p>
      <w:pPr>
        <w:pStyle w:val="Heading3"/>
      </w:pPr>
      <w:r>
        <w:t>Part III — System Mapping and Lifecycle Validation</w:t>
      </w:r>
    </w:p>
    <w:p>
      <w:pPr>
        <w:pStyle w:val="ListNumber"/>
        <w:spacing w:after="56"/>
      </w:pPr>
      <w:r>
        <w:t>Enterprise Adoption, Procurement, and Control Crosswalk</w:t>
      </w:r>
    </w:p>
    <w:p>
      <w:pPr>
        <w:pStyle w:val="ListNumber"/>
        <w:spacing w:after="56"/>
      </w:pPr>
      <w:r>
        <w:t>Comparative Field and System Positioning</w:t>
      </w:r>
    </w:p>
    <w:p>
      <w:pPr>
        <w:pStyle w:val="ListNumber"/>
        <w:spacing w:after="56"/>
      </w:pPr>
      <w:r>
        <w:t>Detailed System Mappings</w:t>
      </w:r>
    </w:p>
    <w:p>
      <w:pPr>
        <w:pStyle w:val="ListNumber"/>
        <w:spacing w:after="56"/>
      </w:pPr>
      <w:r>
        <w:t>MPLP Deep Mapping, Boundary, and Non-Claim Discipline</w:t>
      </w:r>
    </w:p>
    <w:p>
      <w:pPr>
        <w:pStyle w:val="ListNumber"/>
        <w:spacing w:after="56"/>
      </w:pPr>
      <w:r>
        <w:t>Evidence-Based Validation Pattern</w:t>
      </w:r>
    </w:p>
    <w:p>
      <w:pPr>
        <w:pStyle w:val="ListNumber"/>
        <w:spacing w:after="56"/>
      </w:pPr>
      <w:r>
        <w:t>Enterprise Failure Scenarios</w:t>
      </w:r>
    </w:p>
    <w:p>
      <w:pPr>
        <w:pStyle w:val="ListNumber"/>
        <w:spacing w:after="56"/>
      </w:pPr>
      <w:r>
        <w:t>Boundary to Companion Papers</w:t>
      </w:r>
    </w:p>
    <w:p>
      <w:pPr>
        <w:pStyle w:val="Heading3"/>
      </w:pPr>
      <w:r>
        <w:t>Part IV — Enterprise Adoption</w:t>
      </w:r>
    </w:p>
    <w:p>
      <w:pPr>
        <w:pStyle w:val="ListNumber"/>
        <w:spacing w:after="56"/>
      </w:pPr>
      <w:r>
        <w:t>Adoption Roadmap</w:t>
      </w:r>
    </w:p>
    <w:p>
      <w:pPr>
        <w:pStyle w:val="ListNumber"/>
        <w:spacing w:after="56"/>
      </w:pPr>
      <w:r>
        <w:t>Conclusion</w:t>
      </w:r>
    </w:p>
    <w:p>
      <w:pPr>
        <w:pStyle w:val="Heading3"/>
      </w:pPr>
      <w:r>
        <w:t>Part V — Technical Appendices</w:t>
      </w:r>
    </w:p>
    <w:p>
      <w:pPr>
        <w:pStyle w:val="ListNumber"/>
        <w:spacing w:after="56"/>
      </w:pPr>
      <w:r>
        <w:t>Appendices A-K</w:t>
      </w:r>
    </w:p>
    <w:p>
      <w:pPr>
        <w:pStyle w:val="Heading2"/>
      </w:pPr>
      <w:r>
        <w:t>List of Figures</w:t>
      </w:r>
    </w:p>
    <w:p>
      <w:pPr>
        <w:pStyle w:val="ListBullet"/>
        <w:spacing w:after="56"/>
      </w:pPr>
      <w:r>
        <w:t>Figure F-01 — AI Agent Lifecycle Governance Stack</w:t>
      </w:r>
    </w:p>
    <w:p>
      <w:pPr>
        <w:pStyle w:val="ListBullet"/>
        <w:spacing w:after="56"/>
      </w:pPr>
      <w:r>
        <w:t>Figure F-02 — Governance Stack / Missing Layer</w:t>
      </w:r>
    </w:p>
    <w:p>
      <w:pPr>
        <w:pStyle w:val="ListBullet"/>
        <w:spacing w:after="56"/>
      </w:pPr>
      <w:r>
        <w:t>Figure F-03 — MRO Topology</w:t>
      </w:r>
    </w:p>
    <w:p>
      <w:pPr>
        <w:pStyle w:val="ListBullet"/>
        <w:spacing w:after="56"/>
      </w:pPr>
      <w:r>
        <w:t>Figure F-04 — RCCS/ALCS Dual Scoring Model</w:t>
      </w:r>
    </w:p>
    <w:p>
      <w:pPr>
        <w:pStyle w:val="ListBullet"/>
        <w:spacing w:after="56"/>
      </w:pPr>
      <w:r>
        <w:t>Figure F-05 — Lifecycle Conformance Mapping Strength Heatmap</w:t>
      </w:r>
    </w:p>
    <w:p>
      <w:pPr>
        <w:pStyle w:val="ListBullet"/>
        <w:spacing w:after="56"/>
      </w:pPr>
      <w:r>
        <w:t>Figure F-06 — Enterprise Control Overlay for AI Agent Lifecycle Governance</w:t>
      </w:r>
    </w:p>
    <w:p>
      <w:pPr>
        <w:pStyle w:val="ListBullet"/>
        <w:spacing w:after="56"/>
      </w:pPr>
      <w:r>
        <w:t>Figure F-07 — Model Risk in Agentic Lifecycle</w:t>
      </w:r>
    </w:p>
    <w:p>
      <w:pPr>
        <w:pStyle w:val="ListBullet"/>
        <w:spacing w:after="56"/>
      </w:pPr>
      <w:r>
        <w:t>Figure F-08 — Evidence-Based Validation Pattern Flow</w:t>
      </w:r>
    </w:p>
    <w:p>
      <w:pPr>
        <w:pStyle w:val="ListBullet"/>
        <w:spacing w:after="56"/>
      </w:pPr>
      <w:r>
        <w:t>Figure F-09 — Enterprise Failure Scenario Chain</w:t>
      </w:r>
    </w:p>
    <w:p>
      <w:pPr>
        <w:pStyle w:val="ListBullet"/>
        <w:spacing w:after="56"/>
      </w:pPr>
      <w:r>
        <w:t>Figure F-10 — Companion Paper Boundary Map</w:t>
      </w:r>
    </w:p>
    <w:p>
      <w:pPr>
        <w:pStyle w:val="ListBullet"/>
        <w:spacing w:after="56"/>
      </w:pPr>
      <w:r>
        <w:t>Figure F-11 — Stage 0-to-7 Adoption Roadmap</w:t>
      </w:r>
    </w:p>
    <w:p>
      <w:pPr>
        <w:pStyle w:val="Heading2"/>
      </w:pPr>
      <w:r>
        <w:t>List of Tables</w:t>
      </w:r>
    </w:p>
    <w:p>
      <w:pPr>
        <w:spacing w:after="56"/>
      </w:pPr>
      <w:r>
        <w:t>The paper contains detailed body and appendix tables. The most important table groups are:</w:t>
      </w:r>
    </w:p>
    <w:p>
      <w:pPr>
        <w:spacing w:after="56"/>
      </w:pPr>
      <w:r>
        <w:t>A complete table inventory is maintained in the technical source ledger; this publication lists major table groups for reader navigation.</w:t>
      </w:r>
    </w:p>
    <w:p>
      <w:pPr>
        <w:pStyle w:val="ListBullet"/>
        <w:spacing w:after="56"/>
      </w:pPr>
      <w:r>
        <w:t>Scope, boundary, document-control, and evidence-basis tables in the front matter and Chapter 1</w:t>
      </w:r>
    </w:p>
    <w:p>
      <w:pPr>
        <w:pStyle w:val="ListBullet"/>
        <w:spacing w:after="56"/>
      </w:pPr>
      <w:r>
        <w:t>Regulatory and standards baseline tables in Chapter 4</w:t>
      </w:r>
    </w:p>
    <w:p>
      <w:pPr>
        <w:pStyle w:val="ListBullet"/>
        <w:spacing w:after="56"/>
      </w:pPr>
      <w:r>
        <w:t>Missing Regulatory Object tables in Chapter 6</w:t>
      </w:r>
    </w:p>
    <w:p>
      <w:pPr>
        <w:pStyle w:val="ListBullet"/>
        <w:spacing w:after="56"/>
      </w:pPr>
      <w:r>
        <w:t>RCCS, ALCS, and composite scoring tables in Chapters 7-9</w:t>
      </w:r>
    </w:p>
    <w:p>
      <w:pPr>
        <w:pStyle w:val="ListBullet"/>
        <w:spacing w:after="56"/>
      </w:pPr>
      <w:r>
        <w:t>Enterprise control, procurement, board reporting, model risk, and cybersecurity crosswalk tables in Chapter 10</w:t>
      </w:r>
    </w:p>
    <w:p>
      <w:pPr>
        <w:pStyle w:val="ListBullet"/>
        <w:spacing w:after="56"/>
      </w:pPr>
      <w:r>
        <w:t>System mapping and comparative posture tables in Chapters 11-13 and Appendix D</w:t>
      </w:r>
    </w:p>
    <w:p>
      <w:pPr>
        <w:pStyle w:val="ListBullet"/>
        <w:spacing w:after="56"/>
      </w:pPr>
      <w:r>
        <w:t>Evidence validation and failure scenario tables in Chapters 14-15</w:t>
      </w:r>
    </w:p>
    <w:p>
      <w:pPr>
        <w:pStyle w:val="ListBullet"/>
        <w:spacing w:after="56"/>
      </w:pPr>
      <w:r>
        <w:t>Adoption roadmap and contribution-summary tables in Chapters 17-18</w:t>
      </w:r>
    </w:p>
    <w:p>
      <w:pPr>
        <w:pStyle w:val="ListBullet"/>
        <w:spacing w:after="56"/>
      </w:pPr>
      <w:r>
        <w:t>Technical appendices A-K, including scorecard templates, source ledgers, detailed rubrics, Appendix G provisional system assessments, procurement scorecards, source audit registers, gap closure matrices, and editorial remediation records</w:t>
      </w:r>
    </w:p>
    <w:p>
      <w:pPr>
        <w:pStyle w:val="Heading2"/>
      </w:pPr>
      <w:r>
        <w:t>Executive Summary</w:t>
      </w:r>
    </w:p>
    <w:p>
      <w:pPr>
        <w:spacing w:after="56"/>
      </w:pPr>
      <w:r>
        <w:t>AI compliance is entering a structural transition. The compliance object is no longer limited to a model, a dataset, a prompt, or a single application output. In enterprise environments, AI systems increasingly plan work, use tools, call APIs, retrieve memory, delegate tasks, collaborate with other agents, and produce operational outcomes. This means the central compliance question is changing from whether a model produced a safe output to whether an organized and proven agentic unit of work was authorized, executed, evidenced, reviewed, accepted, disputed, remediated, and improved.</w:t>
      </w:r>
    </w:p>
    <w:p>
      <w:pPr>
        <w:pStyle w:val="Heading3"/>
      </w:pPr>
      <w:r>
        <w:t>The Missing Layer</w:t>
      </w:r>
    </w:p>
    <w:p>
      <w:pPr>
        <w:spacing w:after="56"/>
      </w:pPr>
      <w:r>
        <w:t>The first generation of AI governance focused on model governance. That work remains essential: risk management, documentation, transparency, robustness, bias mitigation, security, and monitoring are all foundational. But agentic AI adds a new layer of operational consequence. A model answer becomes enterprise risk when it is embedded inside a workflow that can send an email, approve a refund, update a database, deploy code, modify access permissions, route a customer case, create a compliance record, or trigger another autonomous agent.</w:t>
      </w:r>
    </w:p>
    <w:p>
      <w:pPr>
        <w:spacing w:after="56"/>
      </w:pPr>
      <w:r>
        <w:t>This white paper names the missing layer AI Agent Lifecycle Governance. AI Agent Lifecycle Governance is the governance layer that defines how agentic work is authorized, executed, evidenced, reviewed, accepted, disputed, remediated, and reused across agents, humans, tools, projects, vendors, and organizational boundaries.</w:t>
      </w:r>
    </w:p>
    <w:p>
      <w:pPr>
        <w:pStyle w:val="Heading3"/>
      </w:pPr>
      <w:r>
        <w:t>Key Findings</w:t>
      </w:r>
    </w:p>
    <w:p>
      <w:pPr>
        <w:pStyle w:val="ListBullet"/>
        <w:spacing w:after="56"/>
      </w:pPr>
      <w:r>
        <w:t>Model governance remains necessary, but it is not sufficient for agentic and multi-agent workflows that act through tools, memory, APIs, and delegation.</w:t>
      </w:r>
    </w:p>
    <w:p>
      <w:pPr>
        <w:pStyle w:val="ListBullet"/>
        <w:spacing w:after="56"/>
      </w:pPr>
      <w:r>
        <w:t>Lifecycle responsibility objects are needed to connect intent, authority, evidence, review, accepted outcome, dispute, remediation, and reuse.</w:t>
      </w:r>
    </w:p>
    <w:p>
      <w:pPr>
        <w:pStyle w:val="ListBullet"/>
        <w:spacing w:after="56"/>
      </w:pPr>
      <w:r>
        <w:t>The sixteen Missing Regulatory Objects define engineering objects that help make existing governance expectations testable in agentic execution.</w:t>
      </w:r>
    </w:p>
    <w:p>
      <w:pPr>
        <w:pStyle w:val="ListBullet"/>
        <w:spacing w:after="56"/>
      </w:pPr>
      <w:r>
        <w:t>RCCS and ALCS measure different layers: regulatory coverage and agentic lifecycle conformance. A system can be strong in one layer and weak in the other.</w:t>
      </w:r>
    </w:p>
    <w:p>
      <w:pPr>
        <w:pStyle w:val="ListBullet"/>
        <w:spacing w:after="56"/>
      </w:pPr>
      <w:r>
        <w:t>Logs, traces, dashboards, and guardrails are useful, but they are not evidence chains by themselves unless tied to authority, responsibility, privacy, acceptance, and remediation semantics.</w:t>
      </w:r>
    </w:p>
    <w:p>
      <w:pPr>
        <w:pStyle w:val="ListBullet"/>
        <w:spacing w:after="56"/>
      </w:pPr>
      <w:r>
        <w:t>Validation verdicts can support evidence review, but they do not prove legal compliance, regulatory approval, certification, or procurement suitability.</w:t>
      </w:r>
    </w:p>
    <w:p>
      <w:pPr>
        <w:pStyle w:val="Heading3"/>
      </w:pPr>
      <w:r>
        <w:t>Core Thesis</w:t>
      </w:r>
    </w:p>
    <w:p>
      <w:pPr>
        <w:spacing w:after="56"/>
      </w:pPr>
      <w:r>
        <w:t>The paper argues that AI Agent / MAS compliance is not only model compliance. It is lifecycle responsibility compliance.</w:t>
      </w:r>
    </w:p>
    <w:p>
      <w:pPr>
        <w:spacing w:after="56"/>
      </w:pPr>
      <w:r>
        <w:t>That thesis has practical consequences. Enterprise buyers, auditors, insurers, regulators, and internal governance teams need more than dashboards, logs, or guardrails. They need lifecycle objects: delegated authority boundaries, human-role-to-agent-responsibility mappings, tool-action liability records, evidence partitions, accepted outcome states, cross-project reuse controls, privacy-preserving validation packs, and dispute closure records.</w:t>
      </w:r>
    </w:p>
    <w:p>
      <w:pPr>
        <w:spacing w:after="56"/>
      </w:pPr>
      <w:r>
        <w:t>Figure F-01 - AI Agent Lifecycle Governance Stack</w:t>
      </w:r>
    </w:p>
    <w:p>
      <w:pPr>
        <w:spacing w:after="56"/>
      </w:pPr>
      <w:r>
        <w:t>Intent -&gt; Context -&gt; Plan -&gt; Authority -&gt; Agent Work -&gt; Tool Actions -&gt; Evidence -&gt; Review -&gt; Accepted Outcome -&gt; Dispute / Remediation</w:t>
      </w:r>
    </w:p>
    <w:p>
      <w:pPr>
        <w:spacing w:after="56"/>
      </w:pPr>
      <w:r>
        <w:t>Figure F-01 summarizes the lifecycle responsibility chain used throughout the paper. The chain is a governance model, not a certification path or legal compliance proof.</w:t>
      </w:r>
    </w:p>
    <w:p>
      <w:pPr>
        <w:pStyle w:val="Heading3"/>
      </w:pPr>
      <w:r>
        <w:t>Dual Scoring Framework</w:t>
      </w:r>
    </w:p>
    <w:p>
      <w:pPr>
        <w:spacing w:after="56"/>
      </w:pPr>
      <w:r>
        <w:t>The report introduces two scoring layers:</w:t>
      </w:r>
    </w:p>
    <w:p>
      <w:pPr>
        <w:pStyle w:val="ListNumber"/>
        <w:spacing w:after="56"/>
      </w:pPr>
      <w:r>
        <w:t>RCCS - Regulatory Compliance Coverage Score - measures how strongly a system covers existing regulatory and governance requirements such as risk management, data governance, documentation, record-keeping, transparency, human oversight, security, accountability, contestability, and monitoring.</w:t>
      </w:r>
    </w:p>
    <w:p>
      <w:pPr>
        <w:pStyle w:val="ListNumber"/>
        <w:spacing w:after="56"/>
      </w:pPr>
      <w:r>
        <w:t>ALCS - Agentic Lifecycle Conformance Score - measures whether a system defines the agentic lifecycle objects required for lifecycle responsibility compliance. A system can have a strong RCCS score and still have a weak ALCS score. That is not a contradiction. It means the system may be strong in existing model governance or platform controls while lacking deeper lifecycle responsibility semantics for multi-agent work.</w:t>
      </w:r>
    </w:p>
    <w:p>
      <w:pPr>
        <w:pStyle w:val="Heading3"/>
      </w:pPr>
      <w:r>
        <w:t>Missing Regulatory Objects</w:t>
      </w:r>
    </w:p>
    <w:p>
      <w:pPr>
        <w:spacing w:after="56"/>
      </w:pPr>
      <w:r>
        <w:t>The report also introduces sixteen Missing Regulatory Objects. These are not proposed legal mandates. They are engineering objects that appear necessary if existing regulatory ideals are to become auditable in multi-agent execution. The objects are designed to make visible the difference between model governance, orchestration observability, and lifecycle responsibility governance.</w:t>
      </w:r>
    </w:p>
    <w:p>
      <w:pPr>
        <w:spacing w:after="56"/>
      </w:pPr>
      <w:r>
        <w:t>The sixteen MROs are:</w:t>
      </w:r>
    </w:p>
    <w:p>
      <w:pPr>
        <w:pStyle w:val="ListBullet"/>
        <w:spacing w:after="56"/>
      </w:pPr>
      <w:r>
        <w:t>MRO-01: Human Role to MAS Responsibility Mapping</w:t>
      </w:r>
    </w:p>
    <w:p>
      <w:pPr>
        <w:pStyle w:val="ListBullet"/>
        <w:spacing w:after="56"/>
      </w:pPr>
      <w:r>
        <w:t>MRO-02: Delegated Authority Boundary</w:t>
      </w:r>
    </w:p>
    <w:p>
      <w:pPr>
        <w:pStyle w:val="ListBullet"/>
        <w:spacing w:after="56"/>
      </w:pPr>
      <w:r>
        <w:t>MRO-03: Agent Role is not Human Role</w:t>
      </w:r>
    </w:p>
    <w:p>
      <w:pPr>
        <w:pStyle w:val="ListBullet"/>
        <w:spacing w:after="56"/>
      </w:pPr>
      <w:r>
        <w:t>MRO-04: Accepted Outcome Compliance</w:t>
      </w:r>
    </w:p>
    <w:p>
      <w:pPr>
        <w:pStyle w:val="ListBullet"/>
        <w:spacing w:after="56"/>
      </w:pPr>
      <w:r>
        <w:t>MRO-05: Tool-Action Liability Boundary</w:t>
      </w:r>
    </w:p>
    <w:p>
      <w:pPr>
        <w:pStyle w:val="ListBullet"/>
        <w:spacing w:after="56"/>
      </w:pPr>
      <w:r>
        <w:t>MRO-06: Responsibility Transfer Across Agents</w:t>
      </w:r>
    </w:p>
    <w:p>
      <w:pPr>
        <w:pStyle w:val="ListBullet"/>
        <w:spacing w:after="56"/>
      </w:pPr>
      <w:r>
        <w:t>MRO-07: Authority Drift</w:t>
      </w:r>
    </w:p>
    <w:p>
      <w:pPr>
        <w:pStyle w:val="ListBullet"/>
        <w:spacing w:after="56"/>
      </w:pPr>
      <w:r>
        <w:t>MRO-08: MAS Evidence Partitioning</w:t>
      </w:r>
    </w:p>
    <w:p>
      <w:pPr>
        <w:pStyle w:val="ListBullet"/>
        <w:spacing w:after="56"/>
      </w:pPr>
      <w:r>
        <w:t>MRO-09: Cross-Project Reuse Compliance</w:t>
      </w:r>
    </w:p>
    <w:p>
      <w:pPr>
        <w:pStyle w:val="ListBullet"/>
        <w:spacing w:after="56"/>
      </w:pPr>
      <w:r>
        <w:t>MRO-10: Privacy / GDPR Lifecycle Mapping</w:t>
      </w:r>
    </w:p>
    <w:p>
      <w:pPr>
        <w:pStyle w:val="ListBullet"/>
        <w:spacing w:after="56"/>
      </w:pPr>
      <w:r>
        <w:t>MRO-11: Privacy-Preserving Third-Party Validation</w:t>
      </w:r>
    </w:p>
    <w:p>
      <w:pPr>
        <w:pStyle w:val="ListBullet"/>
        <w:spacing w:after="56"/>
      </w:pPr>
      <w:r>
        <w:t>MRO-12: Evidence Minimization and Selective Disclosure</w:t>
      </w:r>
    </w:p>
    <w:p>
      <w:pPr>
        <w:pStyle w:val="ListBullet"/>
        <w:spacing w:after="56"/>
      </w:pPr>
      <w:r>
        <w:t>MRO-13: Data Subject Rights vs Evidence Retention</w:t>
      </w:r>
    </w:p>
    <w:p>
      <w:pPr>
        <w:pStyle w:val="ListBullet"/>
        <w:spacing w:after="56"/>
      </w:pPr>
      <w:r>
        <w:t>MRO-14: Third-Party Processor / Subprocessor Chain</w:t>
      </w:r>
    </w:p>
    <w:p>
      <w:pPr>
        <w:pStyle w:val="ListBullet"/>
        <w:spacing w:after="56"/>
      </w:pPr>
      <w:r>
        <w:t>MRO-15: Vendor / Model / Runtime Substitution Conformance</w:t>
      </w:r>
    </w:p>
    <w:p>
      <w:pPr>
        <w:pStyle w:val="ListBullet"/>
        <w:spacing w:after="56"/>
      </w:pPr>
      <w:r>
        <w:t>MRO-16: Incident, Dispute, and Remediation Closure</w:t>
      </w:r>
    </w:p>
    <w:p>
      <w:pPr>
        <w:pStyle w:val="Heading3"/>
      </w:pPr>
      <w:r>
        <w:t>Comparative System Analysis</w:t>
      </w:r>
    </w:p>
    <w:p>
      <w:pPr>
        <w:spacing w:after="56"/>
      </w:pPr>
      <w:r>
        <w:t>Finally, the report compares the major system categories now shaping the enterprise agentic stack:</w:t>
      </w:r>
    </w:p>
    <w:p>
      <w:pPr>
        <w:pStyle w:val="ListBullet"/>
        <w:spacing w:after="56"/>
      </w:pPr>
      <w:r>
        <w:t>MPLP as a lifecycle protocol path</w:t>
      </w:r>
    </w:p>
    <w:p>
      <w:pPr>
        <w:pStyle w:val="ListBullet"/>
        <w:spacing w:after="56"/>
      </w:pPr>
      <w:r>
        <w:t>IBM watsonx.governance as an enterprise AI governance platform</w:t>
      </w:r>
    </w:p>
    <w:p>
      <w:pPr>
        <w:pStyle w:val="ListBullet"/>
        <w:spacing w:after="56"/>
      </w:pPr>
      <w:r>
        <w:t>Microsoft Azure AI Foundry as an enterprise AI platform and observability/control plane</w:t>
      </w:r>
    </w:p>
    <w:p>
      <w:pPr>
        <w:pStyle w:val="ListBullet"/>
        <w:spacing w:after="56"/>
      </w:pPr>
      <w:r>
        <w:t>AWS Bedrock and AgentCore as managed agent runtime and guardrail infrastructure</w:t>
      </w:r>
    </w:p>
    <w:p>
      <w:pPr>
        <w:pStyle w:val="ListBullet"/>
        <w:spacing w:after="56"/>
      </w:pPr>
      <w:r>
        <w:t>Google Vertex AI/ADK/Model Armor as managed AI and agent safety infrastructure</w:t>
      </w:r>
    </w:p>
    <w:p>
      <w:pPr>
        <w:pStyle w:val="ListBullet"/>
        <w:spacing w:after="56"/>
      </w:pPr>
      <w:r>
        <w:t>LangGraph/LangSmith as stateful orchestration and observability/evaluation tooling</w:t>
      </w:r>
    </w:p>
    <w:p>
      <w:pPr>
        <w:pStyle w:val="ListBullet"/>
        <w:spacing w:after="56"/>
      </w:pPr>
      <w:r>
        <w:t>OpenAI Agents SDK as a developer agent SDK</w:t>
      </w:r>
    </w:p>
    <w:p>
      <w:pPr>
        <w:pStyle w:val="ListBullet"/>
        <w:spacing w:after="56"/>
      </w:pPr>
      <w:r>
        <w:t>CrewAI as a multi-agent orchestration framework</w:t>
      </w:r>
    </w:p>
    <w:p>
      <w:pPr>
        <w:spacing w:after="56"/>
      </w:pPr>
      <w:r>
        <w:t>The comparison is not a ranking of product quality. It is a map of responsibility semantics. The key question is not which system is useful. Most of them are useful. The key question is whether the system defines the lifecycle responsibility objects required to prove that agentic work moved from intent to accepted outcome under controlled authority, evidence, privacy, and remediation constraints.</w:t>
      </w:r>
    </w:p>
    <w:p>
      <w:pPr>
        <w:pStyle w:val="Heading3"/>
      </w:pPr>
      <w:r>
        <w:t>Enterprise Action Implications</w:t>
      </w:r>
    </w:p>
    <w:p>
      <w:pPr>
        <w:pStyle w:val="ListBullet"/>
        <w:spacing w:after="56"/>
      </w:pPr>
      <w:r>
        <w:t>Start with an authority, responsibility, and evidence inventory before selecting or extending agentic platforms.</w:t>
      </w:r>
    </w:p>
    <w:p>
      <w:pPr>
        <w:pStyle w:val="ListBullet"/>
        <w:spacing w:after="56"/>
      </w:pPr>
      <w:r>
        <w:t>Separate model governance controls from lifecycle responsibility controls so that logs, traces, guardrails, and reviews are not over-read as proof of accepted outcomes.</w:t>
      </w:r>
    </w:p>
    <w:p>
      <w:pPr>
        <w:pStyle w:val="ListBullet"/>
        <w:spacing w:after="56"/>
      </w:pPr>
      <w:r>
        <w:t>Map current systems against MRO, RCCS, and ALCS dimensions to identify which controls are documented, which are implementation-dependent, and which remain analytical assumptions.</w:t>
      </w:r>
    </w:p>
    <w:p>
      <w:pPr>
        <w:pStyle w:val="ListBullet"/>
        <w:spacing w:after="56"/>
      </w:pPr>
      <w:r>
        <w:t>Treat MPLP, Validation Lab, and comparable lifecycle protocols or evidence tools as possible implementation patterns, not required paths or certification mechanisms.</w:t>
      </w:r>
    </w:p>
    <w:p>
      <w:pPr>
        <w:pStyle w:val="ListBullet"/>
        <w:spacing w:after="56"/>
      </w:pPr>
      <w:r>
        <w:t>Preserve source and evidence levels near high-risk product, protocol, validation, and system-mapping claims before publication or procurement use.</w:t>
      </w:r>
    </w:p>
    <w:p>
      <w:pPr>
        <w:pStyle w:val="Heading3"/>
      </w:pPr>
      <w:r>
        <w:t>Audience and Use</w:t>
      </w:r>
    </w:p>
    <w:p>
      <w:pPr>
        <w:spacing w:after="56"/>
      </w:pPr>
      <w:r>
        <w:t>This paper is written for AI governance leaders, enterprise architects, compliance teams, cybersecurity leaders, agent platform builders, insurance and assurance professionals, and protocol designers. It is a technical governance analysis, not legal advice. It translates regulatory and standards language into engineering requirements for agentic and multi-agent systems.</w:t>
      </w:r>
    </w:p>
    <w:p>
      <w:pPr>
        <w:pStyle w:val="Heading3"/>
      </w:pPr>
      <w:r>
        <w:t>Document Status</w:t>
      </w:r>
    </w:p>
    <w:p>
      <w:pPr>
        <w:spacing w:after="56"/>
      </w:pPr>
      <w:r>
        <w:t>This is v0.3.2 Final Release Candidate R3 (GACWP-2026-v0.3.2-FRC-R3) in Publication Draft status. It remains subject to editorial review, citation review, visual proofing, and final release approval.</w:t>
      </w:r>
    </w:p>
    <w:p>
      <w:pPr>
        <w:spacing w:after="56"/>
      </w:pPr>
      <w:r>
        <w:t>Author: Jearon Wong</w:t>
      </w:r>
    </w:p>
    <w:p>
      <w:pPr>
        <w:spacing w:after="56"/>
      </w:pPr>
      <w:r>
        <w:t>Author Position: Protocol Architect for the Agent Era</w:t>
      </w:r>
    </w:p>
    <w:p>
      <w:pPr>
        <w:spacing w:after="56"/>
      </w:pPr>
      <w:r>
        <w:t>Protocol Disclosure: Creator of MPLP — Multi-Agent Lifecycle Protocol</w:t>
      </w:r>
    </w:p>
    <w:p>
      <w:pPr>
        <w:spacing w:after="56"/>
      </w:pPr>
      <w:r>
        <w:t>Site: JearonWong.com</w:t>
      </w:r>
    </w:p>
    <w:p>
      <w:pPr>
        <w:spacing w:after="56"/>
      </w:pPr>
      <w:r>
        <w:t>Non-legal technical governance analysis. Not legal advice. MPLP is discussed with explicit conflict-of-interest disclosure.</w:t>
      </w:r>
    </w:p>
    <w:p>
      <w:pPr>
        <w:pStyle w:val="Heading1"/>
      </w:pPr>
      <w:r>
        <w:t>Chapter 1: Scope, Methodology, and Non-Legal Boundary</w:t>
      </w:r>
    </w:p>
    <w:p>
      <w:pPr>
        <w:spacing w:after="56"/>
      </w:pPr>
      <w:r>
        <w:t>Version: v0.3.2-FRC-R3</w:t>
      </w:r>
    </w:p>
    <w:p>
      <w:pPr>
        <w:pStyle w:val="Heading2"/>
      </w:pPr>
      <w:r>
        <w:t>1.1 Purpose and Positioning</w:t>
      </w:r>
    </w:p>
    <w:p>
      <w:pPr>
        <w:spacing w:after="56"/>
      </w:pPr>
      <w:r>
        <w:t>The front matter states the document boundary; this chapter explains how that boundary is operationalized as a technical governance method.</w:t>
      </w:r>
    </w:p>
    <w:p>
      <w:pPr>
        <w:spacing w:after="56"/>
      </w:pPr>
      <w:r>
        <w:t>This paper is a technical governance analysis, not legal advice. It translates regulatory and standards language into engineering requirements for agentic and multi-agent systems. It is written for AI governance leaders, enterprise architects, AI risk teams, compliance teams, cybersecurity leaders, agent platform builders, insurance and assurance professionals, and protocol designers.</w:t>
      </w:r>
    </w:p>
    <w:p>
      <w:pPr>
        <w:spacing w:after="56"/>
      </w:pPr>
      <w:r>
        <w:t>The paper does not claim that current AI regulation is absent or weak. The claim is narrower and more technical: current regulation and governance frameworks increasingly require human oversight, logging, documentation, monitoring, accountability, transparency, and privacy controls, but they do not yet fully specify the lifecycle objects required to prove those properties inside dynamic agentic and multi-agent execution.</w:t>
      </w:r>
    </w:p>
    <w:p>
      <w:pPr>
        <w:spacing w:after="56"/>
      </w:pPr>
      <w:r>
        <w:t>This full research edition expands the v0.3 framework into a publication-grade white paper. Its purpose is to define a missing semantic and engineering layer for AI agent and multi-agent system compliance. It is deliberately more detailed than an executive brief: the paper introduces a terminology layer, an object model, a dual scoring framework, system-specific mappings, comparative matrices, and implementation templates.</w:t>
      </w:r>
    </w:p>
    <w:p>
      <w:pPr>
        <w:pStyle w:val="Heading2"/>
      </w:pPr>
      <w:r>
        <w:t>1.2 Intended Audience</w:t>
      </w:r>
    </w:p>
    <w:p>
      <w:pPr>
        <w:spacing w:after="56"/>
      </w:pPr>
      <w:r>
        <w:t>This paper is designed for professionals who must translate regulatory obligations into operational systems:</w:t>
      </w:r>
    </w:p>
    <w:p>
      <w:pPr>
        <w:pStyle w:val="ListBullet"/>
        <w:spacing w:after="56"/>
      </w:pPr>
      <w:r>
        <w:t>AI Governance Leaders who must define enterprise AI governance frameworks that extend beyond model risk management</w:t>
      </w:r>
    </w:p>
    <w:p>
      <w:pPr>
        <w:pStyle w:val="ListBullet"/>
        <w:spacing w:after="56"/>
      </w:pPr>
      <w:r>
        <w:t>Enterprise Architects who must design agentic systems that can demonstrate lifecycle responsibility</w:t>
      </w:r>
    </w:p>
    <w:p>
      <w:pPr>
        <w:pStyle w:val="ListBullet"/>
        <w:spacing w:after="56"/>
      </w:pPr>
      <w:r>
        <w:t>AI Risk Teams who must assess whether agentic workflows meet regulatory and internal control requirements</w:t>
      </w:r>
    </w:p>
    <w:p>
      <w:pPr>
        <w:pStyle w:val="ListBullet"/>
        <w:spacing w:after="56"/>
      </w:pPr>
      <w:r>
        <w:t>Compliance Teams who must map regulatory language to technical controls</w:t>
      </w:r>
    </w:p>
    <w:p>
      <w:pPr>
        <w:pStyle w:val="ListBullet"/>
        <w:spacing w:after="56"/>
      </w:pPr>
      <w:r>
        <w:t>Cybersecurity Leaders who must secure agentic workflows across tool actions, memory, and delegation</w:t>
      </w:r>
    </w:p>
    <w:p>
      <w:pPr>
        <w:pStyle w:val="ListBullet"/>
        <w:spacing w:after="56"/>
      </w:pPr>
      <w:r>
        <w:t>Agent Platform Builders who must design platforms that support lifecycle governance primitives</w:t>
      </w:r>
    </w:p>
    <w:p>
      <w:pPr>
        <w:pStyle w:val="ListBullet"/>
        <w:spacing w:after="56"/>
      </w:pPr>
      <w:r>
        <w:t>Insurance and Assurance Professionals who must evaluate whether agentic systems are auditable and insurable</w:t>
      </w:r>
    </w:p>
    <w:p>
      <w:pPr>
        <w:pStyle w:val="ListBullet"/>
        <w:spacing w:after="56"/>
      </w:pPr>
      <w:r>
        <w:t>Protocol Designers who must create standards for agentic lifecycle responsibility</w:t>
      </w:r>
    </w:p>
    <w:p>
      <w:pPr>
        <w:pStyle w:val="Heading2"/>
      </w:pPr>
      <w:r>
        <w:t>1.3 Scope Boundary</w:t>
      </w:r>
    </w:p>
    <w:p>
      <w:pPr>
        <w:spacing w:after="56"/>
      </w:pPr>
      <w:r>
        <w:t>The scope includes internationally comparable legal frameworks, voluntary governance frameworks, management standards, web provenance standards, public cloud AI platforms, agent orchestration frameworks, developer SDKs, and protocol-level approaches. The analysis deliberately avoids jurisdiction-specific political content controls and focuses instead on lifecycle responsibility, auditability, privacy, evidence, and enterprise deployment readiness.</w:t>
      </w:r>
    </w:p>
    <w:p>
      <w:pPr>
        <w:keepNext/>
      </w:pPr>
      <w:r>
        <w:rPr>
          <w:b/>
          <w:sz w:val="16"/>
        </w:rPr>
        <w:t>Table T-01-01: In Scope / Out of Scope</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In Scope</w:t>
            </w:r>
          </w:p>
        </w:tc>
        <w:tc>
          <w:tcPr>
            <w:tcW w:type="dxa" w:w="5112"/>
          </w:tcPr>
          <w:p>
            <w:pPr>
              <w:spacing w:after="0"/>
            </w:pPr>
            <w:r>
              <w:rPr>
                <w:rFonts w:ascii="Arial" w:hAnsi="Arial"/>
                <w:b/>
                <w:sz w:val="14"/>
              </w:rPr>
              <w:t>Out of Scope</w:t>
            </w:r>
          </w:p>
        </w:tc>
      </w:tr>
      <w:tr>
        <w:tc>
          <w:tcPr>
            <w:tcW w:type="dxa" w:w="5112"/>
          </w:tcPr>
          <w:p>
            <w:pPr>
              <w:spacing w:after="0"/>
            </w:pPr>
            <w:r>
              <w:rPr>
                <w:rFonts w:ascii="Arial" w:hAnsi="Arial"/>
                <w:b w:val="0"/>
                <w:sz w:val="14"/>
              </w:rPr>
              <w:t>Agentic AI lifecycle responsibility</w:t>
            </w:r>
          </w:p>
        </w:tc>
        <w:tc>
          <w:tcPr>
            <w:tcW w:type="dxa" w:w="5112"/>
          </w:tcPr>
          <w:p>
            <w:pPr>
              <w:spacing w:after="0"/>
            </w:pPr>
            <w:r>
              <w:rPr>
                <w:rFonts w:ascii="Arial" w:hAnsi="Arial"/>
                <w:b w:val="0"/>
                <w:sz w:val="14"/>
              </w:rPr>
              <w:t>Legal advice for any specific jurisdiction</w:t>
            </w:r>
          </w:p>
        </w:tc>
      </w:tr>
      <w:tr>
        <w:tc>
          <w:tcPr>
            <w:tcW w:type="dxa" w:w="5112"/>
          </w:tcPr>
          <w:p>
            <w:pPr>
              <w:spacing w:after="0"/>
            </w:pPr>
            <w:r>
              <w:rPr>
                <w:rFonts w:ascii="Arial" w:hAnsi="Arial"/>
                <w:b w:val="0"/>
                <w:sz w:val="14"/>
              </w:rPr>
              <w:t>Multi-agent system responsibility transfer</w:t>
            </w:r>
          </w:p>
        </w:tc>
        <w:tc>
          <w:tcPr>
            <w:tcW w:type="dxa" w:w="5112"/>
          </w:tcPr>
          <w:p>
            <w:pPr>
              <w:spacing w:after="0"/>
            </w:pPr>
            <w:r>
              <w:rPr>
                <w:rFonts w:ascii="Arial" w:hAnsi="Arial"/>
                <w:b w:val="0"/>
                <w:sz w:val="14"/>
              </w:rPr>
              <w:t>Political content moderation regimes</w:t>
            </w:r>
          </w:p>
        </w:tc>
      </w:tr>
      <w:tr>
        <w:tc>
          <w:tcPr>
            <w:tcW w:type="dxa" w:w="5112"/>
          </w:tcPr>
          <w:p>
            <w:pPr>
              <w:spacing w:after="0"/>
            </w:pPr>
            <w:r>
              <w:rPr>
                <w:rFonts w:ascii="Arial" w:hAnsi="Arial"/>
                <w:b w:val="0"/>
                <w:sz w:val="14"/>
              </w:rPr>
              <w:t>Evidence, provenance, record-keeping, replay</w:t>
            </w:r>
          </w:p>
        </w:tc>
        <w:tc>
          <w:tcPr>
            <w:tcW w:type="dxa" w:w="5112"/>
          </w:tcPr>
          <w:p>
            <w:pPr>
              <w:spacing w:after="0"/>
            </w:pPr>
            <w:r>
              <w:rPr>
                <w:rFonts w:ascii="Arial" w:hAnsi="Arial"/>
                <w:b w:val="0"/>
                <w:sz w:val="14"/>
              </w:rPr>
              <w:t>Certification issuance or conformity assessment</w:t>
            </w:r>
          </w:p>
        </w:tc>
      </w:tr>
      <w:tr>
        <w:tc>
          <w:tcPr>
            <w:tcW w:type="dxa" w:w="5112"/>
          </w:tcPr>
          <w:p>
            <w:pPr>
              <w:spacing w:after="0"/>
            </w:pPr>
            <w:r>
              <w:rPr>
                <w:rFonts w:ascii="Arial" w:hAnsi="Arial"/>
                <w:b w:val="0"/>
                <w:sz w:val="14"/>
              </w:rPr>
              <w:t>Human oversight as an engineering control</w:t>
            </w:r>
          </w:p>
        </w:tc>
        <w:tc>
          <w:tcPr>
            <w:tcW w:type="dxa" w:w="5112"/>
          </w:tcPr>
          <w:p>
            <w:pPr>
              <w:spacing w:after="0"/>
            </w:pPr>
            <w:r>
              <w:rPr>
                <w:rFonts w:ascii="Arial" w:hAnsi="Arial"/>
                <w:b w:val="0"/>
                <w:sz w:val="14"/>
              </w:rPr>
              <w:t>Claims of regulatory approval</w:t>
            </w:r>
          </w:p>
        </w:tc>
      </w:tr>
      <w:tr>
        <w:tc>
          <w:tcPr>
            <w:tcW w:type="dxa" w:w="5112"/>
          </w:tcPr>
          <w:p>
            <w:pPr>
              <w:spacing w:after="0"/>
            </w:pPr>
            <w:r>
              <w:rPr>
                <w:rFonts w:ascii="Arial" w:hAnsi="Arial"/>
                <w:b w:val="0"/>
                <w:sz w:val="14"/>
              </w:rPr>
              <w:t>Privacy-preserving validation and selective disclosure</w:t>
            </w:r>
          </w:p>
        </w:tc>
        <w:tc>
          <w:tcPr>
            <w:tcW w:type="dxa" w:w="5112"/>
          </w:tcPr>
          <w:p>
            <w:pPr>
              <w:spacing w:after="0"/>
            </w:pPr>
            <w:r>
              <w:rPr>
                <w:rFonts w:ascii="Arial" w:hAnsi="Arial"/>
                <w:b w:val="0"/>
                <w:sz w:val="14"/>
              </w:rPr>
              <w:t>Full product security review of each vendor</w:t>
            </w:r>
          </w:p>
        </w:tc>
      </w:tr>
      <w:tr>
        <w:tc>
          <w:tcPr>
            <w:tcW w:type="dxa" w:w="5112"/>
          </w:tcPr>
          <w:p>
            <w:pPr>
              <w:spacing w:after="0"/>
            </w:pPr>
            <w:r>
              <w:rPr>
                <w:rFonts w:ascii="Arial" w:hAnsi="Arial"/>
                <w:b w:val="0"/>
                <w:sz w:val="14"/>
              </w:rPr>
              <w:t>Framework and platform semantic mapping</w:t>
            </w:r>
          </w:p>
        </w:tc>
        <w:tc>
          <w:tcPr>
            <w:tcW w:type="dxa" w:w="5112"/>
          </w:tcPr>
          <w:p>
            <w:pPr>
              <w:spacing w:after="0"/>
            </w:pPr>
            <w:r>
              <w:rPr>
                <w:rFonts w:ascii="Arial" w:hAnsi="Arial"/>
                <w:b w:val="0"/>
                <w:sz w:val="14"/>
              </w:rPr>
              <w:t>Performance benchmarking or model quality ranking</w:t>
            </w:r>
          </w:p>
        </w:tc>
      </w:tr>
    </w:tbl>
    <w:p>
      <w:pPr>
        <w:pStyle w:val="Heading2"/>
      </w:pPr>
      <w:r>
        <w:t>1.4 Methodology</w:t>
      </w:r>
    </w:p>
    <w:p>
      <w:pPr>
        <w:spacing w:after="56"/>
      </w:pPr>
      <w:r>
        <w:t>The methodology uses a layered approach:</w:t>
      </w:r>
    </w:p>
    <w:p>
      <w:pPr>
        <w:pStyle w:val="ListNumber"/>
        <w:spacing w:after="56"/>
      </w:pPr>
      <w:r>
        <w:t>Extract recurring regulatory concepts from the baseline frameworks: risk management, documentation, logs, transparency, oversight, accountability, security, monitoring, privacy, and redress.</w:t>
      </w:r>
    </w:p>
    <w:p>
      <w:pPr>
        <w:pStyle w:val="ListNumber"/>
        <w:spacing w:after="56"/>
      </w:pPr>
      <w:r>
        <w:t>Ask how these concepts must change when the AI system becomes agentic. The central question is: what must be represented differently when the unit of work is no longer a single model output, but a multi-step workflow involving planning, tool use, memory, delegation, collaboration, and external consequence?</w:t>
      </w:r>
    </w:p>
    <w:p>
      <w:pPr>
        <w:pStyle w:val="ListNumber"/>
        <w:spacing w:after="56"/>
      </w:pPr>
      <w:r>
        <w:t>Define Missing Regulatory Objects that make those obligations testable. These are not proposed legal mandates. They are engineering objects that appear necessary if existing regulatory ideals are to become auditable in multi-agent execution.</w:t>
      </w:r>
    </w:p>
    <w:p>
      <w:pPr>
        <w:pStyle w:val="ListNumber"/>
        <w:spacing w:after="56"/>
      </w:pPr>
      <w:r>
        <w:t>Introduce RCCS and ALCS scoring to separate ordinary governance coverage from lifecycle conformance. RCCS measures how strongly a system covers existing regulatory and governance requirements. ALCS measures whether a system defines the agentic lifecycle objects required for lifecycle responsibility compliance.</w:t>
      </w:r>
    </w:p>
    <w:p>
      <w:pPr>
        <w:pStyle w:val="ListNumber"/>
        <w:spacing w:after="56"/>
      </w:pPr>
      <w:r>
        <w:t>Map representative systems against those objects based on publicly available evidence. The comparison is not a ranking of product quality. It is a map of responsibility semantics.</w:t>
      </w:r>
    </w:p>
    <w:p>
      <w:pPr>
        <w:spacing w:after="56"/>
      </w:pPr>
      <w:r>
        <w:t>The paper avoids pretending that regulatory texts already contain every engineering primitive needed for MAS. It also avoids the opposite error of claiming that existing regulation is irrelevant. The correct position is that existing regulation establishes the direction of travel, while agentic systems require additional engineering object models to implement that direction faithfully.</w:t>
      </w:r>
    </w:p>
    <w:p>
      <w:pPr>
        <w:pStyle w:val="Heading2"/>
      </w:pPr>
      <w:r>
        <w:t>1.5 Evidence Basis</w:t>
      </w:r>
    </w:p>
    <w:p>
      <w:pPr>
        <w:spacing w:after="56"/>
      </w:pPr>
      <w:r>
        <w:t>This hierarchy is necessary because the AI governance market has rapidly overloaded terms such as trace, guardrail, oversight, agent governance, evidence, approval, and evaluation. A trace in an observability product, a log in a cloud service, a review step in an SDK, and an evidence chain in a lifecycle protocol may all sound similar, but they have different compliance strength. This paper therefore treats terminology as insufficient unless it is tied to an object, a rule, an evidence source, and an enforcement or verification mechanism.</w:t>
      </w:r>
    </w:p>
    <w:p>
      <w:pPr>
        <w:keepNext/>
      </w:pPr>
      <w:r>
        <w:rPr>
          <w:b/>
          <w:sz w:val="16"/>
        </w:rPr>
        <w:t>Table T-01-02: Evidence Basis Levels (detailed)</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Level</w:t>
            </w:r>
          </w:p>
        </w:tc>
        <w:tc>
          <w:tcPr>
            <w:tcW w:type="dxa" w:w="2556"/>
          </w:tcPr>
          <w:p>
            <w:pPr>
              <w:spacing w:after="0"/>
            </w:pPr>
            <w:r>
              <w:rPr>
                <w:rFonts w:ascii="Arial" w:hAnsi="Arial"/>
                <w:b/>
                <w:sz w:val="14"/>
              </w:rPr>
              <w:t>Evidence Type</w:t>
            </w:r>
          </w:p>
        </w:tc>
        <w:tc>
          <w:tcPr>
            <w:tcW w:type="dxa" w:w="2556"/>
          </w:tcPr>
          <w:p>
            <w:pPr>
              <w:spacing w:after="0"/>
            </w:pPr>
            <w:r>
              <w:rPr>
                <w:rFonts w:ascii="Arial" w:hAnsi="Arial"/>
                <w:b/>
                <w:sz w:val="14"/>
              </w:rPr>
              <w:t>Use in This Paper</w:t>
            </w:r>
          </w:p>
        </w:tc>
        <w:tc>
          <w:tcPr>
            <w:tcW w:type="dxa" w:w="2556"/>
          </w:tcPr>
          <w:p>
            <w:pPr>
              <w:spacing w:after="0"/>
            </w:pPr>
            <w:r>
              <w:rPr>
                <w:rFonts w:ascii="Arial" w:hAnsi="Arial"/>
                <w:b/>
                <w:sz w:val="14"/>
              </w:rPr>
              <w:t>Confidence</w:t>
            </w:r>
          </w:p>
        </w:tc>
      </w:tr>
      <w:tr>
        <w:tc>
          <w:tcPr>
            <w:tcW w:type="dxa" w:w="2556"/>
          </w:tcPr>
          <w:p>
            <w:pPr>
              <w:spacing w:after="0"/>
            </w:pPr>
            <w:r>
              <w:rPr>
                <w:rFonts w:ascii="Arial" w:hAnsi="Arial"/>
                <w:b w:val="0"/>
                <w:sz w:val="14"/>
              </w:rPr>
              <w:t>L1</w:t>
            </w:r>
          </w:p>
        </w:tc>
        <w:tc>
          <w:tcPr>
            <w:tcW w:type="dxa" w:w="2556"/>
          </w:tcPr>
          <w:p>
            <w:pPr>
              <w:spacing w:after="0"/>
            </w:pPr>
            <w:r>
              <w:rPr>
                <w:rFonts w:ascii="Arial" w:hAnsi="Arial"/>
                <w:b w:val="0"/>
                <w:sz w:val="14"/>
              </w:rPr>
              <w:t>Binding legal, regulatory, or formal standards text</w:t>
            </w:r>
          </w:p>
        </w:tc>
        <w:tc>
          <w:tcPr>
            <w:tcW w:type="dxa" w:w="2556"/>
          </w:tcPr>
          <w:p>
            <w:pPr>
              <w:spacing w:after="0"/>
            </w:pPr>
            <w:r>
              <w:rPr>
                <w:rFonts w:ascii="Arial" w:hAnsi="Arial"/>
                <w:b w:val="0"/>
                <w:sz w:val="14"/>
              </w:rPr>
              <w:t>Used for baseline obligations and formal object requirements; does not prove implementation</w:t>
            </w:r>
          </w:p>
        </w:tc>
        <w:tc>
          <w:tcPr>
            <w:tcW w:type="dxa" w:w="2556"/>
          </w:tcPr>
          <w:p>
            <w:pPr>
              <w:spacing w:after="0"/>
            </w:pPr>
            <w:r>
              <w:rPr>
                <w:rFonts w:ascii="Arial" w:hAnsi="Arial"/>
                <w:b w:val="0"/>
                <w:sz w:val="14"/>
              </w:rPr>
              <w:t>Highest</w:t>
            </w:r>
          </w:p>
        </w:tc>
      </w:tr>
      <w:tr>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Official product documentation, API docs, developer documentation, platform architecture docs</w:t>
            </w:r>
          </w:p>
        </w:tc>
        <w:tc>
          <w:tcPr>
            <w:tcW w:type="dxa" w:w="2556"/>
          </w:tcPr>
          <w:p>
            <w:pPr>
              <w:spacing w:after="0"/>
            </w:pPr>
            <w:r>
              <w:rPr>
                <w:rFonts w:ascii="Arial" w:hAnsi="Arial"/>
                <w:b w:val="0"/>
                <w:sz w:val="14"/>
              </w:rPr>
              <w:t>Used for system mapping and capability interpretation</w:t>
            </w:r>
          </w:p>
        </w:tc>
        <w:tc>
          <w:tcPr>
            <w:tcW w:type="dxa" w:w="2556"/>
          </w:tcPr>
          <w:p>
            <w:pPr>
              <w:spacing w:after="0"/>
            </w:pPr>
            <w:r>
              <w:rPr>
                <w:rFonts w:ascii="Arial" w:hAnsi="Arial"/>
                <w:b w:val="0"/>
                <w:sz w:val="14"/>
              </w:rPr>
              <w:t>High</w:t>
            </w:r>
          </w:p>
        </w:tc>
      </w:tr>
      <w:tr>
        <w:tc>
          <w:tcPr>
            <w:tcW w:type="dxa" w:w="2556"/>
          </w:tcPr>
          <w:p>
            <w:pPr>
              <w:spacing w:after="0"/>
            </w:pPr>
            <w:r>
              <w:rPr>
                <w:rFonts w:ascii="Arial" w:hAnsi="Arial"/>
                <w:b w:val="0"/>
                <w:sz w:val="14"/>
              </w:rPr>
              <w:t>L3</w:t>
            </w:r>
          </w:p>
        </w:tc>
        <w:tc>
          <w:tcPr>
            <w:tcW w:type="dxa" w:w="2556"/>
          </w:tcPr>
          <w:p>
            <w:pPr>
              <w:spacing w:after="0"/>
            </w:pPr>
            <w:r>
              <w:rPr>
                <w:rFonts w:ascii="Arial" w:hAnsi="Arial"/>
                <w:b w:val="0"/>
                <w:sz w:val="14"/>
              </w:rPr>
              <w:t>Independent audits, certifications, third-party evaluations, regulatory commentary</w:t>
            </w:r>
          </w:p>
        </w:tc>
        <w:tc>
          <w:tcPr>
            <w:tcW w:type="dxa" w:w="2556"/>
          </w:tcPr>
          <w:p>
            <w:pPr>
              <w:spacing w:after="0"/>
            </w:pPr>
            <w:r>
              <w:rPr>
                <w:rFonts w:ascii="Arial" w:hAnsi="Arial"/>
                <w:b w:val="0"/>
                <w:sz w:val="14"/>
              </w:rPr>
              <w:t>Used for supplemental confidence and risk interpretation</w:t>
            </w:r>
          </w:p>
        </w:tc>
        <w:tc>
          <w:tcPr>
            <w:tcW w:type="dxa" w:w="2556"/>
          </w:tcPr>
          <w:p>
            <w:pPr>
              <w:spacing w:after="0"/>
            </w:pPr>
            <w:r>
              <w:rPr>
                <w:rFonts w:ascii="Arial" w:hAnsi="Arial"/>
                <w:b w:val="0"/>
                <w:sz w:val="14"/>
              </w:rPr>
              <w:t>Medium</w:t>
            </w:r>
          </w:p>
        </w:tc>
      </w:tr>
      <w:tr>
        <w:tc>
          <w:tcPr>
            <w:tcW w:type="dxa" w:w="2556"/>
          </w:tcPr>
          <w:p>
            <w:pPr>
              <w:spacing w:after="0"/>
            </w:pPr>
            <w:r>
              <w:rPr>
                <w:rFonts w:ascii="Arial" w:hAnsi="Arial"/>
                <w:b w:val="0"/>
                <w:sz w:val="14"/>
              </w:rPr>
              <w:t>L4</w:t>
            </w:r>
          </w:p>
        </w:tc>
        <w:tc>
          <w:tcPr>
            <w:tcW w:type="dxa" w:w="2556"/>
          </w:tcPr>
          <w:p>
            <w:pPr>
              <w:spacing w:after="0"/>
            </w:pPr>
            <w:r>
              <w:rPr>
                <w:rFonts w:ascii="Arial" w:hAnsi="Arial"/>
                <w:b w:val="0"/>
                <w:sz w:val="14"/>
              </w:rPr>
              <w:t>Vendor white papers, product pages, blog posts, marketing statements</w:t>
            </w:r>
          </w:p>
        </w:tc>
        <w:tc>
          <w:tcPr>
            <w:tcW w:type="dxa" w:w="2556"/>
          </w:tcPr>
          <w:p>
            <w:pPr>
              <w:spacing w:after="0"/>
            </w:pPr>
            <w:r>
              <w:rPr>
                <w:rFonts w:ascii="Arial" w:hAnsi="Arial"/>
                <w:b w:val="0"/>
                <w:sz w:val="14"/>
              </w:rPr>
              <w:t>Used only when lower-level technical evidence is unavailable or as positioning evidence</w:t>
            </w:r>
          </w:p>
        </w:tc>
        <w:tc>
          <w:tcPr>
            <w:tcW w:type="dxa" w:w="2556"/>
          </w:tcPr>
          <w:p>
            <w:pPr>
              <w:spacing w:after="0"/>
            </w:pPr>
            <w:r>
              <w:rPr>
                <w:rFonts w:ascii="Arial" w:hAnsi="Arial"/>
                <w:b w:val="0"/>
                <w:sz w:val="14"/>
              </w:rPr>
              <w:t>Low</w:t>
            </w:r>
          </w:p>
        </w:tc>
      </w:tr>
      <w:tr>
        <w:tc>
          <w:tcPr>
            <w:tcW w:type="dxa" w:w="2556"/>
          </w:tcPr>
          <w:p>
            <w:pPr>
              <w:spacing w:after="0"/>
            </w:pPr>
            <w:r>
              <w:rPr>
                <w:rFonts w:ascii="Arial" w:hAnsi="Arial"/>
                <w:b w:val="0"/>
                <w:sz w:val="14"/>
              </w:rPr>
              <w:t>L5</w:t>
            </w:r>
          </w:p>
        </w:tc>
        <w:tc>
          <w:tcPr>
            <w:tcW w:type="dxa" w:w="2556"/>
          </w:tcPr>
          <w:p>
            <w:pPr>
              <w:spacing w:after="0"/>
            </w:pPr>
            <w:r>
              <w:rPr>
                <w:rFonts w:ascii="Arial" w:hAnsi="Arial"/>
                <w:b w:val="0"/>
                <w:sz w:val="14"/>
              </w:rPr>
              <w:t>Author inference, conceptual analysis, strategic interpretation</w:t>
            </w:r>
          </w:p>
        </w:tc>
        <w:tc>
          <w:tcPr>
            <w:tcW w:type="dxa" w:w="2556"/>
          </w:tcPr>
          <w:p>
            <w:pPr>
              <w:spacing w:after="0"/>
            </w:pPr>
            <w:r>
              <w:rPr>
                <w:rFonts w:ascii="Arial" w:hAnsi="Arial"/>
                <w:b w:val="0"/>
                <w:sz w:val="14"/>
              </w:rPr>
              <w:t>Allowed only when clearly marked as inference</w:t>
            </w:r>
          </w:p>
        </w:tc>
        <w:tc>
          <w:tcPr>
            <w:tcW w:type="dxa" w:w="2556"/>
          </w:tcPr>
          <w:p>
            <w:pPr>
              <w:spacing w:after="0"/>
            </w:pPr>
            <w:r>
              <w:rPr>
                <w:rFonts w:ascii="Arial" w:hAnsi="Arial"/>
                <w:b w:val="0"/>
                <w:sz w:val="14"/>
              </w:rPr>
              <w:t>Disclosed</w:t>
            </w:r>
          </w:p>
        </w:tc>
      </w:tr>
    </w:tbl>
    <w:p>
      <w:pPr>
        <w:pStyle w:val="Heading2"/>
      </w:pPr>
      <w:r>
        <w:t>1.6 Non-Legal Boundary and Conflict of Interest Disclosure</w:t>
      </w:r>
    </w:p>
    <w:p>
      <w:pPr>
        <w:spacing w:after="56"/>
      </w:pPr>
      <w:r>
        <w:t>Author position: Protocol Architect for the Agent Era</w:t>
      </w:r>
    </w:p>
    <w:p>
      <w:pPr>
        <w:spacing w:after="56"/>
      </w:pPr>
      <w:r>
        <w:t>Non-legal technical governance analysis. Not legal advice. MPLP is discussed with explicit conflict-of-interest disclosure.</w:t>
      </w:r>
    </w:p>
    <w:p>
      <w:pPr>
        <w:spacing w:after="56"/>
      </w:pPr>
      <w:r>
        <w:t>The author is the creator of MPLP - Multi-Agent Lifecycle Protocol. MPLP is one of the systems discussed in this paper. This creates an inherent conflict of interest. The conflict does not invalidate the analysis, but it must be disclosed clearly because this paper argues for a lifecycle protocol layer and then maps MPLP to that layer.</w:t>
      </w:r>
    </w:p>
    <w:p>
      <w:pPr>
        <w:spacing w:after="56"/>
      </w:pPr>
      <w:r>
        <w:t>The controls used to limit over-claiming are as follows:</w:t>
      </w:r>
    </w:p>
    <w:p>
      <w:pPr>
        <w:pStyle w:val="ListBullet"/>
        <w:spacing w:after="56"/>
      </w:pPr>
      <w:r>
        <w:t>MPLP is treated as a protocol path, not a regulator</w:t>
      </w:r>
    </w:p>
    <w:p>
      <w:pPr>
        <w:pStyle w:val="ListBullet"/>
        <w:spacing w:after="56"/>
      </w:pPr>
      <w:r>
        <w:t>Validation Lab is treated as non-certifying evidence adjudication, not legal certification</w:t>
      </w:r>
    </w:p>
    <w:p>
      <w:pPr>
        <w:pStyle w:val="ListBullet"/>
        <w:spacing w:after="56"/>
      </w:pPr>
      <w:r>
        <w:t>Other platforms are evaluated for their own strengths rather than dismissed</w:t>
      </w:r>
    </w:p>
    <w:p>
      <w:pPr>
        <w:pStyle w:val="ListBullet"/>
        <w:spacing w:after="56"/>
      </w:pPr>
      <w:r>
        <w:t>Scoring claims are separated into regulatory coverage and lifecycle conformance evidence levels</w:t>
      </w:r>
    </w:p>
    <w:p>
      <w:pPr>
        <w:pStyle w:val="ListBullet"/>
        <w:spacing w:after="56"/>
      </w:pPr>
      <w:r>
        <w:t>The paper distinguishes a conceptual object model from real-world legal compliance</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Boundary</w:t>
            </w:r>
          </w:p>
        </w:tc>
        <w:tc>
          <w:tcPr>
            <w:tcW w:type="dxa" w:w="3408"/>
          </w:tcPr>
          <w:p>
            <w:pPr>
              <w:spacing w:after="0"/>
            </w:pPr>
            <w:r>
              <w:rPr>
                <w:rFonts w:ascii="Arial" w:hAnsi="Arial"/>
                <w:b/>
                <w:sz w:val="14"/>
              </w:rPr>
              <w:t>Required Wording</w:t>
            </w:r>
          </w:p>
        </w:tc>
        <w:tc>
          <w:tcPr>
            <w:tcW w:type="dxa" w:w="3408"/>
          </w:tcPr>
          <w:p>
            <w:pPr>
              <w:spacing w:after="0"/>
            </w:pPr>
            <w:r>
              <w:rPr>
                <w:rFonts w:ascii="Arial" w:hAnsi="Arial"/>
                <w:b/>
                <w:sz w:val="14"/>
              </w:rPr>
              <w:t>Forbidden Wording</w:t>
            </w:r>
          </w:p>
        </w:tc>
      </w:tr>
      <w:tr>
        <w:tc>
          <w:tcPr>
            <w:tcW w:type="dxa" w:w="3408"/>
          </w:tcPr>
          <w:p>
            <w:pPr>
              <w:spacing w:after="0"/>
            </w:pPr>
            <w:r>
              <w:rPr>
                <w:rFonts w:ascii="Arial" w:hAnsi="Arial"/>
                <w:b w:val="0"/>
                <w:sz w:val="14"/>
              </w:rPr>
              <w:t>MPLP</w:t>
            </w:r>
          </w:p>
        </w:tc>
        <w:tc>
          <w:tcPr>
            <w:tcW w:type="dxa" w:w="3408"/>
          </w:tcPr>
          <w:p>
            <w:pPr>
              <w:spacing w:after="0"/>
            </w:pPr>
            <w:r>
              <w:rPr>
                <w:rFonts w:ascii="Arial" w:hAnsi="Arial"/>
                <w:b w:val="0"/>
                <w:sz w:val="14"/>
              </w:rPr>
              <w:t>A lifecycle protocol path for expressing agentic responsibility objects</w:t>
            </w:r>
          </w:p>
        </w:tc>
        <w:tc>
          <w:tcPr>
            <w:tcW w:type="dxa" w:w="3408"/>
          </w:tcPr>
          <w:p>
            <w:pPr>
              <w:spacing w:after="0"/>
            </w:pPr>
            <w:r>
              <w:rPr>
                <w:rFonts w:ascii="Arial" w:hAnsi="Arial"/>
                <w:b w:val="0"/>
                <w:sz w:val="14"/>
              </w:rPr>
              <w:t>The only compliant standard</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A non-certifying evidence adjudication example</w:t>
            </w:r>
          </w:p>
        </w:tc>
        <w:tc>
          <w:tcPr>
            <w:tcW w:type="dxa" w:w="3408"/>
          </w:tcPr>
          <w:p>
            <w:pPr>
              <w:spacing w:after="0"/>
            </w:pPr>
            <w:r>
              <w:rPr>
                <w:rFonts w:ascii="Arial" w:hAnsi="Arial"/>
                <w:b w:val="0"/>
                <w:sz w:val="14"/>
              </w:rPr>
              <w:t>A certification authority</w:t>
            </w:r>
          </w:p>
        </w:tc>
      </w:tr>
      <w:tr>
        <w:tc>
          <w:tcPr>
            <w:tcW w:type="dxa" w:w="3408"/>
          </w:tcPr>
          <w:p>
            <w:pPr>
              <w:spacing w:after="0"/>
            </w:pPr>
            <w:r>
              <w:rPr>
                <w:rFonts w:ascii="Arial" w:hAnsi="Arial"/>
                <w:b w:val="0"/>
                <w:sz w:val="14"/>
              </w:rPr>
              <w:t>RCCS/ALCS</w:t>
            </w:r>
          </w:p>
        </w:tc>
        <w:tc>
          <w:tcPr>
            <w:tcW w:type="dxa" w:w="3408"/>
          </w:tcPr>
          <w:p>
            <w:pPr>
              <w:spacing w:after="0"/>
            </w:pPr>
            <w:r>
              <w:rPr>
                <w:rFonts w:ascii="Arial" w:hAnsi="Arial"/>
                <w:b w:val="0"/>
                <w:sz w:val="14"/>
              </w:rPr>
              <w:t>A proposed analytical scoring framework</w:t>
            </w:r>
          </w:p>
        </w:tc>
        <w:tc>
          <w:tcPr>
            <w:tcW w:type="dxa" w:w="3408"/>
          </w:tcPr>
          <w:p>
            <w:pPr>
              <w:spacing w:after="0"/>
            </w:pPr>
            <w:r>
              <w:rPr>
                <w:rFonts w:ascii="Arial" w:hAnsi="Arial"/>
                <w:b w:val="0"/>
                <w:sz w:val="14"/>
              </w:rPr>
              <w:t>A regulator-approved benchmark</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A mapping of public primitives to lifecycle objects</w:t>
            </w:r>
          </w:p>
        </w:tc>
        <w:tc>
          <w:tcPr>
            <w:tcW w:type="dxa" w:w="3408"/>
          </w:tcPr>
          <w:p>
            <w:pPr>
              <w:spacing w:after="0"/>
            </w:pPr>
            <w:r>
              <w:rPr>
                <w:rFonts w:ascii="Arial" w:hAnsi="Arial"/>
                <w:b w:val="0"/>
                <w:sz w:val="14"/>
              </w:rPr>
              <w:t>A final legal compliance judgment</w:t>
            </w:r>
          </w:p>
        </w:tc>
      </w:tr>
      <w:tr>
        <w:tc>
          <w:tcPr>
            <w:tcW w:type="dxa" w:w="3408"/>
          </w:tcPr>
          <w:p>
            <w:pPr>
              <w:spacing w:after="0"/>
            </w:pPr>
            <w:r>
              <w:rPr>
                <w:rFonts w:ascii="Arial" w:hAnsi="Arial"/>
                <w:b w:val="0"/>
                <w:sz w:val="14"/>
              </w:rPr>
              <w:t>AI Agent Lifecycle Governance</w:t>
            </w:r>
          </w:p>
        </w:tc>
        <w:tc>
          <w:tcPr>
            <w:tcW w:type="dxa" w:w="3408"/>
          </w:tcPr>
          <w:p>
            <w:pPr>
              <w:spacing w:after="0"/>
            </w:pPr>
            <w:r>
              <w:rPr>
                <w:rFonts w:ascii="Arial" w:hAnsi="Arial"/>
                <w:b w:val="0"/>
                <w:sz w:val="14"/>
              </w:rPr>
              <w:t>A missing semantic and engineering layer</w:t>
            </w:r>
          </w:p>
        </w:tc>
        <w:tc>
          <w:tcPr>
            <w:tcW w:type="dxa" w:w="3408"/>
          </w:tcPr>
          <w:p>
            <w:pPr>
              <w:spacing w:after="0"/>
            </w:pPr>
            <w:r>
              <w:rPr>
                <w:rFonts w:ascii="Arial" w:hAnsi="Arial"/>
                <w:b w:val="0"/>
                <w:sz w:val="14"/>
              </w:rPr>
              <w:t>A binding regulatory standard</w:t>
            </w:r>
          </w:p>
        </w:tc>
      </w:tr>
    </w:tbl>
    <w:p>
      <w:pPr>
        <w:spacing w:after="56"/>
      </w:pPr>
      <w:r>
        <w:t>This boundary discipline strengthens the paper. The argument does not need to claim that MPLP is the only path. It only needs to show that agentic AI compliance requires lifecycle responsibility objects and that MPLP is one coherent way to express such objects.</w:t>
      </w:r>
    </w:p>
    <w:p>
      <w:pPr>
        <w:pStyle w:val="Heading1"/>
      </w:pPr>
      <w:r>
        <w:t>Chapter 2: The Missing Layer: AI Agent Lifecycle Governance</w:t>
      </w:r>
    </w:p>
    <w:p>
      <w:pPr>
        <w:spacing w:after="56"/>
      </w:pPr>
      <w:r>
        <w:t>Version: v0.3.2-FRC-R3</w:t>
      </w:r>
    </w:p>
    <w:p>
      <w:pPr>
        <w:pStyle w:val="Heading2"/>
      </w:pPr>
      <w:r>
        <w:t>2.1 Defining AI Agent Lifecycle Governance</w:t>
      </w:r>
    </w:p>
    <w:p>
      <w:pPr>
        <w:spacing w:after="56"/>
      </w:pPr>
      <w:r>
        <w:t>AI Agent Lifecycle Governance is the missing governance layer between model compliance and enterprise agent deployment. It defines how agentic work is authorized, executed, evidenced, reviewed, accepted, disputed, remediated, and reused across agents, humans, tools, projects, vendors, and organizational boundaries.</w:t>
      </w:r>
    </w:p>
    <w:p>
      <w:pPr>
        <w:spacing w:after="56"/>
      </w:pPr>
      <w:r>
        <w:t>The phrase matters because existing language is fragmented:</w:t>
      </w:r>
    </w:p>
    <w:p>
      <w:pPr>
        <w:pStyle w:val="ListBullet"/>
        <w:spacing w:after="56"/>
      </w:pPr>
      <w:r>
        <w:t>Model governance focuses on models</w:t>
      </w:r>
    </w:p>
    <w:p>
      <w:pPr>
        <w:pStyle w:val="ListBullet"/>
        <w:spacing w:after="56"/>
      </w:pPr>
      <w:r>
        <w:t>AI risk management focuses on organizational risk processes</w:t>
      </w:r>
    </w:p>
    <w:p>
      <w:pPr>
        <w:pStyle w:val="ListBullet"/>
        <w:spacing w:after="56"/>
      </w:pPr>
      <w:r>
        <w:t>Agent orchestration focuses on execution flow</w:t>
      </w:r>
    </w:p>
    <w:p>
      <w:pPr>
        <w:pStyle w:val="ListBullet"/>
        <w:spacing w:after="56"/>
      </w:pPr>
      <w:r>
        <w:t>Observability focuses on traces, metrics, and debugging</w:t>
      </w:r>
    </w:p>
    <w:p>
      <w:pPr>
        <w:pStyle w:val="ListBullet"/>
        <w:spacing w:after="56"/>
      </w:pPr>
      <w:r>
        <w:t>Human-in-the-loop focuses on review or approval moments</w:t>
      </w:r>
    </w:p>
    <w:p>
      <w:pPr>
        <w:spacing w:after="56"/>
      </w:pPr>
      <w:r>
        <w:t>None of these terms alone names the full lifecycle responsibility problem.</w:t>
      </w:r>
    </w:p>
    <w:p>
      <w:pPr>
        <w:spacing w:after="56"/>
      </w:pPr>
      <w:r>
        <w:t>AI Agent Lifecycle Governance names the whole accountability surface. It asks whether an organization can demonstrate continuity from intent to outcome, not merely whether a system completed a task. It asks whether a human role had the right responsibility boundary, not merely whether a person clicked approve. It asks whether a tool action had a liability boundary, not merely whether an API key existed. It asks whether evidence can be replayed for dispute, not merely whether logs exist. It asks whether privacy survives evidence retention, not merely whether a database has access control.</w:t>
      </w:r>
    </w:p>
    <w:p>
      <w:pPr>
        <w:spacing w:after="56"/>
      </w:pPr>
      <w:r>
        <w:t>Figure F-02 - Governance Stack / Missing Layer</w:t>
      </w:r>
    </w:p>
    <w:p>
      <w:pPr>
        <w:spacing w:after="56"/>
      </w:pPr>
      <w:r>
        <w:t>Model Governance -&gt; Agent Orchestration -&gt; AI Agent Lifecycle Governance -&gt; Enterprise Trust</w:t>
      </w:r>
    </w:p>
    <w:p>
      <w:pPr>
        <w:spacing w:after="56"/>
      </w:pPr>
      <w:r>
        <w:t>Figure F-02 shows the missing lifecycle governance layer between execution orchestration and enterprise trust. The figure is a conceptual governance model, not a certification path or legal compliance proof.</w:t>
      </w:r>
    </w:p>
    <w:p>
      <w:pPr>
        <w:pStyle w:val="Heading2"/>
      </w:pPr>
      <w:r>
        <w:t>2.2 Why Existing Terms Are Insufficient</w:t>
      </w:r>
    </w:p>
    <w:p>
      <w:pPr>
        <w:spacing w:after="56"/>
      </w:pPr>
      <w:r>
        <w:t>The table below shows how existing governance layers answer different questions and produce different artifacts. Each layer is necessary, but none alone addresses lifecycle responsibility for agentic work.</w:t>
      </w:r>
    </w:p>
    <w:p>
      <w:pPr>
        <w:keepNext/>
      </w:pPr>
      <w:r>
        <w:rPr>
          <w:b/>
          <w:sz w:val="16"/>
        </w:rPr>
        <w:t>Table T-02-01: Governance Layer Comparison</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Layer</w:t>
            </w:r>
          </w:p>
        </w:tc>
        <w:tc>
          <w:tcPr>
            <w:tcW w:type="dxa" w:w="2556"/>
          </w:tcPr>
          <w:p>
            <w:pPr>
              <w:spacing w:after="0"/>
            </w:pPr>
            <w:r>
              <w:rPr>
                <w:rFonts w:ascii="Arial" w:hAnsi="Arial"/>
                <w:b/>
                <w:sz w:val="14"/>
              </w:rPr>
              <w:t>Question It Answers</w:t>
            </w:r>
          </w:p>
        </w:tc>
        <w:tc>
          <w:tcPr>
            <w:tcW w:type="dxa" w:w="2556"/>
          </w:tcPr>
          <w:p>
            <w:pPr>
              <w:spacing w:after="0"/>
            </w:pPr>
            <w:r>
              <w:rPr>
                <w:rFonts w:ascii="Arial" w:hAnsi="Arial"/>
                <w:b/>
                <w:sz w:val="14"/>
              </w:rPr>
              <w:t>Typical Artifact</w:t>
            </w:r>
          </w:p>
        </w:tc>
        <w:tc>
          <w:tcPr>
            <w:tcW w:type="dxa" w:w="2556"/>
          </w:tcPr>
          <w:p>
            <w:pPr>
              <w:spacing w:after="0"/>
            </w:pPr>
            <w:r>
              <w:rPr>
                <w:rFonts w:ascii="Arial" w:hAnsi="Arial"/>
                <w:b/>
                <w:sz w:val="14"/>
              </w:rPr>
              <w:t>Limitation if Used Alone</w:t>
            </w:r>
          </w:p>
        </w:tc>
      </w:tr>
      <w:tr>
        <w:tc>
          <w:tcPr>
            <w:tcW w:type="dxa" w:w="2556"/>
          </w:tcPr>
          <w:p>
            <w:pPr>
              <w:spacing w:after="0"/>
            </w:pPr>
            <w:r>
              <w:rPr>
                <w:rFonts w:ascii="Arial" w:hAnsi="Arial"/>
                <w:b w:val="0"/>
                <w:sz w:val="14"/>
              </w:rPr>
              <w:t>Model Governance</w:t>
            </w:r>
          </w:p>
        </w:tc>
        <w:tc>
          <w:tcPr>
            <w:tcW w:type="dxa" w:w="2556"/>
          </w:tcPr>
          <w:p>
            <w:pPr>
              <w:spacing w:after="0"/>
            </w:pPr>
            <w:r>
              <w:rPr>
                <w:rFonts w:ascii="Arial" w:hAnsi="Arial"/>
                <w:b w:val="0"/>
                <w:sz w:val="14"/>
              </w:rPr>
              <w:t>Is the model robust, documented, monitored, and aligned with policy?</w:t>
            </w:r>
          </w:p>
        </w:tc>
        <w:tc>
          <w:tcPr>
            <w:tcW w:type="dxa" w:w="2556"/>
          </w:tcPr>
          <w:p>
            <w:pPr>
              <w:spacing w:after="0"/>
            </w:pPr>
            <w:r>
              <w:rPr>
                <w:rFonts w:ascii="Arial" w:hAnsi="Arial"/>
                <w:b w:val="0"/>
                <w:sz w:val="14"/>
              </w:rPr>
              <w:t>Model cards, evaluations, risk assessments, monitoring reports</w:t>
            </w:r>
          </w:p>
        </w:tc>
        <w:tc>
          <w:tcPr>
            <w:tcW w:type="dxa" w:w="2556"/>
          </w:tcPr>
          <w:p>
            <w:pPr>
              <w:spacing w:after="0"/>
            </w:pPr>
            <w:r>
              <w:rPr>
                <w:rFonts w:ascii="Arial" w:hAnsi="Arial"/>
                <w:b w:val="0"/>
                <w:sz w:val="14"/>
              </w:rPr>
              <w:t>Does not prove lifecycle responsibility for agentic work</w:t>
            </w:r>
          </w:p>
        </w:tc>
      </w:tr>
      <w:tr>
        <w:tc>
          <w:tcPr>
            <w:tcW w:type="dxa" w:w="2556"/>
          </w:tcPr>
          <w:p>
            <w:pPr>
              <w:spacing w:after="0"/>
            </w:pPr>
            <w:r>
              <w:rPr>
                <w:rFonts w:ascii="Arial" w:hAnsi="Arial"/>
                <w:b w:val="0"/>
                <w:sz w:val="14"/>
              </w:rPr>
              <w:t>Agent Orchestration</w:t>
            </w:r>
          </w:p>
        </w:tc>
        <w:tc>
          <w:tcPr>
            <w:tcW w:type="dxa" w:w="2556"/>
          </w:tcPr>
          <w:p>
            <w:pPr>
              <w:spacing w:after="0"/>
            </w:pPr>
            <w:r>
              <w:rPr>
                <w:rFonts w:ascii="Arial" w:hAnsi="Arial"/>
                <w:b w:val="0"/>
                <w:sz w:val="14"/>
              </w:rPr>
              <w:t>How do agents, tools, state, and workflows execute?</w:t>
            </w:r>
          </w:p>
        </w:tc>
        <w:tc>
          <w:tcPr>
            <w:tcW w:type="dxa" w:w="2556"/>
          </w:tcPr>
          <w:p>
            <w:pPr>
              <w:spacing w:after="0"/>
            </w:pPr>
            <w:r>
              <w:rPr>
                <w:rFonts w:ascii="Arial" w:hAnsi="Arial"/>
                <w:b w:val="0"/>
                <w:sz w:val="14"/>
              </w:rPr>
              <w:t>Graphs, tasks, tools, handoffs, checkpoints</w:t>
            </w:r>
          </w:p>
        </w:tc>
        <w:tc>
          <w:tcPr>
            <w:tcW w:type="dxa" w:w="2556"/>
          </w:tcPr>
          <w:p>
            <w:pPr>
              <w:spacing w:after="0"/>
            </w:pPr>
            <w:r>
              <w:rPr>
                <w:rFonts w:ascii="Arial" w:hAnsi="Arial"/>
                <w:b w:val="0"/>
                <w:sz w:val="14"/>
              </w:rPr>
              <w:t>Does not by itself define legal or governance responsibility</w:t>
            </w:r>
          </w:p>
        </w:tc>
      </w:tr>
      <w:tr>
        <w:tc>
          <w:tcPr>
            <w:tcW w:type="dxa" w:w="2556"/>
          </w:tcPr>
          <w:p>
            <w:pPr>
              <w:spacing w:after="0"/>
            </w:pPr>
            <w:r>
              <w:rPr>
                <w:rFonts w:ascii="Arial" w:hAnsi="Arial"/>
                <w:b w:val="0"/>
                <w:sz w:val="14"/>
              </w:rPr>
              <w:t>Observability</w:t>
            </w:r>
          </w:p>
        </w:tc>
        <w:tc>
          <w:tcPr>
            <w:tcW w:type="dxa" w:w="2556"/>
          </w:tcPr>
          <w:p>
            <w:pPr>
              <w:spacing w:after="0"/>
            </w:pPr>
            <w:r>
              <w:rPr>
                <w:rFonts w:ascii="Arial" w:hAnsi="Arial"/>
                <w:b w:val="0"/>
                <w:sz w:val="14"/>
              </w:rPr>
              <w:t>What happened during execution?</w:t>
            </w:r>
          </w:p>
        </w:tc>
        <w:tc>
          <w:tcPr>
            <w:tcW w:type="dxa" w:w="2556"/>
          </w:tcPr>
          <w:p>
            <w:pPr>
              <w:spacing w:after="0"/>
            </w:pPr>
            <w:r>
              <w:rPr>
                <w:rFonts w:ascii="Arial" w:hAnsi="Arial"/>
                <w:b w:val="0"/>
                <w:sz w:val="14"/>
              </w:rPr>
              <w:t>Traces, logs, metrics, dashboards</w:t>
            </w:r>
          </w:p>
        </w:tc>
        <w:tc>
          <w:tcPr>
            <w:tcW w:type="dxa" w:w="2556"/>
          </w:tcPr>
          <w:p>
            <w:pPr>
              <w:spacing w:after="0"/>
            </w:pPr>
            <w:r>
              <w:rPr>
                <w:rFonts w:ascii="Arial" w:hAnsi="Arial"/>
                <w:b w:val="0"/>
                <w:sz w:val="14"/>
              </w:rPr>
              <w:t>Does not by itself prove authorization, acceptance, or dispute readiness</w:t>
            </w:r>
          </w:p>
        </w:tc>
      </w:tr>
      <w:tr>
        <w:tc>
          <w:tcPr>
            <w:tcW w:type="dxa" w:w="2556"/>
          </w:tcPr>
          <w:p>
            <w:pPr>
              <w:spacing w:after="0"/>
            </w:pPr>
            <w:r>
              <w:rPr>
                <w:rFonts w:ascii="Arial" w:hAnsi="Arial"/>
                <w:b w:val="0"/>
                <w:sz w:val="14"/>
              </w:rPr>
              <w:t>Human Review</w:t>
            </w:r>
          </w:p>
        </w:tc>
        <w:tc>
          <w:tcPr>
            <w:tcW w:type="dxa" w:w="2556"/>
          </w:tcPr>
          <w:p>
            <w:pPr>
              <w:spacing w:after="0"/>
            </w:pPr>
            <w:r>
              <w:rPr>
                <w:rFonts w:ascii="Arial" w:hAnsi="Arial"/>
                <w:b w:val="0"/>
                <w:sz w:val="14"/>
              </w:rPr>
              <w:t>Did a person approve, reject, or modify a step?</w:t>
            </w:r>
          </w:p>
        </w:tc>
        <w:tc>
          <w:tcPr>
            <w:tcW w:type="dxa" w:w="2556"/>
          </w:tcPr>
          <w:p>
            <w:pPr>
              <w:spacing w:after="0"/>
            </w:pPr>
            <w:r>
              <w:rPr>
                <w:rFonts w:ascii="Arial" w:hAnsi="Arial"/>
                <w:b w:val="0"/>
                <w:sz w:val="14"/>
              </w:rPr>
              <w:t>Approval UI, review event, interrupt</w:t>
            </w:r>
          </w:p>
        </w:tc>
        <w:tc>
          <w:tcPr>
            <w:tcW w:type="dxa" w:w="2556"/>
          </w:tcPr>
          <w:p>
            <w:pPr>
              <w:spacing w:after="0"/>
            </w:pPr>
            <w:r>
              <w:rPr>
                <w:rFonts w:ascii="Arial" w:hAnsi="Arial"/>
                <w:b w:val="0"/>
                <w:sz w:val="14"/>
              </w:rPr>
              <w:t>Does not by itself map human role to MAS responsibility</w:t>
            </w:r>
          </w:p>
        </w:tc>
      </w:tr>
      <w:tr>
        <w:tc>
          <w:tcPr>
            <w:tcW w:type="dxa" w:w="2556"/>
          </w:tcPr>
          <w:p>
            <w:pPr>
              <w:spacing w:after="0"/>
            </w:pPr>
            <w:r>
              <w:rPr>
                <w:rFonts w:ascii="Arial" w:hAnsi="Arial"/>
                <w:b w:val="0"/>
                <w:sz w:val="14"/>
              </w:rPr>
              <w:t>AI Agent Lifecycle Governance</w:t>
            </w:r>
          </w:p>
        </w:tc>
        <w:tc>
          <w:tcPr>
            <w:tcW w:type="dxa" w:w="2556"/>
          </w:tcPr>
          <w:p>
            <w:pPr>
              <w:spacing w:after="0"/>
            </w:pPr>
            <w:r>
              <w:rPr>
                <w:rFonts w:ascii="Arial" w:hAnsi="Arial"/>
                <w:b w:val="0"/>
                <w:sz w:val="14"/>
              </w:rPr>
              <w:t>How did intent become accepted outcome under responsibility, authority, privacy, evidence, and remediation controls?</w:t>
            </w:r>
          </w:p>
        </w:tc>
        <w:tc>
          <w:tcPr>
            <w:tcW w:type="dxa" w:w="2556"/>
          </w:tcPr>
          <w:p>
            <w:pPr>
              <w:spacing w:after="0"/>
            </w:pPr>
            <w:r>
              <w:rPr>
                <w:rFonts w:ascii="Arial" w:hAnsi="Arial"/>
                <w:b w:val="0"/>
                <w:sz w:val="14"/>
              </w:rPr>
              <w:t>Lifecycle responsibility objects, evidence packs, acceptance records, rulesets</w:t>
            </w:r>
          </w:p>
        </w:tc>
        <w:tc>
          <w:tcPr>
            <w:tcW w:type="dxa" w:w="2556"/>
          </w:tcPr>
          <w:p>
            <w:pPr>
              <w:spacing w:after="0"/>
            </w:pPr>
            <w:r>
              <w:rPr>
                <w:rFonts w:ascii="Arial" w:hAnsi="Arial"/>
                <w:b w:val="0"/>
                <w:sz w:val="14"/>
              </w:rPr>
              <w:t>Requires adoption across architecture and governance, not only tooling</w:t>
            </w:r>
          </w:p>
        </w:tc>
      </w:tr>
    </w:tbl>
    <w:p>
      <w:pPr>
        <w:pStyle w:val="Heading2"/>
      </w:pPr>
      <w:r>
        <w:t>2.3 The Core Move: Regulatory Abstractions to Lifecycle Objects</w:t>
      </w:r>
    </w:p>
    <w:p>
      <w:pPr>
        <w:spacing w:after="56"/>
      </w:pPr>
      <w:r>
        <w:t>The core move in this paper is to turn regulatory abstractions into lifecycle objects:</w:t>
      </w:r>
    </w:p>
    <w:p>
      <w:pPr>
        <w:pStyle w:val="ListBullet"/>
        <w:spacing w:after="56"/>
      </w:pPr>
      <w:r>
        <w:t>Human oversight becomes human-role-to-MAS responsibility mapping</w:t>
      </w:r>
    </w:p>
    <w:p>
      <w:pPr>
        <w:pStyle w:val="ListBullet"/>
        <w:spacing w:after="56"/>
      </w:pPr>
      <w:r>
        <w:t>Logging becomes partitioned evidence chain</w:t>
      </w:r>
    </w:p>
    <w:p>
      <w:pPr>
        <w:pStyle w:val="ListBullet"/>
        <w:spacing w:after="56"/>
      </w:pPr>
      <w:r>
        <w:t>Accountability becomes tool-action liability and responsibility transfer</w:t>
      </w:r>
    </w:p>
    <w:p>
      <w:pPr>
        <w:pStyle w:val="ListBullet"/>
        <w:spacing w:after="56"/>
      </w:pPr>
      <w:r>
        <w:t>Transparency becomes evidence-linked review and accepted outcome</w:t>
      </w:r>
    </w:p>
    <w:p>
      <w:pPr>
        <w:pStyle w:val="ListBullet"/>
        <w:spacing w:after="56"/>
      </w:pPr>
      <w:r>
        <w:t>Monitoring becomes authority drift detection, incident closure, and monitoring feedback</w:t>
      </w:r>
    </w:p>
    <w:p>
      <w:pPr>
        <w:pStyle w:val="ListBullet"/>
        <w:spacing w:after="56"/>
      </w:pPr>
      <w:r>
        <w:t>Privacy becomes lifecycle data-flow mapping, minimization, and selective disclosure</w:t>
      </w:r>
    </w:p>
    <w:p>
      <w:pPr>
        <w:spacing w:after="56"/>
      </w:pPr>
      <w:r>
        <w:t>This is not bureaucracy for its own sake. It is the recognition that agentic systems need explicit objects because the old system boundary has dissolved. The work unit is now distributed across agents, tools, memory, people, projects, and vendors.</w:t>
      </w:r>
    </w:p>
    <w:p>
      <w:pPr>
        <w:pStyle w:val="Heading2"/>
      </w:pPr>
      <w:r>
        <w:t>2.4 The Enterprise Implication</w:t>
      </w:r>
    </w:p>
    <w:p>
      <w:pPr>
        <w:spacing w:after="56"/>
      </w:pPr>
      <w:r>
        <w:t>The enterprise implication is severe.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Pr>
        <w:pStyle w:val="Heading1"/>
      </w:pPr>
      <w:r>
        <w:t>Chapter 3: Why Agentic AI Breaks Model-Centric Compliance</w:t>
      </w:r>
    </w:p>
    <w:p>
      <w:pPr>
        <w:spacing w:after="56"/>
      </w:pPr>
      <w:r>
        <w:t>Version: v0.3.2-FRC-R3</w:t>
      </w:r>
    </w:p>
    <w:p>
      <w:pPr>
        <w:pStyle w:val="Heading2"/>
      </w:pPr>
      <w:r>
        <w:t>3.1 The Unit of Risk Changes</w:t>
      </w:r>
    </w:p>
    <w:p>
      <w:pPr>
        <w:spacing w:after="56"/>
      </w:pPr>
      <w:r>
        <w:t>Agentic AI breaks model-centric compliance because the unit of risk changes. A model-centric system creates risk through prediction, generation, classification, or recommendation. An agentic system creates risk through action, delegation, state change, tool use, memory, collaboration, and external consequence.</w:t>
      </w:r>
    </w:p>
    <w:p>
      <w:pPr>
        <w:spacing w:after="56"/>
      </w:pPr>
      <w:r>
        <w:t>This does not mean models are unimportant. It means that model safety is no longer the outer boundary of system safety. A safe model can still be embedded inside a workflow that can send an email, approve a refund, update a database, deploy code, modify access permissions, route a customer case, create a compliance record, or trigger another autonomous agent.</w:t>
      </w:r>
    </w:p>
    <w:p>
      <w:pPr>
        <w:pStyle w:val="Heading2"/>
      </w:pPr>
      <w:r>
        <w:t>3.2 Model Governance Remains Necessary But Insufficient</w:t>
      </w:r>
    </w:p>
    <w:p>
      <w:pPr>
        <w:spacing w:after="56"/>
      </w:pPr>
      <w:r>
        <w:t>The first generation of AI governance focused on model governance. That work remains essential: risk management, documentation, transparency, robustness, bias mitigation, security, and monitoring are all foundational. But agentic AI adds a new layer of operational consequence.</w:t>
      </w:r>
    </w:p>
    <w:p>
      <w:pPr>
        <w:spacing w:after="56"/>
      </w:pPr>
      <w:r>
        <w:t>This is why model governance must be treated as a foundation rather than the system boundary. Once a model is embedded inside a workflow, compliance must follow the work unit, not only the model artifact.</w:t>
      </w:r>
    </w:p>
    <w:p>
      <w:pPr>
        <w:pStyle w:val="Heading2"/>
      </w:pPr>
      <w:r>
        <w:t>3.3 Failure Mode Comparison</w:t>
      </w:r>
    </w:p>
    <w:p>
      <w:pPr>
        <w:spacing w:after="56"/>
      </w:pPr>
      <w:r>
        <w:t>The table below compares how failure modes manifest differently in model-centric systems versus agentic lifecycle systems.</w:t>
      </w:r>
    </w:p>
    <w:p>
      <w:pPr>
        <w:keepNext/>
      </w:pPr>
      <w:r>
        <w:rPr>
          <w:b/>
          <w:sz w:val="16"/>
        </w:rPr>
        <w:t>Table T-03-01: Failure Mode Comparison</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Failure Mode</w:t>
            </w:r>
          </w:p>
        </w:tc>
        <w:tc>
          <w:tcPr>
            <w:tcW w:type="dxa" w:w="3408"/>
          </w:tcPr>
          <w:p>
            <w:pPr>
              <w:spacing w:after="0"/>
            </w:pPr>
            <w:r>
              <w:rPr>
                <w:rFonts w:ascii="Arial" w:hAnsi="Arial"/>
                <w:b/>
                <w:sz w:val="14"/>
              </w:rPr>
              <w:t>Model-Centric View</w:t>
            </w:r>
          </w:p>
        </w:tc>
        <w:tc>
          <w:tcPr>
            <w:tcW w:type="dxa" w:w="3408"/>
          </w:tcPr>
          <w:p>
            <w:pPr>
              <w:spacing w:after="0"/>
            </w:pPr>
            <w:r>
              <w:rPr>
                <w:rFonts w:ascii="Arial" w:hAnsi="Arial"/>
                <w:b/>
                <w:sz w:val="14"/>
              </w:rPr>
              <w:t>Lifecycle Governance View</w:t>
            </w:r>
          </w:p>
        </w:tc>
      </w:tr>
      <w:tr>
        <w:tc>
          <w:tcPr>
            <w:tcW w:type="dxa" w:w="3408"/>
          </w:tcPr>
          <w:p>
            <w:pPr>
              <w:spacing w:after="0"/>
            </w:pPr>
            <w:r>
              <w:rPr>
                <w:rFonts w:ascii="Arial" w:hAnsi="Arial"/>
                <w:b w:val="0"/>
                <w:sz w:val="14"/>
              </w:rPr>
              <w:t>Wrong output</w:t>
            </w:r>
          </w:p>
        </w:tc>
        <w:tc>
          <w:tcPr>
            <w:tcW w:type="dxa" w:w="3408"/>
          </w:tcPr>
          <w:p>
            <w:pPr>
              <w:spacing w:after="0"/>
            </w:pPr>
            <w:r>
              <w:rPr>
                <w:rFonts w:ascii="Arial" w:hAnsi="Arial"/>
                <w:b w:val="0"/>
                <w:sz w:val="14"/>
              </w:rPr>
              <w:t>Model produced incorrect text</w:t>
            </w:r>
          </w:p>
        </w:tc>
        <w:tc>
          <w:tcPr>
            <w:tcW w:type="dxa" w:w="3408"/>
          </w:tcPr>
          <w:p>
            <w:pPr>
              <w:spacing w:after="0"/>
            </w:pPr>
            <w:r>
              <w:rPr>
                <w:rFonts w:ascii="Arial" w:hAnsi="Arial"/>
                <w:b w:val="0"/>
                <w:sz w:val="14"/>
              </w:rPr>
              <w:t>Was the output accepted, used, challenged, corrected, and evidenced?</w:t>
            </w:r>
          </w:p>
        </w:tc>
      </w:tr>
      <w:tr>
        <w:tc>
          <w:tcPr>
            <w:tcW w:type="dxa" w:w="3408"/>
          </w:tcPr>
          <w:p>
            <w:pPr>
              <w:spacing w:after="0"/>
            </w:pPr>
            <w:r>
              <w:rPr>
                <w:rFonts w:ascii="Arial" w:hAnsi="Arial"/>
                <w:b w:val="0"/>
                <w:sz w:val="14"/>
              </w:rPr>
              <w:t>Unauthorized tool action</w:t>
            </w:r>
          </w:p>
        </w:tc>
        <w:tc>
          <w:tcPr>
            <w:tcW w:type="dxa" w:w="3408"/>
          </w:tcPr>
          <w:p>
            <w:pPr>
              <w:spacing w:after="0"/>
            </w:pPr>
            <w:r>
              <w:rPr>
                <w:rFonts w:ascii="Arial" w:hAnsi="Arial"/>
                <w:b w:val="0"/>
                <w:sz w:val="14"/>
              </w:rPr>
              <w:t>Agent called an external API</w:t>
            </w:r>
          </w:p>
        </w:tc>
        <w:tc>
          <w:tcPr>
            <w:tcW w:type="dxa" w:w="3408"/>
          </w:tcPr>
          <w:p>
            <w:pPr>
              <w:spacing w:after="0"/>
            </w:pPr>
            <w:r>
              <w:rPr>
                <w:rFonts w:ascii="Arial" w:hAnsi="Arial"/>
                <w:b w:val="0"/>
                <w:sz w:val="14"/>
              </w:rPr>
              <w:t>Was the action inside delegated authority and tied to a responsible owner?</w:t>
            </w:r>
          </w:p>
        </w:tc>
      </w:tr>
      <w:tr>
        <w:tc>
          <w:tcPr>
            <w:tcW w:type="dxa" w:w="3408"/>
          </w:tcPr>
          <w:p>
            <w:pPr>
              <w:spacing w:after="0"/>
            </w:pPr>
            <w:r>
              <w:rPr>
                <w:rFonts w:ascii="Arial" w:hAnsi="Arial"/>
                <w:b w:val="0"/>
                <w:sz w:val="14"/>
              </w:rPr>
              <w:t>Agent handoff</w:t>
            </w:r>
          </w:p>
        </w:tc>
        <w:tc>
          <w:tcPr>
            <w:tcW w:type="dxa" w:w="3408"/>
          </w:tcPr>
          <w:p>
            <w:pPr>
              <w:spacing w:after="0"/>
            </w:pPr>
            <w:r>
              <w:rPr>
                <w:rFonts w:ascii="Arial" w:hAnsi="Arial"/>
                <w:b w:val="0"/>
                <w:sz w:val="14"/>
              </w:rPr>
              <w:t>A workflow routed work to another agent</w:t>
            </w:r>
          </w:p>
        </w:tc>
        <w:tc>
          <w:tcPr>
            <w:tcW w:type="dxa" w:w="3408"/>
          </w:tcPr>
          <w:p>
            <w:pPr>
              <w:spacing w:after="0"/>
            </w:pPr>
            <w:r>
              <w:rPr>
                <w:rFonts w:ascii="Arial" w:hAnsi="Arial"/>
                <w:b w:val="0"/>
                <w:sz w:val="14"/>
              </w:rPr>
              <w:t>Were constraints and responsibility explicitly transferred?</w:t>
            </w:r>
          </w:p>
        </w:tc>
      </w:tr>
      <w:tr>
        <w:tc>
          <w:tcPr>
            <w:tcW w:type="dxa" w:w="3408"/>
          </w:tcPr>
          <w:p>
            <w:pPr>
              <w:spacing w:after="0"/>
            </w:pPr>
            <w:r>
              <w:rPr>
                <w:rFonts w:ascii="Arial" w:hAnsi="Arial"/>
                <w:b w:val="0"/>
                <w:sz w:val="14"/>
              </w:rPr>
              <w:t>Human approval</w:t>
            </w:r>
          </w:p>
        </w:tc>
        <w:tc>
          <w:tcPr>
            <w:tcW w:type="dxa" w:w="3408"/>
          </w:tcPr>
          <w:p>
            <w:pPr>
              <w:spacing w:after="0"/>
            </w:pPr>
            <w:r>
              <w:rPr>
                <w:rFonts w:ascii="Arial" w:hAnsi="Arial"/>
                <w:b w:val="0"/>
                <w:sz w:val="14"/>
              </w:rPr>
              <w:t>A person clicked approve</w:t>
            </w:r>
          </w:p>
        </w:tc>
        <w:tc>
          <w:tcPr>
            <w:tcW w:type="dxa" w:w="3408"/>
          </w:tcPr>
          <w:p>
            <w:pPr>
              <w:spacing w:after="0"/>
            </w:pPr>
            <w:r>
              <w:rPr>
                <w:rFonts w:ascii="Arial" w:hAnsi="Arial"/>
                <w:b w:val="0"/>
                <w:sz w:val="14"/>
              </w:rPr>
              <w:t>Was that human role authorized for this outcome and did the evidence support acceptance?</w:t>
            </w:r>
          </w:p>
        </w:tc>
      </w:tr>
      <w:tr>
        <w:tc>
          <w:tcPr>
            <w:tcW w:type="dxa" w:w="3408"/>
          </w:tcPr>
          <w:p>
            <w:pPr>
              <w:spacing w:after="0"/>
            </w:pPr>
            <w:r>
              <w:rPr>
                <w:rFonts w:ascii="Arial" w:hAnsi="Arial"/>
                <w:b w:val="0"/>
                <w:sz w:val="14"/>
              </w:rPr>
              <w:t>Audit log</w:t>
            </w:r>
          </w:p>
        </w:tc>
        <w:tc>
          <w:tcPr>
            <w:tcW w:type="dxa" w:w="3408"/>
          </w:tcPr>
          <w:p>
            <w:pPr>
              <w:spacing w:after="0"/>
            </w:pPr>
            <w:r>
              <w:rPr>
                <w:rFonts w:ascii="Arial" w:hAnsi="Arial"/>
                <w:b w:val="0"/>
                <w:sz w:val="14"/>
              </w:rPr>
              <w:t>System stored events</w:t>
            </w:r>
          </w:p>
        </w:tc>
        <w:tc>
          <w:tcPr>
            <w:tcW w:type="dxa" w:w="3408"/>
          </w:tcPr>
          <w:p>
            <w:pPr>
              <w:spacing w:after="0"/>
            </w:pPr>
            <w:r>
              <w:rPr>
                <w:rFonts w:ascii="Arial" w:hAnsi="Arial"/>
                <w:b w:val="0"/>
                <w:sz w:val="14"/>
              </w:rPr>
              <w:t>Can evidence be reconstructed across agents, tools, privacy boundaries, and plan versions?</w:t>
            </w:r>
          </w:p>
        </w:tc>
      </w:tr>
      <w:tr>
        <w:tc>
          <w:tcPr>
            <w:tcW w:type="dxa" w:w="3408"/>
          </w:tcPr>
          <w:p>
            <w:pPr>
              <w:spacing w:after="0"/>
            </w:pPr>
            <w:r>
              <w:rPr>
                <w:rFonts w:ascii="Arial" w:hAnsi="Arial"/>
                <w:b w:val="0"/>
                <w:sz w:val="14"/>
              </w:rPr>
              <w:t>Privacy issue</w:t>
            </w:r>
          </w:p>
        </w:tc>
        <w:tc>
          <w:tcPr>
            <w:tcW w:type="dxa" w:w="3408"/>
          </w:tcPr>
          <w:p>
            <w:pPr>
              <w:spacing w:after="0"/>
            </w:pPr>
            <w:r>
              <w:rPr>
                <w:rFonts w:ascii="Arial" w:hAnsi="Arial"/>
                <w:b w:val="0"/>
                <w:sz w:val="14"/>
              </w:rPr>
              <w:t>Database contained personal data</w:t>
            </w:r>
          </w:p>
        </w:tc>
        <w:tc>
          <w:tcPr>
            <w:tcW w:type="dxa" w:w="3408"/>
          </w:tcPr>
          <w:p>
            <w:pPr>
              <w:spacing w:after="0"/>
            </w:pPr>
            <w:r>
              <w:rPr>
                <w:rFonts w:ascii="Arial" w:hAnsi="Arial"/>
                <w:b w:val="0"/>
                <w:sz w:val="14"/>
              </w:rPr>
              <w:t>Did personal data flow through prompts, memory, tools, traces, and evidence packs under purpose limitation?</w:t>
            </w:r>
          </w:p>
        </w:tc>
      </w:tr>
    </w:tbl>
    <w:p>
      <w:pPr>
        <w:pStyle w:val="Heading2"/>
      </w:pPr>
      <w:r>
        <w:t>3.4 Why Well-Evaluated Agents Can Still Fail Governance</w:t>
      </w:r>
    </w:p>
    <w:p>
      <w:pPr>
        <w:spacing w:after="56"/>
      </w:pPr>
      <w:r>
        <w:t>A well-evaluated agent can still act under the wrong authority. A perfectly traced workflow can still lack accepted outcome governance. A strong guardrail can still fail to define who owns a tool action. A human approval event can still fail to show whether the human had the correct responsibility role.</w:t>
      </w:r>
    </w:p>
    <w:p>
      <w:pPr>
        <w:spacing w:after="56"/>
      </w:pPr>
      <w:r>
        <w:t>The enterprise implication is severe.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Pr>
        <w:pStyle w:val="Heading2"/>
      </w:pPr>
      <w:r>
        <w:t>3.5 The Compliance Question Changes</w:t>
      </w:r>
    </w:p>
    <w:p>
      <w:pPr>
        <w:spacing w:after="56"/>
      </w:pPr>
      <w:r>
        <w:t>The central compliance question is changing:</w:t>
      </w:r>
    </w:p>
    <w:p>
      <w:pPr>
        <w:pStyle w:val="ListBullet"/>
        <w:spacing w:after="56"/>
      </w:pPr>
      <w:r>
        <w:t>Model-centric question: Did the model produce a safe output?</w:t>
      </w:r>
    </w:p>
    <w:p>
      <w:pPr>
        <w:pStyle w:val="ListBullet"/>
        <w:spacing w:after="56"/>
      </w:pPr>
      <w:r>
        <w:t>Agentic lifecycle question: Was an agentic unit of work authorized, executed, evidenced, reviewed, accepted, disputed, remediated, and improved under controlled authority, evidence, privacy, and remediation constraints?</w:t>
      </w:r>
    </w:p>
    <w:p>
      <w:pPr>
        <w:spacing w:after="56"/>
      </w:pPr>
      <w:r>
        <w:t>This shift changes the compliance question. The test is no longer only whether the model output was safe, but whether the unit of agentic work can be shown to have moved from intent to accepted outcome under controlled authority, evidence, privacy, and remediation constraints.</w:t>
      </w:r>
    </w:p>
    <w:p>
      <w:pPr>
        <w:spacing w:after="56"/>
      </w:pPr>
      <w:r>
        <w:t>The next chapter therefore turns to the regulatory and standards baseline: what existing frameworks already require, and where agentic lifecycle objects are still needed.</w:t>
      </w:r>
    </w:p>
    <w:p>
      <w:pPr>
        <w:pStyle w:val="Heading1"/>
      </w:pPr>
      <w:r>
        <w:t>Chapter 4: Regulatory and Standards Baseline</w:t>
      </w:r>
    </w:p>
    <w:p>
      <w:pPr>
        <w:spacing w:after="56"/>
      </w:pPr>
      <w:r>
        <w:t>Version: v0.3.2-FRC-R3</w:t>
      </w:r>
    </w:p>
    <w:p>
      <w:pPr>
        <w:pStyle w:val="Heading2"/>
      </w:pPr>
      <w:r>
        <w:t>4.1 Purpose of the Baseline</w:t>
      </w:r>
    </w:p>
    <w:p>
      <w:pPr>
        <w:spacing w:after="56"/>
      </w:pPr>
      <w:r>
        <w:t>This chapter establishes the regulatory and standards baseline that informs the Missing Regulatory Objects and scoring frameworks introduced later in the paper. The baseline is not exhaustive. It focuses on frameworks that establish recurring obligations around risk management, documentation, record-keeping, transparency, human oversight, security, accountability, contestability, and monitoring.</w:t>
      </w:r>
    </w:p>
    <w:p>
      <w:pPr>
        <w:spacing w:after="56"/>
      </w:pPr>
      <w:r>
        <w:t>The analysis does not claim that these frameworks are weak or absent. The claim is technical: these frameworks give baseline obligations and conceptual direction, but agentic systems require engineering objects that bind authority, responsibility, evidence, and privacy to concrete execution states.</w:t>
      </w:r>
    </w:p>
    <w:p>
      <w:pPr>
        <w:spacing w:after="56"/>
      </w:pPr>
      <w:r>
        <w:t>Each framework analyzed in this chapter contributes essential governance direction. The shared pattern across all frameworks is that they establish what must be governed, but they do not themselves define the lifecycle objects required to prove that agentic work moved from intent to accepted outcome under controlled authority, evidence, privacy, and remediation constraints. That engineering layer is the focus of Chapters 6 through 9.</w:t>
      </w:r>
    </w:p>
    <w:p>
      <w:pPr>
        <w:pStyle w:val="Heading2"/>
      </w:pPr>
      <w:r>
        <w:t>4.2 Regulatory Frameworks Baseline Table</w:t>
      </w:r>
    </w:p>
    <w:p>
      <w:pPr>
        <w:spacing w:after="56"/>
      </w:pPr>
      <w:r>
        <w:t>The table below summarizes the frameworks analyzed in this chapter, their type, relevant requirements, and the agentic gap that remains.</w:t>
      </w:r>
    </w:p>
    <w:p>
      <w:pPr>
        <w:keepNext/>
      </w:pPr>
      <w:r>
        <w:rPr>
          <w:b/>
          <w:sz w:val="16"/>
        </w:rPr>
        <w:t>Table T-04-01: Regulatory Frameworks Baseline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Framework</w:t>
            </w:r>
          </w:p>
        </w:tc>
        <w:tc>
          <w:tcPr>
            <w:tcW w:type="dxa" w:w="2556"/>
          </w:tcPr>
          <w:p>
            <w:pPr>
              <w:spacing w:after="0"/>
            </w:pPr>
            <w:r>
              <w:rPr>
                <w:rFonts w:ascii="Arial" w:hAnsi="Arial"/>
                <w:b/>
                <w:sz w:val="14"/>
              </w:rPr>
              <w:t>Type</w:t>
            </w:r>
          </w:p>
        </w:tc>
        <w:tc>
          <w:tcPr>
            <w:tcW w:type="dxa" w:w="2556"/>
          </w:tcPr>
          <w:p>
            <w:pPr>
              <w:spacing w:after="0"/>
            </w:pPr>
            <w:r>
              <w:rPr>
                <w:rFonts w:ascii="Arial" w:hAnsi="Arial"/>
                <w:b/>
                <w:sz w:val="14"/>
              </w:rPr>
              <w:t>Relevant Requirements</w:t>
            </w:r>
          </w:p>
        </w:tc>
        <w:tc>
          <w:tcPr>
            <w:tcW w:type="dxa" w:w="2556"/>
          </w:tcPr>
          <w:p>
            <w:pPr>
              <w:spacing w:after="0"/>
            </w:pPr>
            <w:r>
              <w:rPr>
                <w:rFonts w:ascii="Arial" w:hAnsi="Arial"/>
                <w:b/>
                <w:sz w:val="14"/>
              </w:rPr>
              <w:t>Agentic Gap</w:t>
            </w:r>
          </w:p>
        </w:tc>
      </w:tr>
      <w:tr>
        <w:tc>
          <w:tcPr>
            <w:tcW w:type="dxa" w:w="2556"/>
          </w:tcPr>
          <w:p>
            <w:pPr>
              <w:spacing w:after="0"/>
            </w:pPr>
            <w:r>
              <w:rPr>
                <w:rFonts w:ascii="Arial" w:hAnsi="Arial"/>
                <w:b w:val="0"/>
                <w:sz w:val="14"/>
              </w:rPr>
              <w:t>EU AI Act</w:t>
            </w:r>
          </w:p>
        </w:tc>
        <w:tc>
          <w:tcPr>
            <w:tcW w:type="dxa" w:w="2556"/>
          </w:tcPr>
          <w:p>
            <w:pPr>
              <w:spacing w:after="0"/>
            </w:pPr>
            <w:r>
              <w:rPr>
                <w:rFonts w:ascii="Arial" w:hAnsi="Arial"/>
                <w:b w:val="0"/>
                <w:sz w:val="14"/>
              </w:rPr>
              <w:t>Binding regulation</w:t>
            </w:r>
          </w:p>
        </w:tc>
        <w:tc>
          <w:tcPr>
            <w:tcW w:type="dxa" w:w="2556"/>
          </w:tcPr>
          <w:p>
            <w:pPr>
              <w:spacing w:after="0"/>
            </w:pPr>
            <w:r>
              <w:rPr>
                <w:rFonts w:ascii="Arial" w:hAnsi="Arial"/>
                <w:b w:val="0"/>
                <w:sz w:val="14"/>
              </w:rPr>
              <w:t>Technical documentation, record-keeping, transparency, human oversight, accuracy/robustness/cybersecurity, post-market monitoring</w:t>
            </w:r>
          </w:p>
        </w:tc>
        <w:tc>
          <w:tcPr>
            <w:tcW w:type="dxa" w:w="2556"/>
          </w:tcPr>
          <w:p>
            <w:pPr>
              <w:spacing w:after="0"/>
            </w:pPr>
            <w:r>
              <w:rPr>
                <w:rFonts w:ascii="Arial" w:hAnsi="Arial"/>
                <w:b w:val="0"/>
                <w:sz w:val="14"/>
              </w:rPr>
              <w:t>Strong legal baseline for high-risk systems; does not itself define MAS responsibility-transfer object models</w:t>
            </w:r>
          </w:p>
        </w:tc>
      </w:tr>
      <w:tr>
        <w:tc>
          <w:tcPr>
            <w:tcW w:type="dxa" w:w="2556"/>
          </w:tcPr>
          <w:p>
            <w:pPr>
              <w:spacing w:after="0"/>
            </w:pPr>
            <w:r>
              <w:rPr>
                <w:rFonts w:ascii="Arial" w:hAnsi="Arial"/>
                <w:b w:val="0"/>
                <w:sz w:val="14"/>
              </w:rPr>
              <w:t>GDPR</w:t>
            </w:r>
          </w:p>
        </w:tc>
        <w:tc>
          <w:tcPr>
            <w:tcW w:type="dxa" w:w="2556"/>
          </w:tcPr>
          <w:p>
            <w:pPr>
              <w:spacing w:after="0"/>
            </w:pPr>
            <w:r>
              <w:rPr>
                <w:rFonts w:ascii="Arial" w:hAnsi="Arial"/>
                <w:b w:val="0"/>
                <w:sz w:val="14"/>
              </w:rPr>
              <w:t>Binding privacy regulation</w:t>
            </w:r>
          </w:p>
        </w:tc>
        <w:tc>
          <w:tcPr>
            <w:tcW w:type="dxa" w:w="2556"/>
          </w:tcPr>
          <w:p>
            <w:pPr>
              <w:spacing w:after="0"/>
            </w:pPr>
            <w:r>
              <w:rPr>
                <w:rFonts w:ascii="Arial" w:hAnsi="Arial"/>
                <w:b w:val="0"/>
                <w:sz w:val="14"/>
              </w:rPr>
              <w:t>Lawfulness, fairness, transparency, purpose limitation, minimization, storage limitation, integrity/confidentiality, accountability</w:t>
            </w:r>
          </w:p>
        </w:tc>
        <w:tc>
          <w:tcPr>
            <w:tcW w:type="dxa" w:w="2556"/>
          </w:tcPr>
          <w:p>
            <w:pPr>
              <w:spacing w:after="0"/>
            </w:pPr>
            <w:r>
              <w:rPr>
                <w:rFonts w:ascii="Arial" w:hAnsi="Arial"/>
                <w:b w:val="0"/>
                <w:sz w:val="14"/>
              </w:rPr>
              <w:t>Applies strongly to agentic memory, prompt payloads, traces, evidence packs, and cross-project reuse; lifecycle mapping remains an engineering task</w:t>
            </w:r>
          </w:p>
        </w:tc>
      </w:tr>
      <w:tr>
        <w:tc>
          <w:tcPr>
            <w:tcW w:type="dxa" w:w="2556"/>
          </w:tcPr>
          <w:p>
            <w:pPr>
              <w:spacing w:after="0"/>
            </w:pPr>
            <w:r>
              <w:rPr>
                <w:rFonts w:ascii="Arial" w:hAnsi="Arial"/>
                <w:b w:val="0"/>
                <w:sz w:val="14"/>
              </w:rPr>
              <w:t>NIST AI RMF 1.0</w:t>
            </w:r>
          </w:p>
        </w:tc>
        <w:tc>
          <w:tcPr>
            <w:tcW w:type="dxa" w:w="2556"/>
          </w:tcPr>
          <w:p>
            <w:pPr>
              <w:spacing w:after="0"/>
            </w:pPr>
            <w:r>
              <w:rPr>
                <w:rFonts w:ascii="Arial" w:hAnsi="Arial"/>
                <w:b w:val="0"/>
                <w:sz w:val="14"/>
              </w:rPr>
              <w:t>Voluntary risk framework</w:t>
            </w:r>
          </w:p>
        </w:tc>
        <w:tc>
          <w:tcPr>
            <w:tcW w:type="dxa" w:w="2556"/>
          </w:tcPr>
          <w:p>
            <w:pPr>
              <w:spacing w:after="0"/>
            </w:pPr>
            <w:r>
              <w:rPr>
                <w:rFonts w:ascii="Arial" w:hAnsi="Arial"/>
                <w:b w:val="0"/>
                <w:sz w:val="14"/>
              </w:rPr>
              <w:t>Govern, Map, Measure, Manage functions across the AI lifecycle</w:t>
            </w:r>
          </w:p>
        </w:tc>
        <w:tc>
          <w:tcPr>
            <w:tcW w:type="dxa" w:w="2556"/>
          </w:tcPr>
          <w:p>
            <w:pPr>
              <w:spacing w:after="0"/>
            </w:pPr>
            <w:r>
              <w:rPr>
                <w:rFonts w:ascii="Arial" w:hAnsi="Arial"/>
                <w:b w:val="0"/>
                <w:sz w:val="14"/>
              </w:rPr>
              <w:t>Excellent risk-management umbrella; intentionally not a MAS protocol or delegated-authority object model</w:t>
            </w:r>
          </w:p>
        </w:tc>
      </w:tr>
      <w:tr>
        <w:tc>
          <w:tcPr>
            <w:tcW w:type="dxa" w:w="2556"/>
          </w:tcPr>
          <w:p>
            <w:pPr>
              <w:spacing w:after="0"/>
            </w:pPr>
            <w:r>
              <w:rPr>
                <w:rFonts w:ascii="Arial" w:hAnsi="Arial"/>
                <w:b w:val="0"/>
                <w:sz w:val="14"/>
              </w:rPr>
              <w:t>ISO/IEC 42001</w:t>
            </w:r>
          </w:p>
        </w:tc>
        <w:tc>
          <w:tcPr>
            <w:tcW w:type="dxa" w:w="2556"/>
          </w:tcPr>
          <w:p>
            <w:pPr>
              <w:spacing w:after="0"/>
            </w:pPr>
            <w:r>
              <w:rPr>
                <w:rFonts w:ascii="Arial" w:hAnsi="Arial"/>
                <w:b w:val="0"/>
                <w:sz w:val="14"/>
              </w:rPr>
              <w:t>Management system standard</w:t>
            </w:r>
          </w:p>
        </w:tc>
        <w:tc>
          <w:tcPr>
            <w:tcW w:type="dxa" w:w="2556"/>
          </w:tcPr>
          <w:p>
            <w:pPr>
              <w:spacing w:after="0"/>
            </w:pPr>
            <w:r>
              <w:rPr>
                <w:rFonts w:ascii="Arial" w:hAnsi="Arial"/>
                <w:b w:val="0"/>
                <w:sz w:val="14"/>
              </w:rPr>
              <w:t>AIMS requirements for establishing, implementing, maintaining, and improving AI management systems</w:t>
            </w:r>
          </w:p>
        </w:tc>
        <w:tc>
          <w:tcPr>
            <w:tcW w:type="dxa" w:w="2556"/>
          </w:tcPr>
          <w:p>
            <w:pPr>
              <w:spacing w:after="0"/>
            </w:pPr>
            <w:r>
              <w:rPr>
                <w:rFonts w:ascii="Arial" w:hAnsi="Arial"/>
                <w:b w:val="0"/>
                <w:sz w:val="14"/>
              </w:rPr>
              <w:t>Supports organizational governance; needs technical lifecycle evidence objects for agentic execution</w:t>
            </w:r>
          </w:p>
        </w:tc>
      </w:tr>
      <w:tr>
        <w:tc>
          <w:tcPr>
            <w:tcW w:type="dxa" w:w="2556"/>
          </w:tcPr>
          <w:p>
            <w:pPr>
              <w:spacing w:after="0"/>
            </w:pPr>
            <w:r>
              <w:rPr>
                <w:rFonts w:ascii="Arial" w:hAnsi="Arial"/>
                <w:b w:val="0"/>
                <w:sz w:val="14"/>
              </w:rPr>
              <w:t>Singapore IMDA Model AI Governance Framework for Agentic AI</w:t>
            </w:r>
          </w:p>
        </w:tc>
        <w:tc>
          <w:tcPr>
            <w:tcW w:type="dxa" w:w="2556"/>
          </w:tcPr>
          <w:p>
            <w:pPr>
              <w:spacing w:after="0"/>
            </w:pPr>
            <w:r>
              <w:rPr>
                <w:rFonts w:ascii="Arial" w:hAnsi="Arial"/>
                <w:b w:val="0"/>
                <w:sz w:val="14"/>
              </w:rPr>
              <w:t>Voluntary governance framework</w:t>
            </w:r>
          </w:p>
        </w:tc>
        <w:tc>
          <w:tcPr>
            <w:tcW w:type="dxa" w:w="2556"/>
          </w:tcPr>
          <w:p>
            <w:pPr>
              <w:spacing w:after="0"/>
            </w:pPr>
            <w:r>
              <w:rPr>
                <w:rFonts w:ascii="Arial" w:hAnsi="Arial"/>
                <w:b w:val="0"/>
                <w:sz w:val="14"/>
              </w:rPr>
              <w:t>Assessing and bounding risks upfront; making humans meaningfully accountable; implementing technical controls and processes; enabling end-user responsibility</w:t>
            </w:r>
          </w:p>
        </w:tc>
        <w:tc>
          <w:tcPr>
            <w:tcW w:type="dxa" w:w="2556"/>
          </w:tcPr>
          <w:p>
            <w:pPr>
              <w:spacing w:after="0"/>
            </w:pPr>
            <w:r>
              <w:rPr>
                <w:rFonts w:ascii="Arial" w:hAnsi="Arial"/>
                <w:b w:val="0"/>
                <w:sz w:val="14"/>
              </w:rPr>
              <w:t>Strong agentic governance signal; voluntary framework rather than protocol schema, certification, or binding law</w:t>
            </w:r>
          </w:p>
        </w:tc>
      </w:tr>
      <w:tr>
        <w:tc>
          <w:tcPr>
            <w:tcW w:type="dxa" w:w="2556"/>
          </w:tcPr>
          <w:p>
            <w:pPr>
              <w:spacing w:after="0"/>
            </w:pPr>
            <w:r>
              <w:rPr>
                <w:rFonts w:ascii="Arial" w:hAnsi="Arial"/>
                <w:b w:val="0"/>
                <w:sz w:val="14"/>
              </w:rPr>
              <w:t>W3C PROV / Verifiable Credentials</w:t>
            </w:r>
          </w:p>
        </w:tc>
        <w:tc>
          <w:tcPr>
            <w:tcW w:type="dxa" w:w="2556"/>
          </w:tcPr>
          <w:p>
            <w:pPr>
              <w:spacing w:after="0"/>
            </w:pPr>
            <w:r>
              <w:rPr>
                <w:rFonts w:ascii="Arial" w:hAnsi="Arial"/>
                <w:b w:val="0"/>
                <w:sz w:val="14"/>
              </w:rPr>
              <w:t>Web provenance and credential standards</w:t>
            </w:r>
          </w:p>
        </w:tc>
        <w:tc>
          <w:tcPr>
            <w:tcW w:type="dxa" w:w="2556"/>
          </w:tcPr>
          <w:p>
            <w:pPr>
              <w:spacing w:after="0"/>
            </w:pPr>
            <w:r>
              <w:rPr>
                <w:rFonts w:ascii="Arial" w:hAnsi="Arial"/>
                <w:b w:val="0"/>
                <w:sz w:val="14"/>
              </w:rPr>
              <w:t>Provenance of entities, activities, agents; tamper-evident machine-verifiable claims</w:t>
            </w:r>
          </w:p>
        </w:tc>
        <w:tc>
          <w:tcPr>
            <w:tcW w:type="dxa" w:w="2556"/>
          </w:tcPr>
          <w:p>
            <w:pPr>
              <w:spacing w:after="0"/>
            </w:pPr>
            <w:r>
              <w:rPr>
                <w:rFonts w:ascii="Arial" w:hAnsi="Arial"/>
                <w:b w:val="0"/>
                <w:sz w:val="14"/>
              </w:rPr>
              <w:t>Useful foundation for evidence chain, selective disclosure, and third-party validation; not agent governance by itself</w:t>
            </w:r>
          </w:p>
        </w:tc>
      </w:tr>
      <w:tr>
        <w:tc>
          <w:tcPr>
            <w:tcW w:type="dxa" w:w="2556"/>
          </w:tcPr>
          <w:p>
            <w:pPr>
              <w:spacing w:after="0"/>
            </w:pPr>
            <w:r>
              <w:rPr>
                <w:rFonts w:ascii="Arial" w:hAnsi="Arial"/>
                <w:b w:val="0"/>
                <w:sz w:val="14"/>
              </w:rPr>
              <w:t>Colorado AI Act (SB24-205 / SB25B-004)</w:t>
            </w:r>
          </w:p>
        </w:tc>
        <w:tc>
          <w:tcPr>
            <w:tcW w:type="dxa" w:w="2556"/>
          </w:tcPr>
          <w:p>
            <w:pPr>
              <w:spacing w:after="0"/>
            </w:pPr>
            <w:r>
              <w:rPr>
                <w:rFonts w:ascii="Arial" w:hAnsi="Arial"/>
                <w:b w:val="0"/>
                <w:sz w:val="14"/>
              </w:rPr>
              <w:t>U.S. state law sample; not yet effective at 2026-05-07 snapshot</w:t>
            </w:r>
          </w:p>
        </w:tc>
        <w:tc>
          <w:tcPr>
            <w:tcW w:type="dxa" w:w="2556"/>
          </w:tcPr>
          <w:p>
            <w:pPr>
              <w:spacing w:after="0"/>
            </w:pPr>
            <w:r>
              <w:rPr>
                <w:rFonts w:ascii="Arial" w:hAnsi="Arial"/>
                <w:b w:val="0"/>
                <w:sz w:val="14"/>
              </w:rPr>
              <w:t>Consumer protections for high-risk AI systems; effective date extended to 2026-06-30 by SB25B-004</w:t>
            </w:r>
          </w:p>
        </w:tc>
        <w:tc>
          <w:tcPr>
            <w:tcW w:type="dxa" w:w="2556"/>
          </w:tcPr>
          <w:p>
            <w:pPr>
              <w:spacing w:after="0"/>
            </w:pPr>
            <w:r>
              <w:rPr>
                <w:rFonts w:ascii="Arial" w:hAnsi="Arial"/>
                <w:b w:val="0"/>
                <w:sz w:val="14"/>
              </w:rPr>
              <w:t>Useful state-level signal for algorithmic accountability; should be treated as forward-looking in this paper, not as an active effective-law baseline at the snapshot date</w:t>
            </w:r>
          </w:p>
        </w:tc>
      </w:tr>
    </w:tbl>
    <w:p>
      <w:pPr>
        <w:pStyle w:val="Heading2"/>
      </w:pPr>
      <w:r>
        <w:t>4.3 EU AI Act</w:t>
      </w:r>
    </w:p>
    <w:p>
      <w:pPr>
        <w:spacing w:after="56"/>
      </w:pPr>
      <w:r>
        <w:t>[EU-AI-ACT-ART-11] [EU-AI-ACT-ART-12] [EU-AI-ACT-ART-14] [EU-AI-ACT-ART-15] [EU-AI-ACT-ART-72]</w:t>
      </w:r>
    </w:p>
    <w:p>
      <w:pPr>
        <w:spacing w:after="56"/>
      </w:pPr>
      <w:r>
        <w:t>EU AI Act functions in this paper as binding regulation. Its relevance to agentic lifecycle conformance comes from the following requirement cluster: technical documentation, record-keeping, transparency, human oversight, accuracy/robustness/cybersecurity, post-market monitoring.</w:t>
      </w:r>
    </w:p>
    <w:p>
      <w:pPr>
        <w:spacing w:after="56"/>
      </w:pPr>
      <w:r>
        <w:t>What it contributes: Strong legal baseline for high-risk systems; binding direction around technical documentation, record-keeping, human oversight, and post-market monitoring.</w:t>
      </w:r>
    </w:p>
    <w:p>
      <w:pPr>
        <w:spacing w:after="56"/>
      </w:pPr>
      <w:r>
        <w:t>Why it matters for agentic AI: Articles 11, 12, 14, and 72 together indicate that high-risk AI systems must be documentable, loggable, supervisable, and monitored across their lifecycle. The missing agentic engineering question is how those obligations apply when a single outcome is produced by a moving graph of agents, tools, memory, delegated tasks, and human confirmations.</w:t>
      </w:r>
    </w:p>
    <w:p>
      <w:pPr>
        <w:spacing w:after="56"/>
      </w:pPr>
      <w:r>
        <w:t>What it does not define (the agentic gap): The framework does not itself define MAS responsibility-transfer object models.</w:t>
      </w:r>
    </w:p>
    <w:p>
      <w:pPr>
        <w:spacing w:after="56"/>
      </w:pPr>
      <w:r>
        <w:t>How it connects to lifecycle objects: The EU AI Act establishes binding direction around technical documentation, record-keeping, human oversight, and post-market monitoring. In agentic workflows, those obligations need lifecycle evidence boundaries: which agent or human role acted, which authority applied, which logs support the action, how oversight occurred, and how post-market monitoring reaches the workflow state rather than only the model artifact.</w:t>
      </w:r>
    </w:p>
    <w:p>
      <w:pPr>
        <w:pStyle w:val="Heading2"/>
      </w:pPr>
      <w:r>
        <w:t>4.4 GDPR</w:t>
      </w:r>
    </w:p>
    <w:p>
      <w:pPr>
        <w:spacing w:after="56"/>
      </w:pPr>
      <w:r>
        <w:t>[GDPR-ART-5]</w:t>
      </w:r>
    </w:p>
    <w:p>
      <w:pPr>
        <w:spacing w:after="56"/>
      </w:pPr>
      <w:r>
        <w:t>GDPR functions in this paper as binding privacy regulation. Its relevance to agentic lifecycle conformance comes from the following requirement cluster: lawfulness, fairness, transparency, purpose limitation, minimization, storage limitation, integrity/confidentiality, accountability.</w:t>
      </w:r>
    </w:p>
    <w:p>
      <w:pPr>
        <w:spacing w:after="56"/>
      </w:pPr>
      <w:r>
        <w:t>What it contributes: Binding privacy regulation with strong requirements for lawfulness, fairness, transparency, purpose limitation, minimization, storage limitation, integrity, confidentiality, and accountability.</w:t>
      </w:r>
    </w:p>
    <w:p>
      <w:pPr>
        <w:spacing w:after="56"/>
      </w:pPr>
      <w:r>
        <w:t>Why it matters for agentic AI: GDPR is crucial because agentic systems do not keep personal data in one place. Personal data may appear in user intent, prompt context, retrieval results, memory, tool payloads, trace records, review packets, evidence packs, and third-party validation artifacts. Therefore privacy controls need to be mapped to lifecycle phases, not merely database tables.</w:t>
      </w:r>
    </w:p>
    <w:p>
      <w:pPr>
        <w:spacing w:after="56"/>
      </w:pPr>
      <w:r>
        <w:t>What it does not define (the agentic gap): Lifecycle mapping remains an engineering task.</w:t>
      </w:r>
    </w:p>
    <w:p>
      <w:pPr>
        <w:spacing w:after="56"/>
      </w:pPr>
      <w:r>
        <w:t>How it connects to lifecycle objects: GDPR pushes the lifecycle question into data flow. Privacy controls must follow prompts, memory, retrieval context, tool payloads, traces, evidence packs, redaction profiles, and validation artifacts. A lifecycle object model makes those flows reviewable without treating a database policy or privacy notice as the whole control surface.</w:t>
      </w:r>
    </w:p>
    <w:p>
      <w:pPr>
        <w:pStyle w:val="Heading2"/>
      </w:pPr>
      <w:r>
        <w:t>4.5 NIST AI RMF 1.0</w:t>
      </w:r>
    </w:p>
    <w:p>
      <w:pPr>
        <w:spacing w:after="56"/>
      </w:pPr>
      <w:r>
        <w:t>[NIST-AI-RMF-1.0]</w:t>
      </w:r>
    </w:p>
    <w:p>
      <w:pPr>
        <w:spacing w:after="56"/>
      </w:pPr>
      <w:r>
        <w:t>NIST AI RMF 1.0 functions in this paper as voluntary risk framework. Its relevance to agentic lifecycle conformance comes from the following requirement cluster: Govern, Map, Measure, Manage functions across the AI lifecycle.</w:t>
      </w:r>
    </w:p>
    <w:p>
      <w:pPr>
        <w:spacing w:after="56"/>
      </w:pPr>
      <w:r>
        <w:t>What it contributes: Excellent risk-management umbrella covering Govern, Map, Measure, and Manage functions across the AI lifecycle.</w:t>
      </w:r>
    </w:p>
    <w:p>
      <w:pPr>
        <w:spacing w:after="56"/>
      </w:pPr>
      <w:r>
        <w:t>Why it matters for agentic AI: Provides a comprehensive risk management structure that applies to all AI systems, including agentic systems. The framework establishes the risk management direction; lifecycle objects make that direction testable in agentic workflows.</w:t>
      </w:r>
    </w:p>
    <w:p>
      <w:pPr>
        <w:spacing w:after="56"/>
      </w:pPr>
      <w:r>
        <w:t>What it does not define (the agentic gap): Intentionally not a MAS protocol or delegated-authority object model.</w:t>
      </w:r>
    </w:p>
    <w:p>
      <w:pPr>
        <w:spacing w:after="56"/>
      </w:pPr>
      <w:r>
        <w:t>How it connects to lifecycle objects: NIST AI RMF supplies the risk-management frame; agentic execution needs the frame to bind to action classes, delegated authority, evidence sufficiency, monitoring triggers, remediation records, and accepted-outcome review. Lifecycle objects make the Govern, Map, Measure, and Manage functions concrete inside multi-step workflows.</w:t>
      </w:r>
    </w:p>
    <w:p>
      <w:pPr>
        <w:pStyle w:val="Heading2"/>
      </w:pPr>
      <w:r>
        <w:t>4.6 ISO/IEC 42001</w:t>
      </w:r>
    </w:p>
    <w:p>
      <w:pPr>
        <w:spacing w:after="56"/>
      </w:pPr>
      <w:r>
        <w:t>[ISO-IEC-42001]</w:t>
      </w:r>
    </w:p>
    <w:p>
      <w:pPr>
        <w:spacing w:after="56"/>
      </w:pPr>
      <w:r>
        <w:t>ISO/IEC 42001 functions in this paper as management system standard. Its relevance to agentic lifecycle conformance comes from the following requirement cluster: AIMS requirements for establishing, implementing, maintaining, and improving AI management systems.</w:t>
      </w:r>
    </w:p>
    <w:p>
      <w:pPr>
        <w:spacing w:after="56"/>
      </w:pPr>
      <w:r>
        <w:t>What it contributes: Management system standard for AI governance; provides organizational structure for AI governance programs.</w:t>
      </w:r>
    </w:p>
    <w:p>
      <w:pPr>
        <w:spacing w:after="56"/>
      </w:pPr>
      <w:r>
        <w:t>Why it matters for agentic AI: Establishes organizational governance requirements that apply to agentic systems. Organizational governance must be supported by technical lifecycle objects that prove governance was enforced at execution boundaries.</w:t>
      </w:r>
    </w:p>
    <w:p>
      <w:pPr>
        <w:spacing w:after="56"/>
      </w:pPr>
      <w:r>
        <w:t>What it does not define (the agentic gap): Needs technical lifecycle evidence objects for agentic execution.</w:t>
      </w:r>
    </w:p>
    <w:p>
      <w:pPr>
        <w:spacing w:after="56"/>
      </w:pPr>
      <w:r>
        <w:t>How it connects to lifecycle objects: ISO/IEC 42001 can organize the management system around AI governance, but agentic systems still need execution-level evidence objects. The management system needs records that show where policy, responsibility, authorization, monitoring, correction, and improvement were enforced in the actual agentic lifecycle.</w:t>
      </w:r>
    </w:p>
    <w:p>
      <w:pPr>
        <w:pStyle w:val="Heading2"/>
      </w:pPr>
      <w:r>
        <w:t>4.7 Singapore IMDA Model AI Governance Framework for Agentic AI</w:t>
      </w:r>
    </w:p>
    <w:p>
      <w:pPr>
        <w:spacing w:after="56"/>
      </w:pPr>
      <w:r>
        <w:t>[SINGAPORE-MGF-AGENTIC-AI]</w:t>
      </w:r>
    </w:p>
    <w:p>
      <w:pPr>
        <w:spacing w:after="56"/>
      </w:pPr>
      <w:r>
        <w:t>Singapore MGF for Agentic AI functions in this paper as a voluntary governance framework. Its relevance comes from its four-part framing: assessing and bounding risks upfront; making humans meaningfully accountable; implementing technical controls and processes; and enabling end-user responsibility. Technical controls are especially relevant for agent planning, tools, protocol interactions, testing, monitoring, and lifecycle controls.</w:t>
      </w:r>
    </w:p>
    <w:p>
      <w:pPr>
        <w:spacing w:after="56"/>
      </w:pPr>
      <w:r>
        <w:t>What it contributes: Most directly aligned with agentic-specific risk language; provides clear guidance on human accountability, technical controls, and end-user responsibility in agentic contexts.</w:t>
      </w:r>
    </w:p>
    <w:p>
      <w:pPr>
        <w:spacing w:after="56"/>
      </w:pPr>
      <w:r>
        <w:t>Why it matters for agentic AI: Singapore's agentic AI framework is a signal that governance bodies are now treating agent planning, tool use, human accountability, testing, monitoring, and end-user responsibility as agent-specific concerns. The framework names the agentic lifecycle control problem; lifecycle objects make those controls testable.</w:t>
      </w:r>
    </w:p>
    <w:p>
      <w:pPr>
        <w:spacing w:after="56"/>
      </w:pPr>
      <w:r>
        <w:t>What it does not define (the agentic gap): Still a governance framework rather than a protocol schema. It should not be overstated as a protocol, law, or certification regime; it is a voluntary framework that helps name the agentic lifecycle control problem.</w:t>
      </w:r>
    </w:p>
    <w:p>
      <w:pPr>
        <w:spacing w:after="56"/>
      </w:pPr>
      <w:r>
        <w:t>How it connects to lifecycle objects: The Singapore framework names the agentic governance problem more directly than many general AI frameworks. The implementation step is to translate that framing into protocol or schema-level controls for authority, human accountability, testing, monitoring, tool use, and lifecycle evidence.</w:t>
      </w:r>
    </w:p>
    <w:p>
      <w:pPr>
        <w:pStyle w:val="Heading2"/>
      </w:pPr>
      <w:r>
        <w:t>4.8 W3C PROV / Verifiable Credentials</w:t>
      </w:r>
    </w:p>
    <w:p>
      <w:pPr>
        <w:spacing w:after="56"/>
      </w:pPr>
      <w:r>
        <w:t>[W3C-PROV] [W3C-VC-DM-2.0]</w:t>
      </w:r>
    </w:p>
    <w:p>
      <w:pPr>
        <w:spacing w:after="56"/>
      </w:pPr>
      <w:r>
        <w:t>W3C PROV / Verifiable Credentials functions in this paper as web provenance and credential standards. Its relevance to agentic lifecycle conformance comes from the following requirement cluster: provenance of entities, activities, agents; tamper-evident machine-verifiable claims.</w:t>
      </w:r>
    </w:p>
    <w:p>
      <w:pPr>
        <w:spacing w:after="56"/>
      </w:pPr>
      <w:r>
        <w:t>What it contributes: Useful foundation for evidence chain, selective disclosure, and third-party validation.</w:t>
      </w:r>
    </w:p>
    <w:p>
      <w:pPr>
        <w:spacing w:after="56"/>
      </w:pPr>
      <w:r>
        <w:t>Why it matters for agentic AI: Provides standards for tamper-evident, machine-verifiable claims that can support evidence chains and third-party validation. Provenance standards provide the technical foundation for evidence chains; lifecycle objects define what must be proven.</w:t>
      </w:r>
    </w:p>
    <w:p>
      <w:pPr>
        <w:spacing w:after="56"/>
      </w:pPr>
      <w:r>
        <w:t>What it does not define (the agentic gap): Not agent governance by itself.</w:t>
      </w:r>
    </w:p>
    <w:p>
      <w:pPr>
        <w:spacing w:after="56"/>
      </w:pPr>
      <w:r>
        <w:t>How it connects to lifecycle objects: W3C PROV and Verifiable Credentials can represent provenance and machine-verifiable claims, but they do not decide which agentic governance facts must exist. Lifecycle objects define the semantics that provenance and credential structures may carry: authority, responsibility, evidence partition, selective disclosure, validation verdict, dispute, and remediation state.</w:t>
      </w:r>
    </w:p>
    <w:p>
      <w:pPr>
        <w:pStyle w:val="Heading2"/>
      </w:pPr>
      <w:r>
        <w:t>4.9 Colorado AI Act (SB24-205 / SB25B-004)</w:t>
      </w:r>
    </w:p>
    <w:p>
      <w:pPr>
        <w:spacing w:after="56"/>
      </w:pPr>
      <w:r>
        <w:t>[COLORADO-SB25B-004]</w:t>
      </w:r>
    </w:p>
    <w:p>
      <w:pPr>
        <w:spacing w:after="56"/>
      </w:pPr>
      <w:r>
        <w:t>Colorado AI Act (SB24-205 / SB25B-004) functions in this paper as U.S. state law sample; not yet effective at 2026-05-07 snapshot. Consumer protections for high-risk AI systems; effective date extended to 2026-06-30 by SB25B-004.</w:t>
      </w:r>
    </w:p>
    <w:p>
      <w:pPr>
        <w:spacing w:after="56"/>
      </w:pPr>
      <w:r>
        <w:t>What it contributes: Useful state-level signal for algorithmic accountability.</w:t>
      </w:r>
    </w:p>
    <w:p>
      <w:pPr>
        <w:spacing w:after="56"/>
      </w:pPr>
      <w:r>
        <w:t>Why it matters for agentic AI: Demonstrates U.S. state-level movement toward algorithmic accountability requirements. At the 2026-05-07 snapshot date used in this paper, the effective date had been extended to 2026-06-30 by SB25B-004. It should therefore be treated as a forward-looking indicator of U.S. state-level algorithmic accountability requirements, not as an active baseline law at the time of writing.</w:t>
      </w:r>
    </w:p>
    <w:p>
      <w:pPr>
        <w:spacing w:after="56"/>
      </w:pPr>
      <w:r>
        <w:t>What it does not define (the agentic gap): Should be treated as forward-looking in this paper, not as an active effective-law baseline at the snapshot date.</w:t>
      </w:r>
    </w:p>
    <w:p>
      <w:pPr>
        <w:spacing w:after="56"/>
      </w:pPr>
      <w:r>
        <w:t>How it connects to lifecycle objects: State-level accountability requirements point toward a need for lifecycle evidence that can connect risk management, notice, review, impact, and accountability to actual system behavior. This paper keeps the Colorado discussion snapshot-bound and treats final legal-status verification as a publication QA item.</w:t>
      </w:r>
    </w:p>
    <w:p>
      <w:pPr>
        <w:pStyle w:val="Heading1"/>
      </w:pPr>
      <w:r>
        <w:t>Chapter 5: From Regulatory Language to Engineering Objects</w:t>
      </w:r>
    </w:p>
    <w:p>
      <w:pPr>
        <w:spacing w:after="56"/>
      </w:pPr>
      <w:r>
        <w:t>Version: v0.3.2-FRC-R3</w:t>
      </w:r>
    </w:p>
    <w:p>
      <w:pPr>
        <w:pStyle w:val="Heading2"/>
      </w:pPr>
      <w:r>
        <w:t>5.1 The Gap Between Regulation and Engineering</w:t>
      </w:r>
    </w:p>
    <w:p>
      <w:pPr>
        <w:spacing w:after="56"/>
      </w:pPr>
      <w:r>
        <w:t>The gap between regulation and engineering is often hidden by familiar words. A regulation may say record-keeping, but an engineer must decide what fields exist, when records are emitted, whether they are tamper-evident, how they are partitioned, what retention policy applies, how they reference plan versions, how personal data is minimized, whether they support selective disclosure, and how the record is used in dispute.</w:t>
      </w:r>
    </w:p>
    <w:p>
      <w:pPr>
        <w:spacing w:after="56"/>
      </w:pPr>
      <w:r>
        <w:t>A governance document may say human oversight, but an implementation must decide which human role can approve which tool action, under which risk class, with what evidence, with what override path, and how that responsibility boundary is preserved across agent handoffs.</w:t>
      </w:r>
    </w:p>
    <w:p>
      <w:pPr>
        <w:spacing w:after="56"/>
      </w:pPr>
      <w:r>
        <w:t>A framework may require transparency, but an agentic system must decide whether evidence can be replayed for review, whether the replay is reconstructable from partitioned evidence, whether privacy constraints allow disclosure, and whether the review is linked to accepted outcome governance.</w:t>
      </w:r>
    </w:p>
    <w:p>
      <w:pPr>
        <w:spacing w:after="56"/>
      </w:pPr>
      <w:r>
        <w:t>A standard may mandate accountability, but a multi-agent workflow must determine who owns a tool action, how liability transfers across agents, how responsibility is recorded, and how ownership is proven when disputes arise.</w:t>
      </w:r>
    </w:p>
    <w:p>
      <w:pPr>
        <w:spacing w:after="56"/>
      </w:pPr>
      <w:r>
        <w:t>Familiar regulatory words establish direction. Engineering objects make that direction testable, auditable, and enforceable in distributed agentic execution.</w:t>
      </w:r>
    </w:p>
    <w:p>
      <w:pPr>
        <w:spacing w:after="56"/>
      </w:pPr>
      <w:r>
        <w:t>This chapter provides the bridge from regulatory language to the Missing Regulatory Objects that will be defined in Chapter 6.</w:t>
      </w:r>
    </w:p>
    <w:p>
      <w:pPr>
        <w:pStyle w:val="Heading2"/>
      </w:pPr>
      <w:r>
        <w:t>5.2 Regulatory Language to Engineering Objects Mapping</w:t>
      </w:r>
    </w:p>
    <w:p>
      <w:pPr>
        <w:spacing w:after="56"/>
      </w:pPr>
      <w:r>
        <w:t>The table below maps recurring regulatory language to the agentic engineering questions that must be answered, and the required lifecycle objects that make those answers testable.</w:t>
      </w:r>
    </w:p>
    <w:p>
      <w:pPr>
        <w:keepNext/>
      </w:pPr>
      <w:r>
        <w:rPr>
          <w:b/>
          <w:sz w:val="16"/>
        </w:rPr>
        <w:t>Table T-05-01: Regulatory Language to Engineering Objects Mapping</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Regulatory Language</w:t>
            </w:r>
          </w:p>
        </w:tc>
        <w:tc>
          <w:tcPr>
            <w:tcW w:type="dxa" w:w="3408"/>
          </w:tcPr>
          <w:p>
            <w:pPr>
              <w:spacing w:after="0"/>
            </w:pPr>
            <w:r>
              <w:rPr>
                <w:rFonts w:ascii="Arial" w:hAnsi="Arial"/>
                <w:b/>
                <w:sz w:val="14"/>
              </w:rPr>
              <w:t>Agentic Engineering Question</w:t>
            </w:r>
          </w:p>
        </w:tc>
        <w:tc>
          <w:tcPr>
            <w:tcW w:type="dxa" w:w="3408"/>
          </w:tcPr>
          <w:p>
            <w:pPr>
              <w:spacing w:after="0"/>
            </w:pPr>
            <w:r>
              <w:rPr>
                <w:rFonts w:ascii="Arial" w:hAnsi="Arial"/>
                <w:b/>
                <w:sz w:val="14"/>
              </w:rPr>
              <w:t>Required Lifecycle Object</w:t>
            </w:r>
          </w:p>
        </w:tc>
      </w:tr>
      <w:tr>
        <w:tc>
          <w:tcPr>
            <w:tcW w:type="dxa" w:w="3408"/>
          </w:tcPr>
          <w:p>
            <w:pPr>
              <w:spacing w:after="0"/>
            </w:pPr>
            <w:r>
              <w:rPr>
                <w:rFonts w:ascii="Arial" w:hAnsi="Arial"/>
                <w:b w:val="0"/>
                <w:sz w:val="14"/>
              </w:rPr>
              <w:t>Risk management</w:t>
            </w:r>
          </w:p>
        </w:tc>
        <w:tc>
          <w:tcPr>
            <w:tcW w:type="dxa" w:w="3408"/>
          </w:tcPr>
          <w:p>
            <w:pPr>
              <w:spacing w:after="0"/>
            </w:pPr>
            <w:r>
              <w:rPr>
                <w:rFonts w:ascii="Arial" w:hAnsi="Arial"/>
                <w:b w:val="0"/>
                <w:sz w:val="14"/>
              </w:rPr>
              <w:t>What can go wrong as agents plan, delegate, call tools, and modify state?</w:t>
            </w:r>
          </w:p>
        </w:tc>
        <w:tc>
          <w:tcPr>
            <w:tcW w:type="dxa" w:w="3408"/>
          </w:tcPr>
          <w:p>
            <w:pPr>
              <w:spacing w:after="0"/>
            </w:pPr>
            <w:r>
              <w:rPr>
                <w:rFonts w:ascii="Arial" w:hAnsi="Arial"/>
                <w:b w:val="0"/>
                <w:sz w:val="14"/>
              </w:rPr>
              <w:t>Risk register linked to lifecycle phases and action classes</w:t>
            </w:r>
          </w:p>
        </w:tc>
      </w:tr>
      <w:tr>
        <w:tc>
          <w:tcPr>
            <w:tcW w:type="dxa" w:w="3408"/>
          </w:tcPr>
          <w:p>
            <w:pPr>
              <w:spacing w:after="0"/>
            </w:pPr>
            <w:r>
              <w:rPr>
                <w:rFonts w:ascii="Arial" w:hAnsi="Arial"/>
                <w:b w:val="0"/>
                <w:sz w:val="14"/>
              </w:rPr>
              <w:t>Technical documentation</w:t>
            </w:r>
          </w:p>
        </w:tc>
        <w:tc>
          <w:tcPr>
            <w:tcW w:type="dxa" w:w="3408"/>
          </w:tcPr>
          <w:p>
            <w:pPr>
              <w:spacing w:after="0"/>
            </w:pPr>
            <w:r>
              <w:rPr>
                <w:rFonts w:ascii="Arial" w:hAnsi="Arial"/>
                <w:b w:val="0"/>
                <w:sz w:val="14"/>
              </w:rPr>
              <w:t>Can the system describe its agent roles, authority boundaries, evidence schema, and limitations?</w:t>
            </w:r>
          </w:p>
        </w:tc>
        <w:tc>
          <w:tcPr>
            <w:tcW w:type="dxa" w:w="3408"/>
          </w:tcPr>
          <w:p>
            <w:pPr>
              <w:spacing w:after="0"/>
            </w:pPr>
            <w:r>
              <w:rPr>
                <w:rFonts w:ascii="Arial" w:hAnsi="Arial"/>
                <w:b w:val="0"/>
                <w:sz w:val="14"/>
              </w:rPr>
              <w:t>Versioned architecture and lifecycle object documentation</w:t>
            </w:r>
          </w:p>
        </w:tc>
      </w:tr>
      <w:tr>
        <w:tc>
          <w:tcPr>
            <w:tcW w:type="dxa" w:w="3408"/>
          </w:tcPr>
          <w:p>
            <w:pPr>
              <w:spacing w:after="0"/>
            </w:pPr>
            <w:r>
              <w:rPr>
                <w:rFonts w:ascii="Arial" w:hAnsi="Arial"/>
                <w:b w:val="0"/>
                <w:sz w:val="14"/>
              </w:rPr>
              <w:t>Record-keeping</w:t>
            </w:r>
          </w:p>
        </w:tc>
        <w:tc>
          <w:tcPr>
            <w:tcW w:type="dxa" w:w="3408"/>
          </w:tcPr>
          <w:p>
            <w:pPr>
              <w:spacing w:after="0"/>
            </w:pPr>
            <w:r>
              <w:rPr>
                <w:rFonts w:ascii="Arial" w:hAnsi="Arial"/>
                <w:b w:val="0"/>
                <w:sz w:val="14"/>
              </w:rPr>
              <w:t>Can the organization reconstruct what happened across agents and tools?</w:t>
            </w:r>
          </w:p>
        </w:tc>
        <w:tc>
          <w:tcPr>
            <w:tcW w:type="dxa" w:w="3408"/>
          </w:tcPr>
          <w:p>
            <w:pPr>
              <w:spacing w:after="0"/>
            </w:pPr>
            <w:r>
              <w:rPr>
                <w:rFonts w:ascii="Arial" w:hAnsi="Arial"/>
                <w:b w:val="0"/>
                <w:sz w:val="14"/>
              </w:rPr>
              <w:t>Partitioned evidence chain with plan, role, tool, and outcome links</w:t>
            </w:r>
          </w:p>
        </w:tc>
      </w:tr>
      <w:tr>
        <w:tc>
          <w:tcPr>
            <w:tcW w:type="dxa" w:w="3408"/>
          </w:tcPr>
          <w:p>
            <w:pPr>
              <w:spacing w:after="0"/>
            </w:pPr>
            <w:r>
              <w:rPr>
                <w:rFonts w:ascii="Arial" w:hAnsi="Arial"/>
                <w:b w:val="0"/>
                <w:sz w:val="14"/>
              </w:rPr>
              <w:t>Transparency</w:t>
            </w:r>
          </w:p>
        </w:tc>
        <w:tc>
          <w:tcPr>
            <w:tcW w:type="dxa" w:w="3408"/>
          </w:tcPr>
          <w:p>
            <w:pPr>
              <w:spacing w:after="0"/>
            </w:pPr>
            <w:r>
              <w:rPr>
                <w:rFonts w:ascii="Arial" w:hAnsi="Arial"/>
                <w:b w:val="0"/>
                <w:sz w:val="14"/>
              </w:rPr>
              <w:t>Can reviewers understand the evidence behind an outcome?</w:t>
            </w:r>
          </w:p>
        </w:tc>
        <w:tc>
          <w:tcPr>
            <w:tcW w:type="dxa" w:w="3408"/>
          </w:tcPr>
          <w:p>
            <w:pPr>
              <w:spacing w:after="0"/>
            </w:pPr>
            <w:r>
              <w:rPr>
                <w:rFonts w:ascii="Arial" w:hAnsi="Arial"/>
                <w:b w:val="0"/>
                <w:sz w:val="14"/>
              </w:rPr>
              <w:t>Evidence pointer graph and explanation packet</w:t>
            </w:r>
          </w:p>
        </w:tc>
      </w:tr>
      <w:tr>
        <w:tc>
          <w:tcPr>
            <w:tcW w:type="dxa" w:w="3408"/>
          </w:tcPr>
          <w:p>
            <w:pPr>
              <w:spacing w:after="0"/>
            </w:pPr>
            <w:r>
              <w:rPr>
                <w:rFonts w:ascii="Arial" w:hAnsi="Arial"/>
                <w:b w:val="0"/>
                <w:sz w:val="14"/>
              </w:rPr>
              <w:t>Human oversight</w:t>
            </w:r>
          </w:p>
        </w:tc>
        <w:tc>
          <w:tcPr>
            <w:tcW w:type="dxa" w:w="3408"/>
          </w:tcPr>
          <w:p>
            <w:pPr>
              <w:spacing w:after="0"/>
            </w:pPr>
            <w:r>
              <w:rPr>
                <w:rFonts w:ascii="Arial" w:hAnsi="Arial"/>
                <w:b w:val="0"/>
                <w:sz w:val="14"/>
              </w:rPr>
              <w:t>Which human can approve, reject, override, or accept which action?</w:t>
            </w:r>
          </w:p>
        </w:tc>
        <w:tc>
          <w:tcPr>
            <w:tcW w:type="dxa" w:w="3408"/>
          </w:tcPr>
          <w:p>
            <w:pPr>
              <w:spacing w:after="0"/>
            </w:pPr>
            <w:r>
              <w:rPr>
                <w:rFonts w:ascii="Arial" w:hAnsi="Arial"/>
                <w:b w:val="0"/>
                <w:sz w:val="14"/>
              </w:rPr>
              <w:t>Human-role-to-MAS responsibility map and confirmation boundary</w:t>
            </w:r>
          </w:p>
        </w:tc>
      </w:tr>
      <w:tr>
        <w:tc>
          <w:tcPr>
            <w:tcW w:type="dxa" w:w="3408"/>
          </w:tcPr>
          <w:p>
            <w:pPr>
              <w:spacing w:after="0"/>
            </w:pPr>
            <w:r>
              <w:rPr>
                <w:rFonts w:ascii="Arial" w:hAnsi="Arial"/>
                <w:b w:val="0"/>
                <w:sz w:val="14"/>
              </w:rPr>
              <w:t>Accountability</w:t>
            </w:r>
          </w:p>
        </w:tc>
        <w:tc>
          <w:tcPr>
            <w:tcW w:type="dxa" w:w="3408"/>
          </w:tcPr>
          <w:p>
            <w:pPr>
              <w:spacing w:after="0"/>
            </w:pPr>
            <w:r>
              <w:rPr>
                <w:rFonts w:ascii="Arial" w:hAnsi="Arial"/>
                <w:b w:val="0"/>
                <w:sz w:val="14"/>
              </w:rPr>
              <w:t>Who owns a decision, tool action, or outcome?</w:t>
            </w:r>
          </w:p>
        </w:tc>
        <w:tc>
          <w:tcPr>
            <w:tcW w:type="dxa" w:w="3408"/>
          </w:tcPr>
          <w:p>
            <w:pPr>
              <w:spacing w:after="0"/>
            </w:pPr>
            <w:r>
              <w:rPr>
                <w:rFonts w:ascii="Arial" w:hAnsi="Arial"/>
                <w:b w:val="0"/>
                <w:sz w:val="14"/>
              </w:rPr>
              <w:t>Responsibility boundary, transfer record, and accepted outcome owner</w:t>
            </w:r>
          </w:p>
        </w:tc>
      </w:tr>
      <w:tr>
        <w:tc>
          <w:tcPr>
            <w:tcW w:type="dxa" w:w="3408"/>
          </w:tcPr>
          <w:p>
            <w:pPr>
              <w:spacing w:after="0"/>
            </w:pPr>
            <w:r>
              <w:rPr>
                <w:rFonts w:ascii="Arial" w:hAnsi="Arial"/>
                <w:b w:val="0"/>
                <w:sz w:val="14"/>
              </w:rPr>
              <w:t>Contestability</w:t>
            </w:r>
          </w:p>
        </w:tc>
        <w:tc>
          <w:tcPr>
            <w:tcW w:type="dxa" w:w="3408"/>
          </w:tcPr>
          <w:p>
            <w:pPr>
              <w:spacing w:after="0"/>
            </w:pPr>
            <w:r>
              <w:rPr>
                <w:rFonts w:ascii="Arial" w:hAnsi="Arial"/>
                <w:b w:val="0"/>
                <w:sz w:val="14"/>
              </w:rPr>
              <w:t>Can an affected party challenge the result and trigger review?</w:t>
            </w:r>
          </w:p>
        </w:tc>
        <w:tc>
          <w:tcPr>
            <w:tcW w:type="dxa" w:w="3408"/>
          </w:tcPr>
          <w:p>
            <w:pPr>
              <w:spacing w:after="0"/>
            </w:pPr>
            <w:r>
              <w:rPr>
                <w:rFonts w:ascii="Arial" w:hAnsi="Arial"/>
                <w:b w:val="0"/>
                <w:sz w:val="14"/>
              </w:rPr>
              <w:t>Dispute-ready replay and remediation closure object</w:t>
            </w:r>
          </w:p>
        </w:tc>
      </w:tr>
      <w:tr>
        <w:tc>
          <w:tcPr>
            <w:tcW w:type="dxa" w:w="3408"/>
          </w:tcPr>
          <w:p>
            <w:pPr>
              <w:spacing w:after="0"/>
            </w:pPr>
            <w:r>
              <w:rPr>
                <w:rFonts w:ascii="Arial" w:hAnsi="Arial"/>
                <w:b w:val="0"/>
                <w:sz w:val="14"/>
              </w:rPr>
              <w:t>Privacy</w:t>
            </w:r>
          </w:p>
        </w:tc>
        <w:tc>
          <w:tcPr>
            <w:tcW w:type="dxa" w:w="3408"/>
          </w:tcPr>
          <w:p>
            <w:pPr>
              <w:spacing w:after="0"/>
            </w:pPr>
            <w:r>
              <w:rPr>
                <w:rFonts w:ascii="Arial" w:hAnsi="Arial"/>
                <w:b w:val="0"/>
                <w:sz w:val="14"/>
              </w:rPr>
              <w:t>How is personal data constrained across memory, tools, traces, and evidence?</w:t>
            </w:r>
          </w:p>
        </w:tc>
        <w:tc>
          <w:tcPr>
            <w:tcW w:type="dxa" w:w="3408"/>
          </w:tcPr>
          <w:p>
            <w:pPr>
              <w:spacing w:after="0"/>
            </w:pPr>
            <w:r>
              <w:rPr>
                <w:rFonts w:ascii="Arial" w:hAnsi="Arial"/>
                <w:b w:val="0"/>
                <w:sz w:val="14"/>
              </w:rPr>
              <w:t>Privacy lifecycle map and selective disclosure policy</w:t>
            </w:r>
          </w:p>
        </w:tc>
      </w:tr>
      <w:tr>
        <w:tc>
          <w:tcPr>
            <w:tcW w:type="dxa" w:w="3408"/>
          </w:tcPr>
          <w:p>
            <w:pPr>
              <w:spacing w:after="0"/>
            </w:pPr>
            <w:r>
              <w:rPr>
                <w:rFonts w:ascii="Arial" w:hAnsi="Arial"/>
                <w:b w:val="0"/>
                <w:sz w:val="14"/>
              </w:rPr>
              <w:t>Monitoring</w:t>
            </w:r>
          </w:p>
        </w:tc>
        <w:tc>
          <w:tcPr>
            <w:tcW w:type="dxa" w:w="3408"/>
          </w:tcPr>
          <w:p>
            <w:pPr>
              <w:spacing w:after="0"/>
            </w:pPr>
            <w:r>
              <w:rPr>
                <w:rFonts w:ascii="Arial" w:hAnsi="Arial"/>
                <w:b w:val="0"/>
                <w:sz w:val="14"/>
              </w:rPr>
              <w:t>How are drift, incident, and lifecycle failures detected?</w:t>
            </w:r>
          </w:p>
        </w:tc>
        <w:tc>
          <w:tcPr>
            <w:tcW w:type="dxa" w:w="3408"/>
          </w:tcPr>
          <w:p>
            <w:pPr>
              <w:spacing w:after="0"/>
            </w:pPr>
            <w:r>
              <w:rPr>
                <w:rFonts w:ascii="Arial" w:hAnsi="Arial"/>
                <w:b w:val="0"/>
                <w:sz w:val="14"/>
              </w:rPr>
              <w:t>Continuous monitoring and incident closure records</w:t>
            </w:r>
          </w:p>
        </w:tc>
      </w:tr>
    </w:tbl>
    <w:p>
      <w:pPr>
        <w:spacing w:after="56"/>
      </w:pPr>
      <w:r>
        <w:t>This table is the bridge from legal language to the Missing Regulatory Objects defined in Chapter 6. The point is not to invent bureaucracy for its own sake. The point is to recognize that agentic systems need explicit objects because the old system boundary has dissolved. The work unit is now distributed across agents, tools, memory, people, projects, and vendors.</w:t>
      </w:r>
    </w:p>
    <w:p>
      <w:pPr>
        <w:pStyle w:val="Heading2"/>
      </w:pPr>
      <w:r>
        <w:t>5.3 Why Explicit Objects Are Necessary</w:t>
      </w:r>
    </w:p>
    <w:p>
      <w:pPr>
        <w:spacing w:after="56"/>
      </w:pPr>
      <w:r>
        <w:t>Without explicit lifecycle objects, regulatory language remains aspirational rather than enforceable:</w:t>
      </w:r>
    </w:p>
    <w:p>
      <w:pPr>
        <w:pStyle w:val="ListBullet"/>
        <w:spacing w:after="56"/>
      </w:pPr>
      <w:r>
        <w:t>Risk management becomes a policy document that cannot be tied to actual agent actions. A risk register must link to lifecycle phases, action classes, and delegated authority boundaries.</w:t>
      </w:r>
    </w:p>
    <w:p>
      <w:pPr>
        <w:pStyle w:val="ListBullet"/>
        <w:spacing w:after="56"/>
      </w:pPr>
      <w:r>
        <w:t>Technical documentation describes intent but not how authority, evidence, and privacy are enforced. Versioned architecture documentation must specify agent roles, authority boundaries, evidence schema, and limitations.</w:t>
      </w:r>
    </w:p>
    <w:p>
      <w:pPr>
        <w:pStyle w:val="ListBullet"/>
        <w:spacing w:after="56"/>
      </w:pPr>
      <w:r>
        <w:t>Record-keeping produces flat logs that cannot reconstruct cross-agent responsibility. Evidence must be partitioned by agent, tool, human confirmation, plan version, authority boundary, privacy boundary, and accepted outcome.</w:t>
      </w:r>
    </w:p>
    <w:p>
      <w:pPr>
        <w:pStyle w:val="ListBullet"/>
        <w:spacing w:after="56"/>
      </w:pPr>
      <w:r>
        <w:t>Transparency provides dashboards that show execution but not accepted outcome governance. Evidence pointer graphs must link outcomes to the authority, evidence, and review that made them accepted.</w:t>
      </w:r>
    </w:p>
    <w:p>
      <w:pPr>
        <w:pStyle w:val="ListBullet"/>
        <w:spacing w:after="56"/>
      </w:pPr>
      <w:r>
        <w:t>Human oversight becomes a button click without role-to-responsibility mapping. The system must map which human role can approve, reject, override, or accept which action, under which risk class, with what evidence, and with what escalation path.</w:t>
      </w:r>
    </w:p>
    <w:p>
      <w:pPr>
        <w:pStyle w:val="ListBullet"/>
        <w:spacing w:after="56"/>
      </w:pPr>
      <w:r>
        <w:t>Accountability becomes a narrative claim without evidence-backed ownership. Responsibility boundaries must record who owns a decision, tool action, or outcome, how liability transfers across agents, and how ownership is proven in disputes.</w:t>
      </w:r>
    </w:p>
    <w:p>
      <w:pPr>
        <w:pStyle w:val="ListBullet"/>
        <w:spacing w:after="56"/>
      </w:pPr>
      <w:r>
        <w:t>Contestability becomes impossible because evidence cannot be replayed under privacy constraints. Dispute-ready replay requires partitioned evidence, selective disclosure, and remediation closure objects.</w:t>
      </w:r>
    </w:p>
    <w:p>
      <w:pPr>
        <w:pStyle w:val="ListBullet"/>
        <w:spacing w:after="56"/>
      </w:pPr>
      <w:r>
        <w:t>Privacy becomes a database policy that does not govern prompts, memory, tools, traces, and evidence packs. Privacy lifecycle mapping must bind lawful basis, purpose, minimization, retention, access, erasure, redaction, and disclosure to every lifecycle surface where data may flow or persist.</w:t>
      </w:r>
    </w:p>
    <w:p>
      <w:pPr>
        <w:pStyle w:val="ListBullet"/>
        <w:spacing w:after="56"/>
      </w:pPr>
      <w:r>
        <w:t>Monitoring detects failures but cannot close incidents through evidence, responsibility, correction, and acceptance. Continuous monitoring must link drift detection, incident triggers, evidence packs, responsible roles, corrective actions, and closure states.</w:t>
      </w:r>
    </w:p>
    <w:p>
      <w:pPr>
        <w:pStyle w:val="Heading2"/>
      </w:pPr>
      <w:r>
        <w:t>5.4 The Engineering Object Requirement</w:t>
      </w:r>
    </w:p>
    <w:p>
      <w:pPr>
        <w:spacing w:after="56"/>
      </w:pPr>
      <w:r>
        <w:t>At this point in the argument, the thesis becomes operational: lifecycle responsibility compliance requires objects that can be represented, emitted, reviewed, and replayed.</w:t>
      </w:r>
    </w:p>
    <w:p>
      <w:pPr>
        <w:spacing w:after="56"/>
      </w:pPr>
      <w:r>
        <w:t>Enterprise buyers, auditors, insurers, regulators, and internal governance teams need more than dashboards, logs, or guardrails. They need lifecycle objects: delegated authority boundaries, human-role-to-agent-responsibility mappings, tool-action liability records, evidence partitions, accepted outcome states, cross-project reuse controls, privacy-preserving validation packs, and dispute closure records.</w:t>
      </w:r>
    </w:p>
    <w:p>
      <w:pPr>
        <w:spacing w:after="56"/>
      </w:pPr>
      <w:r>
        <w:t>These objects are not proposed legal mandates. They are engineering and assurance objects that appear necessary if existing regulatory ideals are to become auditable in multi-agent execution. The objects are designed to make visible the difference between model governance, orchestration observability, and lifecycle responsibility governance.</w:t>
      </w:r>
    </w:p>
    <w:p>
      <w:pPr>
        <w:spacing w:after="56"/>
      </w:pPr>
      <w:r>
        <w:t>Existing regulation establishes the direction of travel. Agentic systems require additional engineering object models to implement that direction faithfully.</w:t>
      </w:r>
    </w:p>
    <w:p>
      <w:pPr>
        <w:pStyle w:val="Heading2"/>
      </w:pPr>
      <w:r>
        <w:t>5.5 Bridge to Chapter 6</w:t>
      </w:r>
    </w:p>
    <w:p>
      <w:pPr>
        <w:spacing w:after="56"/>
      </w:pPr>
      <w:r>
        <w:t>The following chapter defines sixteen Missing Regulatory Objects. These are not proposed legal mandates. They are engineering objects that appear necessary if existing regulatory ideals are to become auditable in multi-agent execution.</w:t>
      </w:r>
    </w:p>
    <w:p>
      <w:pPr>
        <w:spacing w:after="56"/>
      </w:pPr>
      <w:r>
        <w:t>The objects are designed to make visible the difference between model governance, orchestration observability, and lifecycle responsibility governance. They address the gap between regulatory language and agentic execution by providing concrete, testable, evidence-backed structures for:</w:t>
      </w:r>
    </w:p>
    <w:p>
      <w:pPr>
        <w:pStyle w:val="ListBullet"/>
        <w:spacing w:after="56"/>
      </w:pPr>
      <w:r>
        <w:t>Human-to-agent responsibility mapping</w:t>
      </w:r>
    </w:p>
    <w:p>
      <w:pPr>
        <w:pStyle w:val="ListBullet"/>
        <w:spacing w:after="56"/>
      </w:pPr>
      <w:r>
        <w:t>Delegated authority boundaries</w:t>
      </w:r>
    </w:p>
    <w:p>
      <w:pPr>
        <w:pStyle w:val="ListBullet"/>
        <w:spacing w:after="56"/>
      </w:pPr>
      <w:r>
        <w:t>Agent role definitions</w:t>
      </w:r>
    </w:p>
    <w:p>
      <w:pPr>
        <w:pStyle w:val="ListBullet"/>
        <w:spacing w:after="56"/>
      </w:pPr>
      <w:r>
        <w:t>Accepted outcome compliance</w:t>
      </w:r>
    </w:p>
    <w:p>
      <w:pPr>
        <w:pStyle w:val="ListBullet"/>
        <w:spacing w:after="56"/>
      </w:pPr>
      <w:r>
        <w:t>Tool-action liability boundaries</w:t>
      </w:r>
    </w:p>
    <w:p>
      <w:pPr>
        <w:pStyle w:val="ListBullet"/>
        <w:spacing w:after="56"/>
      </w:pPr>
      <w:r>
        <w:t>Responsibility transfer across agents</w:t>
      </w:r>
    </w:p>
    <w:p>
      <w:pPr>
        <w:pStyle w:val="ListBullet"/>
        <w:spacing w:after="56"/>
      </w:pPr>
      <w:r>
        <w:t>Authority drift detection</w:t>
      </w:r>
    </w:p>
    <w:p>
      <w:pPr>
        <w:pStyle w:val="ListBullet"/>
        <w:spacing w:after="56"/>
      </w:pPr>
      <w:r>
        <w:t>Evidence partitioning</w:t>
      </w:r>
    </w:p>
    <w:p>
      <w:pPr>
        <w:pStyle w:val="ListBullet"/>
        <w:spacing w:after="56"/>
      </w:pPr>
      <w:r>
        <w:t>Cross-project reuse compliance</w:t>
      </w:r>
    </w:p>
    <w:p>
      <w:pPr>
        <w:pStyle w:val="ListBullet"/>
        <w:spacing w:after="56"/>
      </w:pPr>
      <w:r>
        <w:t>Privacy lifecycle mapping</w:t>
      </w:r>
    </w:p>
    <w:p>
      <w:pPr>
        <w:pStyle w:val="ListBullet"/>
        <w:spacing w:after="56"/>
      </w:pPr>
      <w:r>
        <w:t>Privacy-preserving third-party validation</w:t>
      </w:r>
    </w:p>
    <w:p>
      <w:pPr>
        <w:pStyle w:val="ListBullet"/>
        <w:spacing w:after="56"/>
      </w:pPr>
      <w:r>
        <w:t>Evidence minimization and selective disclosure</w:t>
      </w:r>
    </w:p>
    <w:p>
      <w:pPr>
        <w:pStyle w:val="ListBullet"/>
        <w:spacing w:after="56"/>
      </w:pPr>
      <w:r>
        <w:t>Data subject rights vs evidence retention</w:t>
      </w:r>
    </w:p>
    <w:p>
      <w:pPr>
        <w:pStyle w:val="ListBullet"/>
        <w:spacing w:after="56"/>
      </w:pPr>
      <w:r>
        <w:t>Third-party processor / subprocessor chains</w:t>
      </w:r>
    </w:p>
    <w:p>
      <w:pPr>
        <w:pStyle w:val="ListBullet"/>
        <w:spacing w:after="56"/>
      </w:pPr>
      <w:r>
        <w:t>Vendor / model / runtime substitution conformance</w:t>
      </w:r>
    </w:p>
    <w:p>
      <w:pPr>
        <w:pStyle w:val="ListBullet"/>
        <w:spacing w:after="56"/>
      </w:pPr>
      <w:r>
        <w:t>Incident, dispute, and remediation closure</w:t>
      </w:r>
    </w:p>
    <w:p>
      <w:pPr>
        <w:spacing w:after="56"/>
      </w:pPr>
      <w:r>
        <w:t>The bridge from this chapter to Chapter 6 is direct: regulatory language establishes what must be proven; Missing Regulatory Objects define how to prove it in agentic workflows.</w:t>
      </w:r>
    </w:p>
    <w:p>
      <w:pPr>
        <w:pStyle w:val="Heading1"/>
      </w:pPr>
      <w:r>
        <w:t>6. Missing Regulatory Objects for Agentic and MAS Compliance</w:t>
      </w:r>
    </w:p>
    <w:p>
      <w:pPr>
        <w:pStyle w:val="Heading2"/>
      </w:pPr>
      <w:r>
        <w:t>6.0 Why Missing Regulatory Objects Matter</w:t>
      </w:r>
    </w:p>
    <w:p>
      <w:pPr>
        <w:spacing w:after="56"/>
      </w:pPr>
      <w:r>
        <w:t>This chapter defines sixteen Missing Regulatory Objects. They are called missing because existing governance language implies their necessity but usually does not define their concrete machine-readable form. They are not proposed statutes. They are engineering and assurance objects that allow regulatory concepts to become testable in agentic workflows.</w:t>
      </w:r>
    </w:p>
    <w:p>
      <w:pPr>
        <w:spacing w:after="56"/>
      </w:pPr>
      <w:r>
        <w:t>The phrase matters because existing language is fragmented. Model governance focuses on models. AI risk management focuses on organizational risk processes. Agent orchestration focuses on execution flow. Observability focuses on traces, metrics, and debugging. Human-in-the-loop focuses on review or approval moments. None of these terms alone names the full lifecycle responsibility problem.</w:t>
      </w:r>
    </w:p>
    <w:p>
      <w:pPr>
        <w:spacing w:after="56"/>
      </w:pPr>
      <w:r>
        <w:t>These objects bridge the gap between regulatory abstractions and lifecycle implementation. Human oversight becomes human-role-to-MAS responsibility mapping. Logging becomes partitioned evidence chain. Accountability becomes tool-action liability and responsibility transfer. Transparency becomes evidence-linked review and accepted outcome. Monitoring becomes lifecycle drift, incident closure, and continuous improvement. Privacy becomes lifecycle data-flow mapping, minimization, and selective disclosure.</w:t>
      </w:r>
    </w:p>
    <w:p>
      <w:pPr>
        <w:spacing w:after="56"/>
      </w:pPr>
      <w:r>
        <w:t>The core move in this paper is to turn regulatory abstractions into lifecycle objects. Regulatory compliance coverage remains the baseline, but agentic lifecycle conformance is the differentiating layer.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Pr>
        <w:pStyle w:val="Heading2"/>
      </w:pPr>
      <w:r>
        <w:t>6.1 Summary of the Sixteen Missing Regulatory Objects</w:t>
      </w:r>
    </w:p>
    <w:p>
      <w:pPr>
        <w:spacing w:after="56"/>
      </w:pPr>
      <w:r>
        <w:t>The following table summarizes all sixteen MROs. Full detail for MRO-01 through MRO-16 is provided in this chapter.</w:t>
      </w:r>
    </w:p>
    <w:p>
      <w:pPr>
        <w:spacing w:after="56"/>
      </w:pPr>
      <w:r>
        <w:t>Figure F-03 - MRO Topology</w:t>
      </w:r>
    </w:p>
    <w:p>
      <w:pPr>
        <w:spacing w:after="56"/>
      </w:pPr>
      <w:r>
        <w:t>Responsibility -&gt; Authority -&gt; Evidence -&gt; Privacy -&gt; Substitution -&gt; Closure</w:t>
      </w:r>
    </w:p>
    <w:p>
      <w:pPr>
        <w:spacing w:after="56"/>
      </w:pPr>
      <w:r>
        <w:t>Figure F-03 groups the Missing Regulatory Objects by lifecycle control surface. It is a topology for engineering interpretation, not a new legal taxonomy, certification path, or compliance proof.</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ID</w:t>
            </w:r>
          </w:p>
        </w:tc>
        <w:tc>
          <w:tcPr>
            <w:tcW w:type="dxa" w:w="2556"/>
          </w:tcPr>
          <w:p>
            <w:pPr>
              <w:spacing w:after="0"/>
            </w:pPr>
            <w:r>
              <w:rPr>
                <w:rFonts w:ascii="Arial" w:hAnsi="Arial"/>
                <w:b/>
                <w:sz w:val="14"/>
              </w:rPr>
              <w:t>Object</w:t>
            </w:r>
          </w:p>
        </w:tc>
        <w:tc>
          <w:tcPr>
            <w:tcW w:type="dxa" w:w="2556"/>
          </w:tcPr>
          <w:p>
            <w:pPr>
              <w:spacing w:after="0"/>
            </w:pPr>
            <w:r>
              <w:rPr>
                <w:rFonts w:ascii="Arial" w:hAnsi="Arial"/>
                <w:b/>
                <w:sz w:val="14"/>
              </w:rPr>
              <w:t>Core Judgment</w:t>
            </w:r>
          </w:p>
        </w:tc>
        <w:tc>
          <w:tcPr>
            <w:tcW w:type="dxa" w:w="2556"/>
          </w:tcPr>
          <w:p>
            <w:pPr>
              <w:spacing w:after="0"/>
            </w:pPr>
            <w:r>
              <w:rPr>
                <w:rFonts w:ascii="Arial" w:hAnsi="Arial"/>
                <w:b/>
                <w:sz w:val="14"/>
              </w:rPr>
              <w:t>Primary Lifecycle Concern</w:t>
            </w:r>
          </w:p>
        </w:tc>
      </w:tr>
      <w:tr>
        <w:tc>
          <w:tcPr>
            <w:tcW w:type="dxa" w:w="2556"/>
          </w:tcPr>
          <w:p>
            <w:pPr>
              <w:spacing w:after="0"/>
            </w:pPr>
            <w:r>
              <w:rPr>
                <w:rFonts w:ascii="Arial" w:hAnsi="Arial"/>
                <w:b w:val="0"/>
                <w:sz w:val="14"/>
              </w:rPr>
              <w:t>MRO-01</w:t>
            </w:r>
          </w:p>
        </w:tc>
        <w:tc>
          <w:tcPr>
            <w:tcW w:type="dxa" w:w="2556"/>
          </w:tcPr>
          <w:p>
            <w:pPr>
              <w:spacing w:after="0"/>
            </w:pPr>
            <w:r>
              <w:rPr>
                <w:rFonts w:ascii="Arial" w:hAnsi="Arial"/>
                <w:b w:val="0"/>
                <w:sz w:val="14"/>
              </w:rPr>
              <w:t>Human Role to MAS Responsibility Mapping</w:t>
            </w:r>
          </w:p>
        </w:tc>
        <w:tc>
          <w:tcPr>
            <w:tcW w:type="dxa" w:w="2556"/>
          </w:tcPr>
          <w:p>
            <w:pPr>
              <w:spacing w:after="0"/>
            </w:pPr>
            <w:r>
              <w:rPr>
                <w:rFonts w:ascii="Arial" w:hAnsi="Arial"/>
                <w:b w:val="0"/>
                <w:sz w:val="14"/>
              </w:rPr>
              <w:t>Human oversight without human-to-agent responsibility mapping is supervision theater.</w:t>
            </w:r>
          </w:p>
        </w:tc>
        <w:tc>
          <w:tcPr>
            <w:tcW w:type="dxa" w:w="2556"/>
          </w:tcPr>
          <w:p>
            <w:pPr>
              <w:spacing w:after="0"/>
            </w:pPr>
            <w:r>
              <w:rPr>
                <w:rFonts w:ascii="Arial" w:hAnsi="Arial"/>
                <w:b w:val="0"/>
                <w:sz w:val="14"/>
              </w:rPr>
              <w:t>Accountability, human oversight, role mapping</w:t>
            </w:r>
          </w:p>
        </w:tc>
      </w:tr>
      <w:tr>
        <w:tc>
          <w:tcPr>
            <w:tcW w:type="dxa" w:w="2556"/>
          </w:tcPr>
          <w:p>
            <w:pPr>
              <w:spacing w:after="0"/>
            </w:pPr>
            <w:r>
              <w:rPr>
                <w:rFonts w:ascii="Arial" w:hAnsi="Arial"/>
                <w:b w:val="0"/>
                <w:sz w:val="14"/>
              </w:rPr>
              <w:t>MRO-02</w:t>
            </w:r>
          </w:p>
        </w:tc>
        <w:tc>
          <w:tcPr>
            <w:tcW w:type="dxa" w:w="2556"/>
          </w:tcPr>
          <w:p>
            <w:pPr>
              <w:spacing w:after="0"/>
            </w:pPr>
            <w:r>
              <w:rPr>
                <w:rFonts w:ascii="Arial" w:hAnsi="Arial"/>
                <w:b w:val="0"/>
                <w:sz w:val="14"/>
              </w:rPr>
              <w:t>Delegated Authority Boundary</w:t>
            </w:r>
          </w:p>
        </w:tc>
        <w:tc>
          <w:tcPr>
            <w:tcW w:type="dxa" w:w="2556"/>
          </w:tcPr>
          <w:p>
            <w:pPr>
              <w:spacing w:after="0"/>
            </w:pPr>
            <w:r>
              <w:rPr>
                <w:rFonts w:ascii="Arial" w:hAnsi="Arial"/>
                <w:b w:val="0"/>
                <w:sz w:val="14"/>
              </w:rPr>
              <w:t>IAM permission decides access. Delegated authority decides responsibility.</w:t>
            </w:r>
          </w:p>
        </w:tc>
        <w:tc>
          <w:tcPr>
            <w:tcW w:type="dxa" w:w="2556"/>
          </w:tcPr>
          <w:p>
            <w:pPr>
              <w:spacing w:after="0"/>
            </w:pPr>
            <w:r>
              <w:rPr>
                <w:rFonts w:ascii="Arial" w:hAnsi="Arial"/>
                <w:b w:val="0"/>
                <w:sz w:val="14"/>
              </w:rPr>
              <w:t>Authority, delegation, scope control</w:t>
            </w:r>
          </w:p>
        </w:tc>
      </w:tr>
      <w:tr>
        <w:tc>
          <w:tcPr>
            <w:tcW w:type="dxa" w:w="2556"/>
          </w:tcPr>
          <w:p>
            <w:pPr>
              <w:spacing w:after="0"/>
            </w:pPr>
            <w:r>
              <w:rPr>
                <w:rFonts w:ascii="Arial" w:hAnsi="Arial"/>
                <w:b w:val="0"/>
                <w:sz w:val="14"/>
              </w:rPr>
              <w:t>MRO-03</w:t>
            </w:r>
          </w:p>
        </w:tc>
        <w:tc>
          <w:tcPr>
            <w:tcW w:type="dxa" w:w="2556"/>
          </w:tcPr>
          <w:p>
            <w:pPr>
              <w:spacing w:after="0"/>
            </w:pPr>
            <w:r>
              <w:rPr>
                <w:rFonts w:ascii="Arial" w:hAnsi="Arial"/>
                <w:b w:val="0"/>
                <w:sz w:val="14"/>
              </w:rPr>
              <w:t>Agent Role is not Human Role</w:t>
            </w:r>
          </w:p>
        </w:tc>
        <w:tc>
          <w:tcPr>
            <w:tcW w:type="dxa" w:w="2556"/>
          </w:tcPr>
          <w:p>
            <w:pPr>
              <w:spacing w:after="0"/>
            </w:pPr>
            <w:r>
              <w:rPr>
                <w:rFonts w:ascii="Arial" w:hAnsi="Arial"/>
                <w:b w:val="0"/>
                <w:sz w:val="14"/>
              </w:rPr>
              <w:t>An agent role is a bounded responsibility surface, not a human job title.</w:t>
            </w:r>
          </w:p>
        </w:tc>
        <w:tc>
          <w:tcPr>
            <w:tcW w:type="dxa" w:w="2556"/>
          </w:tcPr>
          <w:p>
            <w:pPr>
              <w:spacing w:after="0"/>
            </w:pPr>
            <w:r>
              <w:rPr>
                <w:rFonts w:ascii="Arial" w:hAnsi="Arial"/>
                <w:b w:val="0"/>
                <w:sz w:val="14"/>
              </w:rPr>
              <w:t>Role semantics, capability boundaries</w:t>
            </w:r>
          </w:p>
        </w:tc>
      </w:tr>
      <w:tr>
        <w:tc>
          <w:tcPr>
            <w:tcW w:type="dxa" w:w="2556"/>
          </w:tcPr>
          <w:p>
            <w:pPr>
              <w:spacing w:after="0"/>
            </w:pPr>
            <w:r>
              <w:rPr>
                <w:rFonts w:ascii="Arial" w:hAnsi="Arial"/>
                <w:b w:val="0"/>
                <w:sz w:val="14"/>
              </w:rPr>
              <w:t>MRO-04</w:t>
            </w:r>
          </w:p>
        </w:tc>
        <w:tc>
          <w:tcPr>
            <w:tcW w:type="dxa" w:w="2556"/>
          </w:tcPr>
          <w:p>
            <w:pPr>
              <w:spacing w:after="0"/>
            </w:pPr>
            <w:r>
              <w:rPr>
                <w:rFonts w:ascii="Arial" w:hAnsi="Arial"/>
                <w:b w:val="0"/>
                <w:sz w:val="14"/>
              </w:rPr>
              <w:t>Accepted Outcome Compliance</w:t>
            </w:r>
          </w:p>
        </w:tc>
        <w:tc>
          <w:tcPr>
            <w:tcW w:type="dxa" w:w="2556"/>
          </w:tcPr>
          <w:p>
            <w:pPr>
              <w:spacing w:after="0"/>
            </w:pPr>
            <w:r>
              <w:rPr>
                <w:rFonts w:ascii="Arial" w:hAnsi="Arial"/>
                <w:b w:val="0"/>
                <w:sz w:val="14"/>
              </w:rPr>
              <w:t>Output is a system event. Accepted outcome is a governance state.</w:t>
            </w:r>
          </w:p>
        </w:tc>
        <w:tc>
          <w:tcPr>
            <w:tcW w:type="dxa" w:w="2556"/>
          </w:tcPr>
          <w:p>
            <w:pPr>
              <w:spacing w:after="0"/>
            </w:pPr>
            <w:r>
              <w:rPr>
                <w:rFonts w:ascii="Arial" w:hAnsi="Arial"/>
                <w:b w:val="0"/>
                <w:sz w:val="14"/>
              </w:rPr>
              <w:t>Outcome acceptance, review, evidence</w:t>
            </w:r>
          </w:p>
        </w:tc>
      </w:tr>
      <w:tr>
        <w:tc>
          <w:tcPr>
            <w:tcW w:type="dxa" w:w="2556"/>
          </w:tcPr>
          <w:p>
            <w:pPr>
              <w:spacing w:after="0"/>
            </w:pPr>
            <w:r>
              <w:rPr>
                <w:rFonts w:ascii="Arial" w:hAnsi="Arial"/>
                <w:b w:val="0"/>
                <w:sz w:val="14"/>
              </w:rPr>
              <w:t>MRO-05</w:t>
            </w:r>
          </w:p>
        </w:tc>
        <w:tc>
          <w:tcPr>
            <w:tcW w:type="dxa" w:w="2556"/>
          </w:tcPr>
          <w:p>
            <w:pPr>
              <w:spacing w:after="0"/>
            </w:pPr>
            <w:r>
              <w:rPr>
                <w:rFonts w:ascii="Arial" w:hAnsi="Arial"/>
                <w:b w:val="0"/>
                <w:sz w:val="14"/>
              </w:rPr>
              <w:t>Tool-Action Liability Boundary</w:t>
            </w:r>
          </w:p>
        </w:tc>
        <w:tc>
          <w:tcPr>
            <w:tcW w:type="dxa" w:w="2556"/>
          </w:tcPr>
          <w:p>
            <w:pPr>
              <w:spacing w:after="0"/>
            </w:pPr>
            <w:r>
              <w:rPr>
                <w:rFonts w:ascii="Arial" w:hAnsi="Arial"/>
                <w:b w:val="0"/>
                <w:sz w:val="14"/>
              </w:rPr>
              <w:t>Tool use is where AI output becomes external consequence.</w:t>
            </w:r>
          </w:p>
        </w:tc>
        <w:tc>
          <w:tcPr>
            <w:tcW w:type="dxa" w:w="2556"/>
          </w:tcPr>
          <w:p>
            <w:pPr>
              <w:spacing w:after="0"/>
            </w:pPr>
            <w:r>
              <w:rPr>
                <w:rFonts w:ascii="Arial" w:hAnsi="Arial"/>
                <w:b w:val="0"/>
                <w:sz w:val="14"/>
              </w:rPr>
              <w:t>External actions, liability, reversibility</w:t>
            </w:r>
          </w:p>
        </w:tc>
      </w:tr>
      <w:tr>
        <w:tc>
          <w:tcPr>
            <w:tcW w:type="dxa" w:w="2556"/>
          </w:tcPr>
          <w:p>
            <w:pPr>
              <w:spacing w:after="0"/>
            </w:pPr>
            <w:r>
              <w:rPr>
                <w:rFonts w:ascii="Arial" w:hAnsi="Arial"/>
                <w:b w:val="0"/>
                <w:sz w:val="14"/>
              </w:rPr>
              <w:t>MRO-06</w:t>
            </w:r>
          </w:p>
        </w:tc>
        <w:tc>
          <w:tcPr>
            <w:tcW w:type="dxa" w:w="2556"/>
          </w:tcPr>
          <w:p>
            <w:pPr>
              <w:spacing w:after="0"/>
            </w:pPr>
            <w:r>
              <w:rPr>
                <w:rFonts w:ascii="Arial" w:hAnsi="Arial"/>
                <w:b w:val="0"/>
                <w:sz w:val="14"/>
              </w:rPr>
              <w:t>Responsibility Transfer Across Agents</w:t>
            </w:r>
          </w:p>
        </w:tc>
        <w:tc>
          <w:tcPr>
            <w:tcW w:type="dxa" w:w="2556"/>
          </w:tcPr>
          <w:p>
            <w:pPr>
              <w:spacing w:after="0"/>
            </w:pPr>
            <w:r>
              <w:rPr>
                <w:rFonts w:ascii="Arial" w:hAnsi="Arial"/>
                <w:b w:val="0"/>
                <w:sz w:val="14"/>
              </w:rPr>
              <w:t>Handoff without explicit responsibility transfer is just routing.</w:t>
            </w:r>
          </w:p>
        </w:tc>
        <w:tc>
          <w:tcPr>
            <w:tcW w:type="dxa" w:w="2556"/>
          </w:tcPr>
          <w:p>
            <w:pPr>
              <w:spacing w:after="0"/>
            </w:pPr>
            <w:r>
              <w:rPr>
                <w:rFonts w:ascii="Arial" w:hAnsi="Arial"/>
                <w:b w:val="0"/>
                <w:sz w:val="14"/>
              </w:rPr>
              <w:t>Multi-agent handoff, constraint inheritance</w:t>
            </w:r>
          </w:p>
        </w:tc>
      </w:tr>
      <w:tr>
        <w:tc>
          <w:tcPr>
            <w:tcW w:type="dxa" w:w="2556"/>
          </w:tcPr>
          <w:p>
            <w:pPr>
              <w:spacing w:after="0"/>
            </w:pPr>
            <w:r>
              <w:rPr>
                <w:rFonts w:ascii="Arial" w:hAnsi="Arial"/>
                <w:b w:val="0"/>
                <w:sz w:val="14"/>
              </w:rPr>
              <w:t>MRO-07</w:t>
            </w:r>
          </w:p>
        </w:tc>
        <w:tc>
          <w:tcPr>
            <w:tcW w:type="dxa" w:w="2556"/>
          </w:tcPr>
          <w:p>
            <w:pPr>
              <w:spacing w:after="0"/>
            </w:pPr>
            <w:r>
              <w:rPr>
                <w:rFonts w:ascii="Arial" w:hAnsi="Arial"/>
                <w:b w:val="0"/>
                <w:sz w:val="14"/>
              </w:rPr>
              <w:t>Authority Drift</w:t>
            </w:r>
          </w:p>
        </w:tc>
        <w:tc>
          <w:tcPr>
            <w:tcW w:type="dxa" w:w="2556"/>
          </w:tcPr>
          <w:p>
            <w:pPr>
              <w:spacing w:after="0"/>
            </w:pPr>
            <w:r>
              <w:rPr>
                <w:rFonts w:ascii="Arial" w:hAnsi="Arial"/>
                <w:b w:val="0"/>
                <w:sz w:val="14"/>
              </w:rPr>
              <w:t>The most dangerous agent failures are often unauthorized authority transitions.</w:t>
            </w:r>
          </w:p>
        </w:tc>
        <w:tc>
          <w:tcPr>
            <w:tcW w:type="dxa" w:w="2556"/>
          </w:tcPr>
          <w:p>
            <w:pPr>
              <w:spacing w:after="0"/>
            </w:pPr>
            <w:r>
              <w:rPr>
                <w:rFonts w:ascii="Arial" w:hAnsi="Arial"/>
                <w:b w:val="0"/>
                <w:sz w:val="14"/>
              </w:rPr>
              <w:t>Authority monitoring, drift detection</w:t>
            </w:r>
          </w:p>
        </w:tc>
      </w:tr>
      <w:tr>
        <w:tc>
          <w:tcPr>
            <w:tcW w:type="dxa" w:w="2556"/>
          </w:tcPr>
          <w:p>
            <w:pPr>
              <w:spacing w:after="0"/>
            </w:pPr>
            <w:r>
              <w:rPr>
                <w:rFonts w:ascii="Arial" w:hAnsi="Arial"/>
                <w:b w:val="0"/>
                <w:sz w:val="14"/>
              </w:rPr>
              <w:t>MRO-08</w:t>
            </w:r>
          </w:p>
        </w:tc>
        <w:tc>
          <w:tcPr>
            <w:tcW w:type="dxa" w:w="2556"/>
          </w:tcPr>
          <w:p>
            <w:pPr>
              <w:spacing w:after="0"/>
            </w:pPr>
            <w:r>
              <w:rPr>
                <w:rFonts w:ascii="Arial" w:hAnsi="Arial"/>
                <w:b w:val="0"/>
                <w:sz w:val="14"/>
              </w:rPr>
              <w:t>MAS Evidence Partitioning</w:t>
            </w:r>
          </w:p>
        </w:tc>
        <w:tc>
          <w:tcPr>
            <w:tcW w:type="dxa" w:w="2556"/>
          </w:tcPr>
          <w:p>
            <w:pPr>
              <w:spacing w:after="0"/>
            </w:pPr>
            <w:r>
              <w:rPr>
                <w:rFonts w:ascii="Arial" w:hAnsi="Arial"/>
                <w:b w:val="0"/>
                <w:sz w:val="14"/>
              </w:rPr>
              <w:t>In MAS, evidence must be partitioned, linked, and reconstructable.</w:t>
            </w:r>
          </w:p>
        </w:tc>
        <w:tc>
          <w:tcPr>
            <w:tcW w:type="dxa" w:w="2556"/>
          </w:tcPr>
          <w:p>
            <w:pPr>
              <w:spacing w:after="0"/>
            </w:pPr>
            <w:r>
              <w:rPr>
                <w:rFonts w:ascii="Arial" w:hAnsi="Arial"/>
                <w:b w:val="0"/>
                <w:sz w:val="14"/>
              </w:rPr>
              <w:t>Evidence chain, multi-agent traceability</w:t>
            </w:r>
          </w:p>
        </w:tc>
      </w:tr>
      <w:tr>
        <w:tc>
          <w:tcPr>
            <w:tcW w:type="dxa" w:w="2556"/>
          </w:tcPr>
          <w:p>
            <w:pPr>
              <w:spacing w:after="0"/>
            </w:pPr>
            <w:r>
              <w:rPr>
                <w:rFonts w:ascii="Arial" w:hAnsi="Arial"/>
                <w:b w:val="0"/>
                <w:sz w:val="14"/>
              </w:rPr>
              <w:t>MRO-09</w:t>
            </w:r>
          </w:p>
        </w:tc>
        <w:tc>
          <w:tcPr>
            <w:tcW w:type="dxa" w:w="2556"/>
          </w:tcPr>
          <w:p>
            <w:pPr>
              <w:spacing w:after="0"/>
            </w:pPr>
            <w:r>
              <w:rPr>
                <w:rFonts w:ascii="Arial" w:hAnsi="Arial"/>
                <w:b w:val="0"/>
                <w:sz w:val="14"/>
              </w:rPr>
              <w:t>Cross-Project Reuse Compliance</w:t>
            </w:r>
          </w:p>
        </w:tc>
        <w:tc>
          <w:tcPr>
            <w:tcW w:type="dxa" w:w="2556"/>
          </w:tcPr>
          <w:p>
            <w:pPr>
              <w:spacing w:after="0"/>
            </w:pPr>
            <w:r>
              <w:rPr>
                <w:rFonts w:ascii="Arial" w:hAnsi="Arial"/>
                <w:b w:val="0"/>
                <w:sz w:val="14"/>
              </w:rPr>
              <w:t>Cross-project reuse is not just efficiency. It is a compliance boundary.</w:t>
            </w:r>
          </w:p>
        </w:tc>
        <w:tc>
          <w:tcPr>
            <w:tcW w:type="dxa" w:w="2556"/>
          </w:tcPr>
          <w:p>
            <w:pPr>
              <w:spacing w:after="0"/>
            </w:pPr>
            <w:r>
              <w:rPr>
                <w:rFonts w:ascii="Arial" w:hAnsi="Arial"/>
                <w:b w:val="0"/>
                <w:sz w:val="14"/>
              </w:rPr>
              <w:t>Reuse, context reset, privacy review</w:t>
            </w:r>
          </w:p>
        </w:tc>
      </w:tr>
      <w:tr>
        <w:tc>
          <w:tcPr>
            <w:tcW w:type="dxa" w:w="2556"/>
          </w:tcPr>
          <w:p>
            <w:pPr>
              <w:spacing w:after="0"/>
            </w:pPr>
            <w:r>
              <w:rPr>
                <w:rFonts w:ascii="Arial" w:hAnsi="Arial"/>
                <w:b w:val="0"/>
                <w:sz w:val="14"/>
              </w:rPr>
              <w:t>MRO-10</w:t>
            </w:r>
          </w:p>
        </w:tc>
        <w:tc>
          <w:tcPr>
            <w:tcW w:type="dxa" w:w="2556"/>
          </w:tcPr>
          <w:p>
            <w:pPr>
              <w:spacing w:after="0"/>
            </w:pPr>
            <w:r>
              <w:rPr>
                <w:rFonts w:ascii="Arial" w:hAnsi="Arial"/>
                <w:b w:val="0"/>
                <w:sz w:val="14"/>
              </w:rPr>
              <w:t>Privacy / GDPR Lifecycle Mapping</w:t>
            </w:r>
          </w:p>
        </w:tc>
        <w:tc>
          <w:tcPr>
            <w:tcW w:type="dxa" w:w="2556"/>
          </w:tcPr>
          <w:p>
            <w:pPr>
              <w:spacing w:after="0"/>
            </w:pPr>
            <w:r>
              <w:rPr>
                <w:rFonts w:ascii="Arial" w:hAnsi="Arial"/>
                <w:b w:val="0"/>
                <w:sz w:val="14"/>
              </w:rPr>
              <w:t>Privacy compliance in agentic systems must be mapped across the agent lifecycle.</w:t>
            </w:r>
          </w:p>
        </w:tc>
        <w:tc>
          <w:tcPr>
            <w:tcW w:type="dxa" w:w="2556"/>
          </w:tcPr>
          <w:p>
            <w:pPr>
              <w:spacing w:after="0"/>
            </w:pPr>
            <w:r>
              <w:rPr>
                <w:rFonts w:ascii="Arial" w:hAnsi="Arial"/>
                <w:b w:val="0"/>
                <w:sz w:val="14"/>
              </w:rPr>
              <w:t>Privacy, data flow, lifecycle stages</w:t>
            </w:r>
          </w:p>
        </w:tc>
      </w:tr>
      <w:tr>
        <w:tc>
          <w:tcPr>
            <w:tcW w:type="dxa" w:w="2556"/>
          </w:tcPr>
          <w:p>
            <w:pPr>
              <w:spacing w:after="0"/>
            </w:pPr>
            <w:r>
              <w:rPr>
                <w:rFonts w:ascii="Arial" w:hAnsi="Arial"/>
                <w:b w:val="0"/>
                <w:sz w:val="14"/>
              </w:rPr>
              <w:t>MRO-11</w:t>
            </w:r>
          </w:p>
        </w:tc>
        <w:tc>
          <w:tcPr>
            <w:tcW w:type="dxa" w:w="2556"/>
          </w:tcPr>
          <w:p>
            <w:pPr>
              <w:spacing w:after="0"/>
            </w:pPr>
            <w:r>
              <w:rPr>
                <w:rFonts w:ascii="Arial" w:hAnsi="Arial"/>
                <w:b w:val="0"/>
                <w:sz w:val="14"/>
              </w:rPr>
              <w:t>Privacy-Preserving Third-Party Validation</w:t>
            </w:r>
          </w:p>
        </w:tc>
        <w:tc>
          <w:tcPr>
            <w:tcW w:type="dxa" w:w="2556"/>
          </w:tcPr>
          <w:p>
            <w:pPr>
              <w:spacing w:after="0"/>
            </w:pPr>
            <w:r>
              <w:rPr>
                <w:rFonts w:ascii="Arial" w:hAnsi="Arial"/>
                <w:b w:val="0"/>
                <w:sz w:val="14"/>
              </w:rPr>
              <w:t>External validation without raw sensitive data is a prerequisite for enterprise audit-readiness.</w:t>
            </w:r>
          </w:p>
        </w:tc>
        <w:tc>
          <w:tcPr>
            <w:tcW w:type="dxa" w:w="2556"/>
          </w:tcPr>
          <w:p>
            <w:pPr>
              <w:spacing w:after="0"/>
            </w:pPr>
            <w:r>
              <w:rPr>
                <w:rFonts w:ascii="Arial" w:hAnsi="Arial"/>
                <w:b w:val="0"/>
                <w:sz w:val="14"/>
              </w:rPr>
              <w:t>External validation, privacy preservation</w:t>
            </w:r>
          </w:p>
        </w:tc>
      </w:tr>
      <w:tr>
        <w:tc>
          <w:tcPr>
            <w:tcW w:type="dxa" w:w="2556"/>
          </w:tcPr>
          <w:p>
            <w:pPr>
              <w:spacing w:after="0"/>
            </w:pPr>
            <w:r>
              <w:rPr>
                <w:rFonts w:ascii="Arial" w:hAnsi="Arial"/>
                <w:b w:val="0"/>
                <w:sz w:val="14"/>
              </w:rPr>
              <w:t>MRO-12</w:t>
            </w:r>
          </w:p>
        </w:tc>
        <w:tc>
          <w:tcPr>
            <w:tcW w:type="dxa" w:w="2556"/>
          </w:tcPr>
          <w:p>
            <w:pPr>
              <w:spacing w:after="0"/>
            </w:pPr>
            <w:r>
              <w:rPr>
                <w:rFonts w:ascii="Arial" w:hAnsi="Arial"/>
                <w:b w:val="0"/>
                <w:sz w:val="14"/>
              </w:rPr>
              <w:t>Evidence Minimization and Selective Disclosure</w:t>
            </w:r>
          </w:p>
        </w:tc>
        <w:tc>
          <w:tcPr>
            <w:tcW w:type="dxa" w:w="2556"/>
          </w:tcPr>
          <w:p>
            <w:pPr>
              <w:spacing w:after="0"/>
            </w:pPr>
            <w:r>
              <w:rPr>
                <w:rFonts w:ascii="Arial" w:hAnsi="Arial"/>
                <w:b w:val="0"/>
                <w:sz w:val="14"/>
              </w:rPr>
              <w:t>Evidence without minimization becomes a privacy risk. Privacy without evidence becomes an accountability gap.</w:t>
            </w:r>
          </w:p>
        </w:tc>
        <w:tc>
          <w:tcPr>
            <w:tcW w:type="dxa" w:w="2556"/>
          </w:tcPr>
          <w:p>
            <w:pPr>
              <w:spacing w:after="0"/>
            </w:pPr>
            <w:r>
              <w:rPr>
                <w:rFonts w:ascii="Arial" w:hAnsi="Arial"/>
                <w:b w:val="0"/>
                <w:sz w:val="14"/>
              </w:rPr>
              <w:t>Evidence minimization, selective disclosure</w:t>
            </w:r>
          </w:p>
        </w:tc>
      </w:tr>
      <w:tr>
        <w:tc>
          <w:tcPr>
            <w:tcW w:type="dxa" w:w="2556"/>
          </w:tcPr>
          <w:p>
            <w:pPr>
              <w:spacing w:after="0"/>
            </w:pPr>
            <w:r>
              <w:rPr>
                <w:rFonts w:ascii="Arial" w:hAnsi="Arial"/>
                <w:b w:val="0"/>
                <w:sz w:val="14"/>
              </w:rPr>
              <w:t>MRO-13</w:t>
            </w:r>
          </w:p>
        </w:tc>
        <w:tc>
          <w:tcPr>
            <w:tcW w:type="dxa" w:w="2556"/>
          </w:tcPr>
          <w:p>
            <w:pPr>
              <w:spacing w:after="0"/>
            </w:pPr>
            <w:r>
              <w:rPr>
                <w:rFonts w:ascii="Arial" w:hAnsi="Arial"/>
                <w:b w:val="0"/>
                <w:sz w:val="14"/>
              </w:rPr>
              <w:t>Data Subject Rights vs Evidence Retention</w:t>
            </w:r>
          </w:p>
        </w:tc>
        <w:tc>
          <w:tcPr>
            <w:tcW w:type="dxa" w:w="2556"/>
          </w:tcPr>
          <w:p>
            <w:pPr>
              <w:spacing w:after="0"/>
            </w:pPr>
            <w:r>
              <w:rPr>
                <w:rFonts w:ascii="Arial" w:hAnsi="Arial"/>
                <w:b w:val="0"/>
                <w:sz w:val="14"/>
              </w:rPr>
              <w:t>Agentic audit systems must preserve accountability without hoarding personal data.</w:t>
            </w:r>
          </w:p>
        </w:tc>
        <w:tc>
          <w:tcPr>
            <w:tcW w:type="dxa" w:w="2556"/>
          </w:tcPr>
          <w:p>
            <w:pPr>
              <w:spacing w:after="0"/>
            </w:pPr>
            <w:r>
              <w:rPr>
                <w:rFonts w:ascii="Arial" w:hAnsi="Arial"/>
                <w:b w:val="0"/>
                <w:sz w:val="14"/>
              </w:rPr>
              <w:t>Data subject rights, retention, accountability</w:t>
            </w:r>
          </w:p>
        </w:tc>
      </w:tr>
      <w:tr>
        <w:tc>
          <w:tcPr>
            <w:tcW w:type="dxa" w:w="2556"/>
          </w:tcPr>
          <w:p>
            <w:pPr>
              <w:spacing w:after="0"/>
            </w:pPr>
            <w:r>
              <w:rPr>
                <w:rFonts w:ascii="Arial" w:hAnsi="Arial"/>
                <w:b w:val="0"/>
                <w:sz w:val="14"/>
              </w:rPr>
              <w:t>MRO-14</w:t>
            </w:r>
          </w:p>
        </w:tc>
        <w:tc>
          <w:tcPr>
            <w:tcW w:type="dxa" w:w="2556"/>
          </w:tcPr>
          <w:p>
            <w:pPr>
              <w:spacing w:after="0"/>
            </w:pPr>
            <w:r>
              <w:rPr>
                <w:rFonts w:ascii="Arial" w:hAnsi="Arial"/>
                <w:b w:val="0"/>
                <w:sz w:val="14"/>
              </w:rPr>
              <w:t>Third-Party Processor / Subprocessor Chain</w:t>
            </w:r>
          </w:p>
        </w:tc>
        <w:tc>
          <w:tcPr>
            <w:tcW w:type="dxa" w:w="2556"/>
          </w:tcPr>
          <w:p>
            <w:pPr>
              <w:spacing w:after="0"/>
            </w:pPr>
            <w:r>
              <w:rPr>
                <w:rFonts w:ascii="Arial" w:hAnsi="Arial"/>
                <w:b w:val="0"/>
                <w:sz w:val="14"/>
              </w:rPr>
              <w:t>A multi-agent system is also a multi-party responsibility chain.</w:t>
            </w:r>
          </w:p>
        </w:tc>
        <w:tc>
          <w:tcPr>
            <w:tcW w:type="dxa" w:w="2556"/>
          </w:tcPr>
          <w:p>
            <w:pPr>
              <w:spacing w:after="0"/>
            </w:pPr>
            <w:r>
              <w:rPr>
                <w:rFonts w:ascii="Arial" w:hAnsi="Arial"/>
                <w:b w:val="0"/>
                <w:sz w:val="14"/>
              </w:rPr>
              <w:t>Processor chain, vendor responsibility</w:t>
            </w:r>
          </w:p>
        </w:tc>
      </w:tr>
      <w:tr>
        <w:tc>
          <w:tcPr>
            <w:tcW w:type="dxa" w:w="2556"/>
          </w:tcPr>
          <w:p>
            <w:pPr>
              <w:spacing w:after="0"/>
            </w:pPr>
            <w:r>
              <w:rPr>
                <w:rFonts w:ascii="Arial" w:hAnsi="Arial"/>
                <w:b w:val="0"/>
                <w:sz w:val="14"/>
              </w:rPr>
              <w:t>MRO-15</w:t>
            </w:r>
          </w:p>
        </w:tc>
        <w:tc>
          <w:tcPr>
            <w:tcW w:type="dxa" w:w="2556"/>
          </w:tcPr>
          <w:p>
            <w:pPr>
              <w:spacing w:after="0"/>
            </w:pPr>
            <w:r>
              <w:rPr>
                <w:rFonts w:ascii="Arial" w:hAnsi="Arial"/>
                <w:b w:val="0"/>
                <w:sz w:val="14"/>
              </w:rPr>
              <w:t>Vendor / Model / Runtime Substitution Conformance</w:t>
            </w:r>
          </w:p>
        </w:tc>
        <w:tc>
          <w:tcPr>
            <w:tcW w:type="dxa" w:w="2556"/>
          </w:tcPr>
          <w:p>
            <w:pPr>
              <w:spacing w:after="0"/>
            </w:pPr>
            <w:r>
              <w:rPr>
                <w:rFonts w:ascii="Arial" w:hAnsi="Arial"/>
                <w:b w:val="0"/>
                <w:sz w:val="14"/>
              </w:rPr>
              <w:t>Vendor neutrality is not real unless compliance survives substitution.</w:t>
            </w:r>
          </w:p>
        </w:tc>
        <w:tc>
          <w:tcPr>
            <w:tcW w:type="dxa" w:w="2556"/>
          </w:tcPr>
          <w:p>
            <w:pPr>
              <w:spacing w:after="0"/>
            </w:pPr>
            <w:r>
              <w:rPr>
                <w:rFonts w:ascii="Arial" w:hAnsi="Arial"/>
                <w:b w:val="0"/>
                <w:sz w:val="14"/>
              </w:rPr>
              <w:t>Substitution, vendor changes, conformance continuity</w:t>
            </w:r>
          </w:p>
        </w:tc>
      </w:tr>
      <w:tr>
        <w:tc>
          <w:tcPr>
            <w:tcW w:type="dxa" w:w="2556"/>
          </w:tcPr>
          <w:p>
            <w:pPr>
              <w:spacing w:after="0"/>
            </w:pPr>
            <w:r>
              <w:rPr>
                <w:rFonts w:ascii="Arial" w:hAnsi="Arial"/>
                <w:b w:val="0"/>
                <w:sz w:val="14"/>
              </w:rPr>
              <w:t>MRO-16</w:t>
            </w:r>
          </w:p>
        </w:tc>
        <w:tc>
          <w:tcPr>
            <w:tcW w:type="dxa" w:w="2556"/>
          </w:tcPr>
          <w:p>
            <w:pPr>
              <w:spacing w:after="0"/>
            </w:pPr>
            <w:r>
              <w:rPr>
                <w:rFonts w:ascii="Arial" w:hAnsi="Arial"/>
                <w:b w:val="0"/>
                <w:sz w:val="14"/>
              </w:rPr>
              <w:t>Incident, Dispute, and Remediation Closure</w:t>
            </w:r>
          </w:p>
        </w:tc>
        <w:tc>
          <w:tcPr>
            <w:tcW w:type="dxa" w:w="2556"/>
          </w:tcPr>
          <w:p>
            <w:pPr>
              <w:spacing w:after="0"/>
            </w:pPr>
            <w:r>
              <w:rPr>
                <w:rFonts w:ascii="Arial" w:hAnsi="Arial"/>
                <w:b w:val="0"/>
                <w:sz w:val="14"/>
              </w:rPr>
              <w:t>A compliance incident closes when evidence, responsibility, correction, and acceptance are resolved.</w:t>
            </w:r>
          </w:p>
        </w:tc>
        <w:tc>
          <w:tcPr>
            <w:tcW w:type="dxa" w:w="2556"/>
          </w:tcPr>
          <w:p>
            <w:pPr>
              <w:spacing w:after="0"/>
            </w:pPr>
            <w:r>
              <w:rPr>
                <w:rFonts w:ascii="Arial" w:hAnsi="Arial"/>
                <w:b w:val="0"/>
                <w:sz w:val="14"/>
              </w:rPr>
              <w:t>Incident closure, dispute resolution, remediation</w:t>
            </w:r>
          </w:p>
        </w:tc>
      </w:tr>
    </w:tbl>
    <w:p>
      <w:pPr>
        <w:spacing w:after="56"/>
      </w:pPr>
      <w:r>
        <w:t>Table T-06-01: Summary of the Sixteen Missing Regulatory Objects</w:t>
      </w:r>
    </w:p>
    <w:p>
      <w:pPr>
        <w:pStyle w:val="Heading2"/>
      </w:pPr>
      <w:r>
        <w:t>6.1.1 Common MRO Field Model</w:t>
      </w:r>
    </w:p>
    <w:p>
      <w:pPr>
        <w:spacing w:after="56"/>
      </w:pPr>
      <w:r>
        <w:t>All sixteen MRO object cards share a common set of identity and evidence fields. This common field model avoids repeating generic fields across every object card and establishes a consistent structure for lifecycle governance objects.</w:t>
      </w:r>
    </w:p>
    <w:p>
      <w:pPr>
        <w:spacing w:after="56"/>
      </w:pPr>
      <w:r>
        <w:t>The following table defines the common fields that apply to all MROs:</w:t>
      </w:r>
    </w:p>
    <w:p>
      <w:pPr>
        <w:spacing w:after="56"/>
      </w:pPr>
      <w:r>
        <w:t>Table T-06-01A: Common MRO Field Model</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Common Field</w:t>
            </w:r>
          </w:p>
        </w:tc>
        <w:tc>
          <w:tcPr>
            <w:tcW w:type="dxa" w:w="5112"/>
          </w:tcPr>
          <w:p>
            <w:pPr>
              <w:spacing w:after="0"/>
            </w:pPr>
            <w:r>
              <w:rPr>
                <w:rFonts w:ascii="Arial" w:hAnsi="Arial"/>
                <w:b/>
                <w:sz w:val="14"/>
              </w:rPr>
              <w:t>Purpose</w:t>
            </w:r>
          </w:p>
        </w:tc>
      </w:tr>
      <w:tr>
        <w:tc>
          <w:tcPr>
            <w:tcW w:type="dxa" w:w="5112"/>
          </w:tcPr>
          <w:p>
            <w:pPr>
              <w:spacing w:after="0"/>
            </w:pPr>
            <w:r>
              <w:rPr>
                <w:rFonts w:ascii="Arial" w:hAnsi="Arial"/>
                <w:b w:val="0"/>
                <w:sz w:val="14"/>
              </w:rPr>
              <w:t>object_id</w:t>
            </w:r>
          </w:p>
        </w:tc>
        <w:tc>
          <w:tcPr>
            <w:tcW w:type="dxa" w:w="5112"/>
          </w:tcPr>
          <w:p>
            <w:pPr>
              <w:spacing w:after="0"/>
            </w:pPr>
            <w:r>
              <w:rPr>
                <w:rFonts w:ascii="Arial" w:hAnsi="Arial"/>
                <w:b w:val="0"/>
                <w:sz w:val="14"/>
              </w:rPr>
              <w:t>Unique identifier for the object instance</w:t>
            </w:r>
          </w:p>
        </w:tc>
      </w:tr>
      <w:tr>
        <w:tc>
          <w:tcPr>
            <w:tcW w:type="dxa" w:w="5112"/>
          </w:tcPr>
          <w:p>
            <w:pPr>
              <w:spacing w:after="0"/>
            </w:pPr>
            <w:r>
              <w:rPr>
                <w:rFonts w:ascii="Arial" w:hAnsi="Arial"/>
                <w:b w:val="0"/>
                <w:sz w:val="14"/>
              </w:rPr>
              <w:t>object_type</w:t>
            </w:r>
          </w:p>
        </w:tc>
        <w:tc>
          <w:tcPr>
            <w:tcW w:type="dxa" w:w="5112"/>
          </w:tcPr>
          <w:p>
            <w:pPr>
              <w:spacing w:after="0"/>
            </w:pPr>
            <w:r>
              <w:rPr>
                <w:rFonts w:ascii="Arial" w:hAnsi="Arial"/>
                <w:b w:val="0"/>
                <w:sz w:val="14"/>
              </w:rPr>
              <w:t>MRO type identifier for the object instance</w:t>
            </w:r>
          </w:p>
        </w:tc>
      </w:tr>
      <w:tr>
        <w:tc>
          <w:tcPr>
            <w:tcW w:type="dxa" w:w="5112"/>
          </w:tcPr>
          <w:p>
            <w:pPr>
              <w:spacing w:after="0"/>
            </w:pPr>
            <w:r>
              <w:rPr>
                <w:rFonts w:ascii="Arial" w:hAnsi="Arial"/>
                <w:b w:val="0"/>
                <w:sz w:val="14"/>
              </w:rPr>
              <w:t>lifecycle_id</w:t>
            </w:r>
          </w:p>
        </w:tc>
        <w:tc>
          <w:tcPr>
            <w:tcW w:type="dxa" w:w="5112"/>
          </w:tcPr>
          <w:p>
            <w:pPr>
              <w:spacing w:after="0"/>
            </w:pPr>
            <w:r>
              <w:rPr>
                <w:rFonts w:ascii="Arial" w:hAnsi="Arial"/>
                <w:b w:val="0"/>
                <w:sz w:val="14"/>
              </w:rPr>
              <w:t>Identifier linking the object to a specific lifecycle execution</w:t>
            </w:r>
          </w:p>
        </w:tc>
      </w:tr>
      <w:tr>
        <w:tc>
          <w:tcPr>
            <w:tcW w:type="dxa" w:w="5112"/>
          </w:tcPr>
          <w:p>
            <w:pPr>
              <w:spacing w:after="0"/>
            </w:pPr>
            <w:r>
              <w:rPr>
                <w:rFonts w:ascii="Arial" w:hAnsi="Arial"/>
                <w:b w:val="0"/>
                <w:sz w:val="14"/>
              </w:rPr>
              <w:t>project_id</w:t>
            </w:r>
          </w:p>
        </w:tc>
        <w:tc>
          <w:tcPr>
            <w:tcW w:type="dxa" w:w="5112"/>
          </w:tcPr>
          <w:p>
            <w:pPr>
              <w:spacing w:after="0"/>
            </w:pPr>
            <w:r>
              <w:rPr>
                <w:rFonts w:ascii="Arial" w:hAnsi="Arial"/>
                <w:b w:val="0"/>
                <w:sz w:val="14"/>
              </w:rPr>
              <w:t>Project or regulated context in which the object applies</w:t>
            </w:r>
          </w:p>
        </w:tc>
      </w:tr>
      <w:tr>
        <w:tc>
          <w:tcPr>
            <w:tcW w:type="dxa" w:w="5112"/>
          </w:tcPr>
          <w:p>
            <w:pPr>
              <w:spacing w:after="0"/>
            </w:pPr>
            <w:r>
              <w:rPr>
                <w:rFonts w:ascii="Arial" w:hAnsi="Arial"/>
                <w:b w:val="0"/>
                <w:sz w:val="14"/>
              </w:rPr>
              <w:t>object_version</w:t>
            </w:r>
          </w:p>
        </w:tc>
        <w:tc>
          <w:tcPr>
            <w:tcW w:type="dxa" w:w="5112"/>
          </w:tcPr>
          <w:p>
            <w:pPr>
              <w:spacing w:after="0"/>
            </w:pPr>
            <w:r>
              <w:rPr>
                <w:rFonts w:ascii="Arial" w:hAnsi="Arial"/>
                <w:b w:val="0"/>
                <w:sz w:val="14"/>
              </w:rPr>
              <w:t>Version identifier for the object schema or instance</w:t>
            </w:r>
          </w:p>
        </w:tc>
      </w:tr>
      <w:tr>
        <w:tc>
          <w:tcPr>
            <w:tcW w:type="dxa" w:w="5112"/>
          </w:tcPr>
          <w:p>
            <w:pPr>
              <w:spacing w:after="0"/>
            </w:pPr>
            <w:r>
              <w:rPr>
                <w:rFonts w:ascii="Arial" w:hAnsi="Arial"/>
                <w:b w:val="0"/>
                <w:sz w:val="14"/>
              </w:rPr>
              <w:t>related_human_role_id</w:t>
            </w:r>
          </w:p>
        </w:tc>
        <w:tc>
          <w:tcPr>
            <w:tcW w:type="dxa" w:w="5112"/>
          </w:tcPr>
          <w:p>
            <w:pPr>
              <w:spacing w:after="0"/>
            </w:pPr>
            <w:r>
              <w:rPr>
                <w:rFonts w:ascii="Arial" w:hAnsi="Arial"/>
                <w:b w:val="0"/>
                <w:sz w:val="14"/>
              </w:rPr>
              <w:t>Human role identifier associated with the object</w:t>
            </w:r>
          </w:p>
        </w:tc>
      </w:tr>
      <w:tr>
        <w:tc>
          <w:tcPr>
            <w:tcW w:type="dxa" w:w="5112"/>
          </w:tcPr>
          <w:p>
            <w:pPr>
              <w:spacing w:after="0"/>
            </w:pPr>
            <w:r>
              <w:rPr>
                <w:rFonts w:ascii="Arial" w:hAnsi="Arial"/>
                <w:b w:val="0"/>
                <w:sz w:val="14"/>
              </w:rPr>
              <w:t>related_agent_role_id</w:t>
            </w:r>
          </w:p>
        </w:tc>
        <w:tc>
          <w:tcPr>
            <w:tcW w:type="dxa" w:w="5112"/>
          </w:tcPr>
          <w:p>
            <w:pPr>
              <w:spacing w:after="0"/>
            </w:pPr>
            <w:r>
              <w:rPr>
                <w:rFonts w:ascii="Arial" w:hAnsi="Arial"/>
                <w:b w:val="0"/>
                <w:sz w:val="14"/>
              </w:rPr>
              <w:t>Agent role identifier associated with the object, where applicable</w:t>
            </w:r>
          </w:p>
        </w:tc>
      </w:tr>
      <w:tr>
        <w:tc>
          <w:tcPr>
            <w:tcW w:type="dxa" w:w="5112"/>
          </w:tcPr>
          <w:p>
            <w:pPr>
              <w:spacing w:after="0"/>
            </w:pPr>
            <w:r>
              <w:rPr>
                <w:rFonts w:ascii="Arial" w:hAnsi="Arial"/>
                <w:b w:val="0"/>
                <w:sz w:val="14"/>
              </w:rPr>
              <w:t>authority_scope</w:t>
            </w:r>
          </w:p>
        </w:tc>
        <w:tc>
          <w:tcPr>
            <w:tcW w:type="dxa" w:w="5112"/>
          </w:tcPr>
          <w:p>
            <w:pPr>
              <w:spacing w:after="0"/>
            </w:pPr>
            <w:r>
              <w:rPr>
                <w:rFonts w:ascii="Arial" w:hAnsi="Arial"/>
                <w:b w:val="0"/>
                <w:sz w:val="14"/>
              </w:rPr>
              <w:t>Scope of authority for this object</w:t>
            </w:r>
          </w:p>
        </w:tc>
      </w:tr>
      <w:tr>
        <w:tc>
          <w:tcPr>
            <w:tcW w:type="dxa" w:w="5112"/>
          </w:tcPr>
          <w:p>
            <w:pPr>
              <w:spacing w:after="0"/>
            </w:pPr>
            <w:r>
              <w:rPr>
                <w:rFonts w:ascii="Arial" w:hAnsi="Arial"/>
                <w:b w:val="0"/>
                <w:sz w:val="14"/>
              </w:rPr>
              <w:t>risk_class</w:t>
            </w:r>
          </w:p>
        </w:tc>
        <w:tc>
          <w:tcPr>
            <w:tcW w:type="dxa" w:w="5112"/>
          </w:tcPr>
          <w:p>
            <w:pPr>
              <w:spacing w:after="0"/>
            </w:pPr>
            <w:r>
              <w:rPr>
                <w:rFonts w:ascii="Arial" w:hAnsi="Arial"/>
                <w:b w:val="0"/>
                <w:sz w:val="14"/>
              </w:rPr>
              <w:t>Risk classification for this object</w:t>
            </w:r>
          </w:p>
        </w:tc>
      </w:tr>
      <w:tr>
        <w:tc>
          <w:tcPr>
            <w:tcW w:type="dxa" w:w="5112"/>
          </w:tcPr>
          <w:p>
            <w:pPr>
              <w:spacing w:after="0"/>
            </w:pPr>
            <w:r>
              <w:rPr>
                <w:rFonts w:ascii="Arial" w:hAnsi="Arial"/>
                <w:b w:val="0"/>
                <w:sz w:val="14"/>
              </w:rPr>
              <w:t>evidence_pointer</w:t>
            </w:r>
          </w:p>
        </w:tc>
        <w:tc>
          <w:tcPr>
            <w:tcW w:type="dxa" w:w="5112"/>
          </w:tcPr>
          <w:p>
            <w:pPr>
              <w:spacing w:after="0"/>
            </w:pPr>
            <w:r>
              <w:rPr>
                <w:rFonts w:ascii="Arial" w:hAnsi="Arial"/>
                <w:b w:val="0"/>
                <w:sz w:val="14"/>
              </w:rPr>
              <w:t>Reference to evidence supporting the object's validity</w:t>
            </w:r>
          </w:p>
        </w:tc>
      </w:tr>
      <w:tr>
        <w:tc>
          <w:tcPr>
            <w:tcW w:type="dxa" w:w="5112"/>
          </w:tcPr>
          <w:p>
            <w:pPr>
              <w:spacing w:after="0"/>
            </w:pPr>
            <w:r>
              <w:rPr>
                <w:rFonts w:ascii="Arial" w:hAnsi="Arial"/>
                <w:b w:val="0"/>
                <w:sz w:val="14"/>
              </w:rPr>
              <w:t>privacy_treatment</w:t>
            </w:r>
          </w:p>
        </w:tc>
        <w:tc>
          <w:tcPr>
            <w:tcW w:type="dxa" w:w="5112"/>
          </w:tcPr>
          <w:p>
            <w:pPr>
              <w:spacing w:after="0"/>
            </w:pPr>
            <w:r>
              <w:rPr>
                <w:rFonts w:ascii="Arial" w:hAnsi="Arial"/>
                <w:b w:val="0"/>
                <w:sz w:val="14"/>
              </w:rPr>
              <w:t>Privacy treatment for this object</w:t>
            </w:r>
          </w:p>
        </w:tc>
      </w:tr>
      <w:tr>
        <w:tc>
          <w:tcPr>
            <w:tcW w:type="dxa" w:w="5112"/>
          </w:tcPr>
          <w:p>
            <w:pPr>
              <w:spacing w:after="0"/>
            </w:pPr>
            <w:r>
              <w:rPr>
                <w:rFonts w:ascii="Arial" w:hAnsi="Arial"/>
                <w:b w:val="0"/>
                <w:sz w:val="14"/>
              </w:rPr>
              <w:t>status</w:t>
            </w:r>
          </w:p>
        </w:tc>
        <w:tc>
          <w:tcPr>
            <w:tcW w:type="dxa" w:w="5112"/>
          </w:tcPr>
          <w:p>
            <w:pPr>
              <w:spacing w:after="0"/>
            </w:pPr>
            <w:r>
              <w:rPr>
                <w:rFonts w:ascii="Arial" w:hAnsi="Arial"/>
                <w:b w:val="0"/>
                <w:sz w:val="14"/>
              </w:rPr>
              <w:t>Current lifecycle status of the object (active, closed, revoked, etc.)</w:t>
            </w:r>
          </w:p>
        </w:tc>
      </w:tr>
      <w:tr>
        <w:tc>
          <w:tcPr>
            <w:tcW w:type="dxa" w:w="5112"/>
          </w:tcPr>
          <w:p>
            <w:pPr>
              <w:spacing w:after="0"/>
            </w:pPr>
            <w:r>
              <w:rPr>
                <w:rFonts w:ascii="Arial" w:hAnsi="Arial"/>
                <w:b w:val="0"/>
                <w:sz w:val="14"/>
              </w:rPr>
              <w:t>created_at</w:t>
            </w:r>
          </w:p>
        </w:tc>
        <w:tc>
          <w:tcPr>
            <w:tcW w:type="dxa" w:w="5112"/>
          </w:tcPr>
          <w:p>
            <w:pPr>
              <w:spacing w:after="0"/>
            </w:pPr>
            <w:r>
              <w:rPr>
                <w:rFonts w:ascii="Arial" w:hAnsi="Arial"/>
                <w:b w:val="0"/>
                <w:sz w:val="14"/>
              </w:rPr>
              <w:t>Timestamp when this object was created</w:t>
            </w:r>
          </w:p>
        </w:tc>
      </w:tr>
      <w:tr>
        <w:tc>
          <w:tcPr>
            <w:tcW w:type="dxa" w:w="5112"/>
          </w:tcPr>
          <w:p>
            <w:pPr>
              <w:spacing w:after="0"/>
            </w:pPr>
            <w:r>
              <w:rPr>
                <w:rFonts w:ascii="Arial" w:hAnsi="Arial"/>
                <w:b w:val="0"/>
                <w:sz w:val="14"/>
              </w:rPr>
              <w:t>updated_at</w:t>
            </w:r>
          </w:p>
        </w:tc>
        <w:tc>
          <w:tcPr>
            <w:tcW w:type="dxa" w:w="5112"/>
          </w:tcPr>
          <w:p>
            <w:pPr>
              <w:spacing w:after="0"/>
            </w:pPr>
            <w:r>
              <w:rPr>
                <w:rFonts w:ascii="Arial" w:hAnsi="Arial"/>
                <w:b w:val="0"/>
                <w:sz w:val="14"/>
              </w:rPr>
              <w:t>Timestamp when this object was last updated</w:t>
            </w:r>
          </w:p>
        </w:tc>
      </w:tr>
      <w:tr>
        <w:tc>
          <w:tcPr>
            <w:tcW w:type="dxa" w:w="5112"/>
          </w:tcPr>
          <w:p>
            <w:pPr>
              <w:spacing w:after="0"/>
            </w:pPr>
            <w:r>
              <w:rPr>
                <w:rFonts w:ascii="Arial" w:hAnsi="Arial"/>
                <w:b w:val="0"/>
                <w:sz w:val="14"/>
              </w:rPr>
              <w:t>closure_reason</w:t>
            </w:r>
          </w:p>
        </w:tc>
        <w:tc>
          <w:tcPr>
            <w:tcW w:type="dxa" w:w="5112"/>
          </w:tcPr>
          <w:p>
            <w:pPr>
              <w:spacing w:after="0"/>
            </w:pPr>
            <w:r>
              <w:rPr>
                <w:rFonts w:ascii="Arial" w:hAnsi="Arial"/>
                <w:b w:val="0"/>
                <w:sz w:val="14"/>
              </w:rPr>
              <w:t>Reason for closure, if the object is closed</w:t>
            </w:r>
          </w:p>
        </w:tc>
      </w:tr>
    </w:tbl>
    <w:p>
      <w:pPr>
        <w:spacing w:after="56"/>
      </w:pPr>
      <w:r>
        <w:t>Implementation aliases may appear in specific systems. In this paper, actor_role_id is treated as an implementation alias for related_human_role_id, and timestamp is treated as implementation shorthand for created_at / updated_at, not as separate canonical fields.</w:t>
      </w:r>
    </w:p>
    <w:p>
      <w:pPr>
        <w:spacing w:after="56"/>
      </w:pPr>
      <w:r>
        <w:t>Individual MRO object cards below therefore emphasize MRO-specific purpose, controls, failure mode, and audit question rather than repeating the full common field model.</w:t>
      </w:r>
    </w:p>
    <w:p>
      <w:pPr>
        <w:pStyle w:val="Heading2"/>
      </w:pPr>
      <w:r>
        <w:t>6.2 MRO-01 — Human Role to MAS Responsibility Mapping</w:t>
      </w:r>
    </w:p>
    <w:p>
      <w:pPr>
        <w:pStyle w:val="Heading3"/>
      </w:pPr>
      <w:r>
        <w:t>Problem</w:t>
      </w:r>
    </w:p>
    <w:p>
      <w:pPr>
        <w:spacing w:after="56"/>
      </w:pPr>
      <w:r>
        <w:t>Regulation can require oversight, but agentic execution needs a precise map from human accountable roles to agent roles, tasks, tools, evidence, and accepted outcomes.</w:t>
      </w:r>
    </w:p>
    <w:p>
      <w:pPr>
        <w:pStyle w:val="Heading3"/>
      </w:pPr>
      <w:r>
        <w:t>Required Object</w:t>
      </w:r>
    </w:p>
    <w:p>
      <w:pPr>
        <w:spacing w:after="56"/>
      </w:pPr>
      <w:r>
        <w:t>A role-responsibility map binding human role IDs, agent role IDs, permitted delegated scopes, reserved human decisions, review duties, and evidence obligations.</w:t>
      </w:r>
    </w:p>
    <w:p>
      <w:pPr>
        <w:pStyle w:val="Heading3"/>
      </w:pPr>
      <w:r>
        <w:t>Judgment</w:t>
      </w:r>
    </w:p>
    <w:p>
      <w:pPr>
        <w:spacing w:after="56"/>
      </w:pPr>
      <w:r>
        <w:t>Human oversight without human-to-agent responsibility mapping is supervision theater.</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human role to MAS responsibility mapping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human role to MAS responsibility mapping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human role to MAS responsibility mapping was properly established and preserved for the relevant lifecycle phase?</w:t>
            </w:r>
          </w:p>
        </w:tc>
      </w:tr>
    </w:tbl>
    <w:p>
      <w:pPr>
        <w:spacing w:after="56"/>
      </w:pPr>
      <w:r>
        <w:t>Table T-06-02: MRO-01 Object Card — Human Role to MAS Responsibility Mapping</w:t>
      </w:r>
    </w:p>
    <w:p>
      <w:pPr>
        <w:pStyle w:val="Heading3"/>
      </w:pPr>
      <w:r>
        <w:t>Detailed Discussion</w:t>
      </w:r>
    </w:p>
    <w:p>
      <w:pPr>
        <w:spacing w:after="56"/>
      </w:pPr>
      <w:r>
        <w:t>This object is the bridge between human organizational accountability and machine execution. In a MAS, a product owner, reviewer, compliance officer, operator, or customer-success lead may each retain different decision rights even when agents perform the underlying work. The mapping must therefore distinguish who owns intent, who approves risk, who reviews evidence, and who accepts the final outcome.</w:t>
      </w:r>
    </w:p>
    <w:p>
      <w:pPr>
        <w:spacing w:after="56"/>
      </w:pPr>
      <w:r>
        <w:t>The core question for MRO-01 is whether a system can identify the accountable human role for each agentic lifecycle state, not merely whether a user account or approval button exists. Strong mapping requires a durable relationship among human role, agent role, delegated scope, evidence obligation, review duty, and accepted outcome authority.</w:t>
      </w:r>
    </w:p>
    <w:p>
      <w:pPr>
        <w:spacing w:after="56"/>
      </w:pPr>
      <w:r>
        <w:t>The difficulty is that a human may own business acceptance while an agent owns evidence collection, and another agent owns execution. A governance object must preserve those differences instead of flattening them into a single owner field.</w:t>
      </w:r>
    </w:p>
    <w:p>
      <w:pPr>
        <w:pStyle w:val="Heading3"/>
      </w:pPr>
      <w:r>
        <w:t>Enterprise Implication</w:t>
      </w:r>
    </w:p>
    <w:p>
      <w:pPr>
        <w:spacing w:after="56"/>
      </w:pPr>
      <w:r>
        <w:t>Without this map, a company can show that a human was somewhere in the loop but cannot prove that the right human held the right responsibility at the right lifecycle point. This weakens internal audit, customer assurance, and board-level accountability because role labels become narrative claims rather than evidence-backed assignments.</w:t>
      </w:r>
    </w:p>
    <w:p>
      <w:pPr>
        <w:spacing w:after="56"/>
      </w:pPr>
      <w:r>
        <w:t>Adjacent identity, approval, or workflow controls may support this object, but lifecycle conformance requires explicit object semantics that preserve responsibility mapping across multi-agent delegation, cross-project reuse, and external validation. The implementation test is to select a completed run and ask: who owned intent, who approved risk, who executed each step, who reviewed evidence, and who accepted the outcome? If the answer requires tribal memory, the mapping is not audit-grade.</w:t>
      </w:r>
    </w:p>
    <w:p>
      <w:pPr>
        <w:pStyle w:val="Heading3"/>
      </w:pPr>
      <w:r>
        <w:t>Design Implication</w:t>
      </w:r>
    </w:p>
    <w:p>
      <w:pPr>
        <w:spacing w:after="56"/>
      </w:pPr>
      <w:r>
        <w:t>The object should be represented as a role-responsibility graph linking human role IDs, agent role IDs, delegated scopes, reserved decisions, review duties, evidence obligations, and accepted-outcome authority. It must be updated when responsibilities move across teams or projects.</w:t>
      </w:r>
    </w:p>
    <w:p>
      <w:pPr>
        <w:spacing w:after="56"/>
      </w:pPr>
      <w:r>
        <w:t>The design should separate persona labels from capability boundaries, evidence duties, and human accountability so that collaboration structure does not substitute for responsibility semantics.</w:t>
      </w:r>
    </w:p>
    <w:p>
      <w:pPr>
        <w:pStyle w:val="Heading3"/>
      </w:pPr>
      <w:r>
        <w:t>Audit Question</w:t>
      </w:r>
    </w:p>
    <w:p>
      <w:pPr>
        <w:spacing w:after="56"/>
      </w:pPr>
      <w:r>
        <w:t>For any completed agentic workflow, can the system reconstruct which human role held which responsibility at each lifecycle phase, backed by evidence pointers and acceptance records?</w:t>
      </w:r>
    </w:p>
    <w:p>
      <w:pPr>
        <w:pStyle w:val="Heading2"/>
      </w:pPr>
      <w:r>
        <w:t>6.3 MRO-02 — Delegated Authority Boundary</w:t>
      </w:r>
    </w:p>
    <w:p>
      <w:pPr>
        <w:pStyle w:val="Heading3"/>
      </w:pPr>
      <w:r>
        <w:t>Problem</w:t>
      </w:r>
    </w:p>
    <w:p>
      <w:pPr>
        <w:spacing w:after="56"/>
      </w:pPr>
      <w:r>
        <w:t>API access and tool permission do not prove that a particular business action was authorized under the correct scope, condition, risk level, and escalation path.</w:t>
      </w:r>
    </w:p>
    <w:p>
      <w:pPr>
        <w:pStyle w:val="Heading3"/>
      </w:pPr>
      <w:r>
        <w:t>Required Object</w:t>
      </w:r>
    </w:p>
    <w:p>
      <w:pPr>
        <w:spacing w:after="56"/>
      </w:pPr>
      <w:r>
        <w:t>A delegated-authority object binding role, action, scope, condition, risk class, evidence requirement, expiry, revocation, and escalation path.</w:t>
      </w:r>
    </w:p>
    <w:p>
      <w:pPr>
        <w:pStyle w:val="Heading3"/>
      </w:pPr>
      <w:r>
        <w:t>Judgment</w:t>
      </w:r>
    </w:p>
    <w:p>
      <w:pPr>
        <w:spacing w:after="56"/>
      </w:pPr>
      <w:r>
        <w:t>IAM permission decides access. Delegated authority decides responsibility.</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delegated authority boundary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delegated authority boundary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delegated authority boundary was properly established and preserved for the relevant lifecycle phase?</w:t>
            </w:r>
          </w:p>
        </w:tc>
      </w:tr>
    </w:tbl>
    <w:p>
      <w:pPr>
        <w:spacing w:after="56"/>
      </w:pPr>
      <w:r>
        <w:t>Table T-06-03: MRO-02 Object Card — Delegated Authority Boundary</w:t>
      </w:r>
    </w:p>
    <w:p>
      <w:pPr>
        <w:pStyle w:val="Heading3"/>
      </w:pPr>
      <w:r>
        <w:t>Detailed Discussion</w:t>
      </w:r>
    </w:p>
    <w:p>
      <w:pPr>
        <w:spacing w:after="56"/>
      </w:pPr>
      <w:r>
        <w:t>Delegated authority is narrower than access control. A model or agent may technically possess a credential while lacking business authority to use it for a particular action. The compliance object must describe not only who can call a tool, but why that call is authorized under a specific intent, plan, risk class, condition, and time window.</w:t>
      </w:r>
    </w:p>
    <w:p>
      <w:pPr>
        <w:spacing w:after="56"/>
      </w:pPr>
      <w:r>
        <w:t>The core question for MRO-02 is whether a system distinguishes technical permission from business authority. Strong support requires action-level delegation tied to scope, condition, risk class, expiry, escalation, and evidence. The same tool call can be harmless in one context and impermissible in another. Authority must therefore be evaluated against intent and plan state, not only against static credentials.</w:t>
      </w:r>
    </w:p>
    <w:p>
      <w:pPr>
        <w:pStyle w:val="Heading3"/>
      </w:pPr>
      <w:r>
        <w:t>Enterprise Implication</w:t>
      </w:r>
    </w:p>
    <w:p>
      <w:pPr>
        <w:spacing w:after="56"/>
      </w:pPr>
      <w:r>
        <w:t>If authority is reduced to IAM, API keys, or tool availability, a low-risk task can silently become a high-impact act. The organization may later discover that the system had permission to act but no evidence that the action was approved under the relevant business scope.</w:t>
      </w:r>
    </w:p>
    <w:p>
      <w:pPr>
        <w:spacing w:after="56"/>
      </w:pPr>
      <w:r>
        <w:t>Adjacent controls such as IAM, guardrails, and workflow approvals may support this object, but lifecycle conformance requires explicit object semantics that bind a specific action to delegated authority, escalation rules, and evidence.</w:t>
      </w:r>
    </w:p>
    <w:p>
      <w:pPr>
        <w:pStyle w:val="Heading3"/>
      </w:pPr>
      <w:r>
        <w:t>Design Implication</w:t>
      </w:r>
    </w:p>
    <w:p>
      <w:pPr>
        <w:spacing w:after="56"/>
      </w:pPr>
      <w:r>
        <w:t>The boundary should be checked before high-impact tool calls and should include action class, permitted scope, expiration, revocation, escalation path, evidence pointer, and human override requirements. It should fail closed when authority cannot be reconstructed.</w:t>
      </w:r>
    </w:p>
    <w:p>
      <w:pPr>
        <w:spacing w:after="56"/>
      </w:pPr>
      <w:r>
        <w:t>Adjacent platform capabilities can support lifecycle governance, but they do not automatically define accepted outcome, human-role-to-MAS mapping, or cross-project responsibility continuity.</w:t>
      </w:r>
    </w:p>
    <w:p>
      <w:pPr>
        <w:pStyle w:val="Heading3"/>
      </w:pPr>
      <w:r>
        <w:t>Audit Question</w:t>
      </w:r>
    </w:p>
    <w:p>
      <w:pPr>
        <w:spacing w:after="56"/>
      </w:pPr>
      <w:r>
        <w:t>Before a high-impact tool call, can the system show the exact authority basis and escalation rule for that action? If not, permission is being mistaken for authority.</w:t>
      </w:r>
    </w:p>
    <w:p>
      <w:pPr>
        <w:pStyle w:val="Heading2"/>
      </w:pPr>
      <w:r>
        <w:t>6.4 MRO-03 — Agent Role is not Human Role</w:t>
      </w:r>
    </w:p>
    <w:p>
      <w:pPr>
        <w:pStyle w:val="Heading3"/>
      </w:pPr>
      <w:r>
        <w:t>Problem</w:t>
      </w:r>
    </w:p>
    <w:p>
      <w:pPr>
        <w:spacing w:after="56"/>
      </w:pPr>
      <w:r>
        <w:t>Agent names such as researcher, writer, reviewer, or manager are useful UI metaphors but are not adequate compliance identities.</w:t>
      </w:r>
    </w:p>
    <w:p>
      <w:pPr>
        <w:pStyle w:val="Heading3"/>
      </w:pPr>
      <w:r>
        <w:t>Required Object</w:t>
      </w:r>
    </w:p>
    <w:p>
      <w:pPr>
        <w:spacing w:after="56"/>
      </w:pPr>
      <w:r>
        <w:t>An agent responsibility boundary declaring duties, non-duties, allowed tools, inherited constraints, verification expectations, and human accountability linkage.</w:t>
      </w:r>
    </w:p>
    <w:p>
      <w:pPr>
        <w:pStyle w:val="Heading3"/>
      </w:pPr>
      <w:r>
        <w:t>Judgment</w:t>
      </w:r>
    </w:p>
    <w:p>
      <w:pPr>
        <w:spacing w:after="56"/>
      </w:pPr>
      <w:r>
        <w:t>An agent role is a bounded responsibility surface, not a human job title.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agent role boundaries explicit, inspectable, and replayable within an agentic lifecycle, separating persona labels from responsibility semantics.</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agent role responsibility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agent role boundaries were properly established and preserved for the relevant lifecycle phase?</w:t>
            </w:r>
          </w:p>
        </w:tc>
      </w:tr>
    </w:tbl>
    <w:p>
      <w:pPr>
        <w:spacing w:after="56"/>
      </w:pPr>
      <w:r>
        <w:t>Table T-06-04: MRO-03 Object Card — Agent Role is not Human Role</w:t>
      </w:r>
    </w:p>
    <w:p>
      <w:pPr>
        <w:pStyle w:val="Heading3"/>
      </w:pPr>
      <w:r>
        <w:t>Detailed Discussion</w:t>
      </w:r>
    </w:p>
    <w:p>
      <w:pPr>
        <w:spacing w:after="56"/>
      </w:pPr>
      <w:r>
        <w:t>Agent labels such as researcher, writer, analyst, or reviewer are useful interface metaphors, but they do not automatically carry legal, organizational, or professional responsibility. A compliance-grade role must define bounded capabilities, evidence obligations, escalation duties, and non-delegable human responsibilities.</w:t>
      </w:r>
    </w:p>
    <w:p>
      <w:pPr>
        <w:spacing w:after="56"/>
      </w:pPr>
      <w:r>
        <w:t>The core question for MRO-03 is whether agent roles are governance identities or only execution personas. Strong support requires separating persona labels from capability boundaries, evidence duties, and human accountability. Human-like role labels are persuasive in UI and documentation, but they can obscure the fact that legal and business accountability remains with humans and organizations.</w:t>
      </w:r>
    </w:p>
    <w:p>
      <w:pPr>
        <w:pStyle w:val="Heading3"/>
      </w:pPr>
      <w:r>
        <w:t>Enterprise Implication</w:t>
      </w:r>
    </w:p>
    <w:p>
      <w:pPr>
        <w:spacing w:after="56"/>
      </w:pPr>
      <w:r>
        <w:t>Treating an agent persona as a human job role creates false accountability. The company may believe that a reviewer agent has performed review while no accountable human or approved review boundary exists.</w:t>
      </w:r>
    </w:p>
    <w:p>
      <w:pPr>
        <w:spacing w:after="56"/>
      </w:pPr>
      <w:r>
        <w:t>Adjacent controls may support this object, but lifecycle conformance requires explicit object semantics for responsibility, evidence, escalation duties, and human accountability linkage.</w:t>
      </w:r>
    </w:p>
    <w:p>
      <w:pPr>
        <w:pStyle w:val="Heading3"/>
      </w:pPr>
      <w:r>
        <w:t>Design Implication</w:t>
      </w:r>
    </w:p>
    <w:p>
      <w:pPr>
        <w:spacing w:after="56"/>
      </w:pPr>
      <w:r>
        <w:t>Separate UX persona, runtime capability, and governance role. The role object should identify what the agent can do, what it must prove, what it must escalate, and which human role remains accountable for acceptance or rejection.</w:t>
      </w:r>
    </w:p>
    <w:p>
      <w:pPr>
        <w:spacing w:after="56"/>
      </w:pPr>
      <w:r>
        <w:t>The implementation test is to replace the agent name with a neutral identifier. If the governance meaning disappears, the system is relying on persona language rather than responsibility structure.</w:t>
      </w:r>
    </w:p>
    <w:p>
      <w:pPr>
        <w:pStyle w:val="Heading3"/>
      </w:pPr>
      <w:r>
        <w:t>Audit Question</w:t>
      </w:r>
    </w:p>
    <w:p>
      <w:pPr>
        <w:spacing w:after="56"/>
      </w:pPr>
      <w:r>
        <w:t>If the agent name is replaced with a neutral identifier, does the governance meaning remain intact, or was the system relying on persona language rather than responsibility structure?</w:t>
      </w:r>
    </w:p>
    <w:p>
      <w:pPr>
        <w:pStyle w:val="Heading2"/>
      </w:pPr>
      <w:r>
        <w:t>6.5 MRO-04 — Accepted Outcome Compliance</w:t>
      </w:r>
    </w:p>
    <w:p>
      <w:pPr>
        <w:pStyle w:val="Heading3"/>
      </w:pPr>
      <w:r>
        <w:t>Problem</w:t>
      </w:r>
    </w:p>
    <w:p>
      <w:pPr>
        <w:spacing w:after="56"/>
      </w:pPr>
      <w:r>
        <w:t>A model output or orchestrator completion event does not become enterprise work until the right role has reviewed, accepted, or rejected it under evidence.</w:t>
      </w:r>
    </w:p>
    <w:p>
      <w:pPr>
        <w:pStyle w:val="Heading3"/>
      </w:pPr>
      <w:r>
        <w:t>Required Object</w:t>
      </w:r>
    </w:p>
    <w:p>
      <w:pPr>
        <w:spacing w:after="56"/>
      </w:pPr>
      <w:r>
        <w:t>An accepted_outcome state linking source intent, plan, trace, reviewer, acceptance status, dispute window, remediation route, and evidence pointers.</w:t>
      </w:r>
    </w:p>
    <w:p>
      <w:pPr>
        <w:pStyle w:val="Heading3"/>
      </w:pPr>
      <w:r>
        <w:t>Judgment</w:t>
      </w:r>
    </w:p>
    <w:p>
      <w:pPr>
        <w:spacing w:after="56"/>
      </w:pPr>
      <w:r>
        <w:t>Output is a system event. Accepted outcome is a governance state.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accepted outcome compliance explicit, inspectable, and replayable within an agentic lifecycle, separating execution completion from governance acceptance.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accepted outcome compliance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accepted outcome compliance was properly established and preserved for the relevant lifecycle phase?</w:t>
            </w:r>
          </w:p>
        </w:tc>
      </w:tr>
    </w:tbl>
    <w:p>
      <w:pPr>
        <w:spacing w:after="56"/>
      </w:pPr>
      <w:r>
        <w:t>Table T-06-05: MRO-04 Object Card — Accepted Outcome Compliance</w:t>
      </w:r>
    </w:p>
    <w:p>
      <w:pPr>
        <w:pStyle w:val="Heading3"/>
      </w:pPr>
      <w:r>
        <w:t>Detailed Discussion</w:t>
      </w:r>
    </w:p>
    <w:p>
      <w:pPr>
        <w:spacing w:after="56"/>
      </w:pPr>
      <w:r>
        <w:t>Agentic systems often mark work as complete when execution reaches a terminal state. Compliance requires a stronger state: the output must be reviewed against intent, evidence, risk, and acceptance criteria before it becomes an accepted outcome.</w:t>
      </w:r>
    </w:p>
    <w:p>
      <w:pPr>
        <w:spacing w:after="56"/>
      </w:pPr>
      <w:r>
        <w:t>The core question for MRO-04 is whether output completion is separated from outcome acceptance. Strong support requires acceptance criteria, reviewer identity, evidence linkage, and dispute/remediation state. Execution engines naturally optimize for terminal states, while governance requires a second state transition from completed output to accepted outcome.</w:t>
      </w:r>
    </w:p>
    <w:p>
      <w:pPr>
        <w:pStyle w:val="Heading3"/>
      </w:pPr>
      <w:r>
        <w:t>Enterprise Implication</w:t>
      </w:r>
    </w:p>
    <w:p>
      <w:pPr>
        <w:spacing w:after="56"/>
      </w:pPr>
      <w:r>
        <w:t>Without accepted-outcome semantics, completed tasks may enter business processes without accountable review. This creates disputes when customers, regulators, or internal stakeholders ask who accepted the work and on what evidence.</w:t>
      </w:r>
    </w:p>
    <w:p>
      <w:pPr>
        <w:spacing w:after="56"/>
      </w:pPr>
      <w:r>
        <w:t>Adjacent execution controls may complete work reliably, but lifecycle conformance requires explicit object semantics for accepted delivery rather than executed task closure. In a dispute, the enterprise must be able to distinguish execution quality, review failure, and missing acceptance policy.</w:t>
      </w:r>
    </w:p>
    <w:p>
      <w:pPr>
        <w:pStyle w:val="Heading3"/>
      </w:pPr>
      <w:r>
        <w:t>Design Implication</w:t>
      </w:r>
    </w:p>
    <w:p>
      <w:pPr>
        <w:spacing w:after="56"/>
      </w:pPr>
      <w:r>
        <w:t>The accepted_outcome object should bind deliverable ID, plan version, trace reference, reviewer role, acceptance criteria, acceptance decision, dispute window, and remediation path. Completion and acceptance should remain separate states.</w:t>
      </w:r>
    </w:p>
    <w:p>
      <w:pPr>
        <w:spacing w:after="56"/>
      </w:pPr>
      <w:r>
        <w:t>The implementation test is to identify a completed task and ask: who accepted it, against what criteria, with what evidence, and what is the dispute window? If the answer is that completion equals acceptance, the system has collapsed execution into governance.</w:t>
      </w:r>
    </w:p>
    <w:p>
      <w:pPr>
        <w:pStyle w:val="Heading3"/>
      </w:pPr>
      <w:r>
        <w:t>Audit Question</w:t>
      </w:r>
    </w:p>
    <w:p>
      <w:pPr>
        <w:spacing w:after="56"/>
      </w:pPr>
      <w:r>
        <w:t>For any completed task, can the system identify the acceptance criteria, evidence reviewed, reviewer role, decision timestamp, and dispute window?</w:t>
      </w:r>
    </w:p>
    <w:p>
      <w:pPr>
        <w:pStyle w:val="Heading2"/>
      </w:pPr>
      <w:r>
        <w:t>6.6 MRO-05 — Tool-Action Liability Boundary</w:t>
      </w:r>
    </w:p>
    <w:p>
      <w:pPr>
        <w:pStyle w:val="Heading3"/>
      </w:pPr>
      <w:r>
        <w:t>Problem</w:t>
      </w:r>
    </w:p>
    <w:p>
      <w:pPr>
        <w:spacing w:after="56"/>
      </w:pPr>
      <w:r>
        <w:t>Agentic AI becomes operationally consequential when it sends, modifies, deploys, purchases, transfers, deletes, or triggers external actions.</w:t>
      </w:r>
    </w:p>
    <w:p>
      <w:pPr>
        <w:pStyle w:val="Heading3"/>
      </w:pPr>
      <w:r>
        <w:t>Required Object</w:t>
      </w:r>
    </w:p>
    <w:p>
      <w:pPr>
        <w:spacing w:after="56"/>
      </w:pPr>
      <w:r>
        <w:t>A tool-action liability object recording initiator, tool identity, external system, authority credential, reversibility, rollback plan, affected data, and owner.</w:t>
      </w:r>
    </w:p>
    <w:p>
      <w:pPr>
        <w:pStyle w:val="Heading3"/>
      </w:pPr>
      <w:r>
        <w:t>Judgment</w:t>
      </w:r>
    </w:p>
    <w:p>
      <w:pPr>
        <w:spacing w:after="56"/>
      </w:pPr>
      <w:r>
        <w:t>Tool use is where AI output becomes external consequence.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tool-action liability boundary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tool-action liability boundary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tool-action liability boundary was properly established and preserved for the relevant lifecycle phase?</w:t>
            </w:r>
          </w:p>
        </w:tc>
      </w:tr>
    </w:tbl>
    <w:p>
      <w:pPr>
        <w:spacing w:after="56"/>
      </w:pPr>
      <w:r>
        <w:t>Table T-06-06: MRO-05 Object Card — Tool-Action Liability Boundary</w:t>
      </w:r>
    </w:p>
    <w:p>
      <w:pPr>
        <w:pStyle w:val="Heading3"/>
      </w:pPr>
      <w:r>
        <w:t>Detailed Discussion</w:t>
      </w:r>
    </w:p>
    <w:p>
      <w:pPr>
        <w:spacing w:after="56"/>
      </w:pPr>
      <w:r>
        <w:t>Tool use is the moment where AI output becomes external consequence. Sending email, changing records, deploying code, querying regulated data, or triggering payment workflows each carries different liability and reversibility properties.</w:t>
      </w:r>
    </w:p>
    <w:p>
      <w:pPr>
        <w:spacing w:after="56"/>
      </w:pPr>
      <w:r>
        <w:t>A tool call is not only an execution event. It is the point where AI output can affect external systems, records, customers, code, money, permissions, communications, or regulated data. The governance object must bind action, affected system, authority source, reversibility, rollback path, data sensitivity, evidence pointer, and accountable owner.</w:t>
      </w:r>
    </w:p>
    <w:p>
      <w:pPr>
        <w:spacing w:after="56"/>
      </w:pPr>
      <w:r>
        <w:t>The core question for MRO-05 is whether the system can reconstruct the liability boundary for each consequential tool action. Strong support requires recording initiator, tool identity, external system, authority credential, reversibility status, rollback plan, affected data categories, and accountable owner. The same tool may be low-risk in one context and high-impact in another.</w:t>
      </w:r>
    </w:p>
    <w:p>
      <w:pPr>
        <w:spacing w:after="56"/>
      </w:pPr>
      <w:r>
        <w:t>The difficulty is that a tool log alone may show that an action happened, but not whether the agent had authority, whether the action was reversible, which system was affected, or who owns the resulting consequence.</w:t>
      </w:r>
    </w:p>
    <w:p>
      <w:pPr>
        <w:pStyle w:val="Heading3"/>
      </w:pPr>
      <w:r>
        <w:t>Enterprise Implication</w:t>
      </w:r>
    </w:p>
    <w:p>
      <w:pPr>
        <w:spacing w:after="56"/>
      </w:pPr>
      <w:r>
        <w:t>Without liability boundaries, enterprises face disputes when external actions cause customer impact, regulatory violations, or financial loss. The organization cannot prove who authorized the action, whether it was within delegated scope, or whether rollback procedures were available.</w:t>
      </w:r>
    </w:p>
    <w:p>
      <w:pPr>
        <w:spacing w:after="56"/>
      </w:pPr>
      <w:r>
        <w:t>Adjacent controls such as IAM and API permissions may support this object, but lifecycle conformance requires explicit object semantics that bind the specific tool action to authority, reversibility, affected systems, and accountable ownership.</w:t>
      </w:r>
    </w:p>
    <w:p>
      <w:pPr>
        <w:pStyle w:val="Heading3"/>
      </w:pPr>
      <w:r>
        <w:t>Design Implication</w:t>
      </w:r>
    </w:p>
    <w:p>
      <w:pPr>
        <w:spacing w:after="56"/>
      </w:pPr>
      <w:r>
        <w:t>Every consequential tool action should produce a liability boundary record: initiator, authority source, target system, action type, reversibility, rollback path, data sensitivity, evidence pointer, and accountable owner.</w:t>
      </w:r>
    </w:p>
    <w:p>
      <w:pPr>
        <w:spacing w:after="56"/>
      </w:pPr>
      <w:r>
        <w:t>The implementation test is to select a high-impact tool action and ask: who initiated it, under what authority, affecting which system, with what reversibility, and who owns the consequence? If the answer requires tribal memory or manual investigation, the liability boundary is not audit-grade.</w:t>
      </w:r>
    </w:p>
    <w:p>
      <w:pPr>
        <w:pStyle w:val="Heading3"/>
      </w:pPr>
      <w:r>
        <w:t>Audit Question</w:t>
      </w:r>
    </w:p>
    <w:p>
      <w:pPr>
        <w:spacing w:after="56"/>
      </w:pPr>
      <w:r>
        <w:t>For any consequential tool action, can the system reconstruct the initiator, authority source, affected system, reversibility status, rollback path, and accountable owner?</w:t>
      </w:r>
    </w:p>
    <w:p>
      <w:pPr>
        <w:pStyle w:val="Heading2"/>
      </w:pPr>
      <w:r>
        <w:t>6.7 MRO-06 — Responsibility Transfer Across Agents</w:t>
      </w:r>
    </w:p>
    <w:p>
      <w:pPr>
        <w:pStyle w:val="Heading3"/>
      </w:pPr>
      <w:r>
        <w:t>Problem</w:t>
      </w:r>
    </w:p>
    <w:p>
      <w:pPr>
        <w:spacing w:after="56"/>
      </w:pPr>
      <w:r>
        <w:t>Handoff in a workflow engine does not automatically transfer responsibility, inherited constraints, retained obligations, or evidence duties.</w:t>
      </w:r>
    </w:p>
    <w:p>
      <w:pPr>
        <w:pStyle w:val="Heading3"/>
      </w:pPr>
      <w:r>
        <w:t>Required Object</w:t>
      </w:r>
    </w:p>
    <w:p>
      <w:pPr>
        <w:spacing w:after="56"/>
      </w:pPr>
      <w:r>
        <w:t>A transfer object declaring transferred scope, source role, receiving role, retained responsibilities, inherited constraints, and receiving-role acceptance.</w:t>
      </w:r>
    </w:p>
    <w:p>
      <w:pPr>
        <w:pStyle w:val="Heading3"/>
      </w:pPr>
      <w:r>
        <w:t>Judgment</w:t>
      </w:r>
    </w:p>
    <w:p>
      <w:pPr>
        <w:spacing w:after="56"/>
      </w:pPr>
      <w:r>
        <w:t>Handoff without explicit responsibility transfer is just routing.</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responsibility transfer across agents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responsibility transfer across agents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responsibility transfer across agents was properly established and preserved for the relevant lifecycle phase?</w:t>
            </w:r>
          </w:p>
        </w:tc>
      </w:tr>
    </w:tbl>
    <w:p>
      <w:pPr>
        <w:spacing w:after="56"/>
      </w:pPr>
      <w:r>
        <w:t>Table T-06-07: MRO-06 Object Card — Responsibility Transfer Across Agents</w:t>
      </w:r>
    </w:p>
    <w:p>
      <w:pPr>
        <w:pStyle w:val="Heading3"/>
      </w:pPr>
      <w:r>
        <w:t>Detailed Discussion</w:t>
      </w:r>
    </w:p>
    <w:p>
      <w:pPr>
        <w:spacing w:after="56"/>
      </w:pPr>
      <w:r>
        <w:t>Handoff is an execution event; responsibility transfer is a governance event. When one agent delegates to another, the receiving agent must inherit constraints, evidence duties, privacy restrictions, and escalation conditions rather than merely receiving a prompt or task payload.</w:t>
      </w:r>
    </w:p>
    <w:p>
      <w:pPr>
        <w:spacing w:after="56"/>
      </w:pPr>
      <w:r>
        <w:t>The core question for MRO-06 is whether the system distinguishes workflow routing from responsibility transfer. Strong support requires explicit transfer records declaring transferred scope, retained scope, inherited constraints, evidence obligations, receiving-role acceptance, and rejection/escalation behavior.</w:t>
      </w:r>
    </w:p>
    <w:p>
      <w:pPr>
        <w:spacing w:after="56"/>
      </w:pPr>
      <w:r>
        <w:t>The difficulty is that workflow engines naturally optimize for task routing, while governance requires explicit responsibility semantics. A downstream agent can claim it only followed instructions while the upstream agent no longer controls execution, leaving a gap in audit and remediation.</w:t>
      </w:r>
    </w:p>
    <w:p>
      <w:pPr>
        <w:pStyle w:val="Heading3"/>
      </w:pPr>
      <w:r>
        <w:t>Enterprise Implication</w:t>
      </w:r>
    </w:p>
    <w:p>
      <w:pPr>
        <w:spacing w:after="56"/>
      </w:pPr>
      <w:r>
        <w:t>Without explicit transfer semantics, multi-agent workflows create accountability gaps. When disputes arise, the organization cannot prove which agent held which responsibility at which lifecycle point. This weakens internal audit, customer assurance, and regulatory defense.</w:t>
      </w:r>
    </w:p>
    <w:p>
      <w:pPr>
        <w:spacing w:after="56"/>
      </w:pPr>
      <w:r>
        <w:t>Adjacent orchestration controls may support this object, but lifecycle conformance requires explicit object semantics for transferred responsibility, retained responsibility, inherited constraints, evidence duties, and escalation.</w:t>
      </w:r>
    </w:p>
    <w:p>
      <w:pPr>
        <w:pStyle w:val="Heading3"/>
      </w:pPr>
      <w:r>
        <w:t>Design Implication</w:t>
      </w:r>
    </w:p>
    <w:p>
      <w:pPr>
        <w:spacing w:after="56"/>
      </w:pPr>
      <w:r>
        <w:t>Responsibility transfer should be explicit: transferred scope, retained scope, inherited constraints, evidence obligations, receiving-role acceptance, and rejection/escalation behavior must be recorded.</w:t>
      </w:r>
    </w:p>
    <w:p>
      <w:pPr>
        <w:spacing w:after="56"/>
      </w:pPr>
      <w:r>
        <w:t>The implementation test is to select a multi-agent workflow and ask: at each handoff, what responsibility was transferred, what was retained, what constraints were inherited, and did the receiving agent accept? If the answer is that handoff equals transfer, the system has collapsed execution into governance.</w:t>
      </w:r>
    </w:p>
    <w:p>
      <w:pPr>
        <w:pStyle w:val="Heading3"/>
      </w:pPr>
      <w:r>
        <w:t>Audit Question</w:t>
      </w:r>
    </w:p>
    <w:p>
      <w:pPr>
        <w:spacing w:after="56"/>
      </w:pPr>
      <w:r>
        <w:t>For any multi-agent workflow, can the system reconstruct which agent held which responsibility at each handoff, including transferred scope, retained scope, and inherited constraints?</w:t>
      </w:r>
    </w:p>
    <w:p>
      <w:pPr>
        <w:pStyle w:val="Heading2"/>
      </w:pPr>
      <w:r>
        <w:t>6.8 MRO-07 — Authority Drift</w:t>
      </w:r>
    </w:p>
    <w:p>
      <w:pPr>
        <w:pStyle w:val="Heading3"/>
      </w:pPr>
      <w:r>
        <w:t>Problem</w:t>
      </w:r>
    </w:p>
    <w:p>
      <w:pPr>
        <w:spacing w:after="56"/>
      </w:pPr>
      <w:r>
        <w:t>Agents can drift from advising to executing, drafting to sending, reading to modifying, or summarizing to committing changes.</w:t>
      </w:r>
    </w:p>
    <w:p>
      <w:pPr>
        <w:pStyle w:val="Heading3"/>
      </w:pPr>
      <w:r>
        <w:t>Required Object</w:t>
      </w:r>
    </w:p>
    <w:p>
      <w:pPr>
        <w:spacing w:after="56"/>
      </w:pPr>
      <w:r>
        <w:t>A drift event model comparing observed behavior against original delegated authority, risk class, tool scope, and required confirmation boundary.</w:t>
      </w:r>
    </w:p>
    <w:p>
      <w:pPr>
        <w:pStyle w:val="Heading3"/>
      </w:pPr>
      <w:r>
        <w:t>Judgment</w:t>
      </w:r>
    </w:p>
    <w:p>
      <w:pPr>
        <w:spacing w:after="56"/>
      </w:pPr>
      <w:r>
        <w:t>The most dangerous agent failures are often unauthorized authority transitions.</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authority drift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authority drift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authority drift was properly established and preserved for the relevant lifecycle phase?</w:t>
            </w:r>
          </w:p>
        </w:tc>
      </w:tr>
    </w:tbl>
    <w:p>
      <w:pPr>
        <w:spacing w:after="56"/>
      </w:pPr>
      <w:r>
        <w:t>Table T-06-08: MRO-07 Object Card — Authority Drift</w:t>
      </w:r>
    </w:p>
    <w:p>
      <w:pPr>
        <w:pStyle w:val="Heading3"/>
      </w:pPr>
      <w:r>
        <w:t>Detailed Discussion</w:t>
      </w:r>
    </w:p>
    <w:p>
      <w:pPr>
        <w:spacing w:after="56"/>
      </w:pPr>
      <w:r>
        <w:t>Authority drift occurs when an agent gradually moves from advice to execution, from draft to send, from read-only to write, or from internal recommendation to external commitment. It is often a transition problem rather than a single bad output.</w:t>
      </w:r>
    </w:p>
    <w:p>
      <w:pPr>
        <w:spacing w:after="56"/>
      </w:pPr>
      <w:r>
        <w:t>The core question for MRO-07 is whether the system monitors for unauthorized authority transitions. Strong support requires comparing observed behavior against original authority boundaries and plan state. Unauthorized transitions should trigger stop, downgrade, or human confirmation rather than being treated as ordinary execution variance.</w:t>
      </w:r>
    </w:p>
    <w:p>
      <w:pPr>
        <w:spacing w:after="56"/>
      </w:pPr>
      <w:r>
        <w:t>The difficulty is that drift is dangerous because each local step may appear reasonable while the cumulative lifecycle state exceeds the original delegation. This is especially acute in long-running workflows, autonomous retries, or agent loops.</w:t>
      </w:r>
    </w:p>
    <w:p>
      <w:pPr>
        <w:pStyle w:val="Heading3"/>
      </w:pPr>
      <w:r>
        <w:t>Enterprise Implication</w:t>
      </w:r>
    </w:p>
    <w:p>
      <w:pPr>
        <w:spacing w:after="56"/>
      </w:pPr>
      <w:r>
        <w:t>Without drift detection, agents can silently escalate from low-risk to high-impact actions. The organization may discover the problem only after customer impact, regulatory violation, or financial loss. Drift detection is a lifecycle monitoring requirement, not merely a model safety feature.</w:t>
      </w:r>
    </w:p>
    <w:p>
      <w:pPr>
        <w:spacing w:after="56"/>
      </w:pPr>
      <w:r>
        <w:t>Adjacent guardrails and content filters may support this object, but lifecycle conformance requires explicit object semantics that monitor authority boundaries across the full execution timeline.</w:t>
      </w:r>
    </w:p>
    <w:p>
      <w:pPr>
        <w:pStyle w:val="Heading3"/>
      </w:pPr>
      <w:r>
        <w:t>Design Implication</w:t>
      </w:r>
    </w:p>
    <w:p>
      <w:pPr>
        <w:spacing w:after="56"/>
      </w:pPr>
      <w:r>
        <w:t>The system should compare observed behavior against original authority boundaries and plan state. Unauthorized transitions should trigger stop, downgrade, or human confirmation rather than being treated as ordinary execution variance.</w:t>
      </w:r>
    </w:p>
    <w:p>
      <w:pPr>
        <w:spacing w:after="56"/>
      </w:pPr>
      <w:r>
        <w:t>The implementation test is to simulate a long-running workflow where an agent gradually escalates from read-only to write, or from draft to send. Can the system detect the transition and halt execution before external consequence? If not, authority drift is unmonitored.</w:t>
      </w:r>
    </w:p>
    <w:p>
      <w:pPr>
        <w:pStyle w:val="Heading3"/>
      </w:pPr>
      <w:r>
        <w:t>Audit Question</w:t>
      </w:r>
    </w:p>
    <w:p>
      <w:pPr>
        <w:spacing w:after="56"/>
      </w:pPr>
      <w:r>
        <w:t>For any long-running workflow, can the system detect when an agent's observed behavior exceeds its original authority boundary, and does it halt or escalate before external consequence?</w:t>
      </w:r>
    </w:p>
    <w:p>
      <w:pPr>
        <w:pStyle w:val="Heading2"/>
      </w:pPr>
      <w:r>
        <w:t>6.9 MRO-08 — MAS Evidence Partitioning</w:t>
      </w:r>
    </w:p>
    <w:p>
      <w:pPr>
        <w:pStyle w:val="Heading3"/>
      </w:pPr>
      <w:r>
        <w:t>Problem</w:t>
      </w:r>
    </w:p>
    <w:p>
      <w:pPr>
        <w:spacing w:after="56"/>
      </w:pPr>
      <w:r>
        <w:t>A flat chronological log cannot show how different agents, tools, humans, plans, privacy constraints, and evidence fragments relate.</w:t>
      </w:r>
    </w:p>
    <w:p>
      <w:pPr>
        <w:pStyle w:val="Heading3"/>
      </w:pPr>
      <w:r>
        <w:t>Required Object</w:t>
      </w:r>
    </w:p>
    <w:p>
      <w:pPr>
        <w:spacing w:after="56"/>
      </w:pPr>
      <w:r>
        <w:t>Partitioned evidence by agent, tool, human confirmation, plan version, authority boundary, privacy boundary, and accepted outcome.</w:t>
      </w:r>
    </w:p>
    <w:p>
      <w:pPr>
        <w:pStyle w:val="Heading3"/>
      </w:pPr>
      <w:r>
        <w:t>Judgment</w:t>
      </w:r>
    </w:p>
    <w:p>
      <w:pPr>
        <w:spacing w:after="56"/>
      </w:pPr>
      <w:r>
        <w:t>In MAS, evidence must be partitioned, linked, and reconstructable.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MAS evidence partitioning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MAS evidence partitioning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MAS evidence partitioning was properly established and preserved for the relevant lifecycle phase?</w:t>
            </w:r>
          </w:p>
        </w:tc>
      </w:tr>
    </w:tbl>
    <w:p>
      <w:pPr>
        <w:spacing w:after="56"/>
      </w:pPr>
      <w:r>
        <w:t>Table T-06-09: MRO-08 Object Card — MAS Evidence Partitioning</w:t>
      </w:r>
    </w:p>
    <w:p>
      <w:pPr>
        <w:pStyle w:val="Heading3"/>
      </w:pPr>
      <w:r>
        <w:t>Detailed Discussion</w:t>
      </w:r>
    </w:p>
    <w:p>
      <w:pPr>
        <w:spacing w:after="56"/>
      </w:pPr>
      <w:r>
        <w:t>Multi-agent evidence is not a single log stream. It includes plan versions, agent messages, tool calls, human confirmations, data accesses, privacy decisions, model outputs, evidence hashes, and outcome states. Different auditors may need different partitions.</w:t>
      </w:r>
    </w:p>
    <w:p>
      <w:pPr>
        <w:spacing w:after="56"/>
      </w:pPr>
      <w:r>
        <w:t>The core question for MRO-08 is whether evidence can be partitioned, linked, and reconstructed for different audit purposes. Strong support requires partitioning by agent, tool, authority boundary, privacy class, confirmation event, plan version, and accepted outcome. Partitions should be linked by stable identifiers and integrity hashes.</w:t>
      </w:r>
    </w:p>
    <w:p>
      <w:pPr>
        <w:spacing w:after="56"/>
      </w:pPr>
      <w:r>
        <w:t>The difficulty is that flat logs are difficult to use in disputes because they mix irrelevant telemetry with critical proof. They also make selective disclosure and privacy minimization harder because sensitive payloads and governance metadata are not separated.</w:t>
      </w:r>
    </w:p>
    <w:p>
      <w:pPr>
        <w:pStyle w:val="Heading3"/>
      </w:pPr>
      <w:r>
        <w:t>Enterprise Implication</w:t>
      </w:r>
    </w:p>
    <w:p>
      <w:pPr>
        <w:spacing w:after="56"/>
      </w:pPr>
      <w:r>
        <w:t>Without evidence partitioning, multi-agent workflows become difficult to audit, dispute, or selectively disclose. The organization cannot prove which agent performed which action under which authority without exposing unnecessary sensitive data. This weakens regulatory defense, customer assurance, and external validation.</w:t>
      </w:r>
    </w:p>
    <w:p>
      <w:pPr>
        <w:spacing w:after="56"/>
      </w:pPr>
      <w:r>
        <w:t>Adjacent observability and trace systems may support this object, but lifecycle conformance requires explicit object semantics that partition evidence by governance boundaries rather than only by execution timeline.</w:t>
      </w:r>
    </w:p>
    <w:p>
      <w:pPr>
        <w:pStyle w:val="Heading3"/>
      </w:pPr>
      <w:r>
        <w:t>Design Implication</w:t>
      </w:r>
    </w:p>
    <w:p>
      <w:pPr>
        <w:spacing w:after="56"/>
      </w:pPr>
      <w:r>
        <w:t>Evidence should be partitioned by agent, tool, authority boundary, privacy class, confirmation event, plan version, and accepted outcome. Partitions should be linked by stable identifiers and integrity hashes.</w:t>
      </w:r>
    </w:p>
    <w:p>
      <w:pPr>
        <w:spacing w:after="56"/>
      </w:pPr>
      <w:r>
        <w:t>The implementation test is to select a completed multi-agent workflow and ask: can the system produce evidence for a specific agent's actions, a specific tool's usage, a specific privacy class, or a specific accepted outcome without exposing the full raw log? If not, evidence partitioning is not audit-grade.</w:t>
      </w:r>
    </w:p>
    <w:p>
      <w:pPr>
        <w:pStyle w:val="Heading3"/>
      </w:pPr>
      <w:r>
        <w:t>Audit Question</w:t>
      </w:r>
    </w:p>
    <w:p>
      <w:pPr>
        <w:spacing w:after="56"/>
      </w:pPr>
      <w:r>
        <w:t>For any completed multi-agent workflow, can the system reconstruct evidence partitions for specific agents, tools, privacy classes, and accepted outcomes without exposing unnecessary raw data?</w:t>
      </w:r>
    </w:p>
    <w:p>
      <w:pPr>
        <w:pStyle w:val="Heading2"/>
      </w:pPr>
      <w:r>
        <w:t>6.10 MRO-09 — Cross-Project Reuse Compliance</w:t>
      </w:r>
    </w:p>
    <w:p>
      <w:pPr>
        <w:pStyle w:val="Heading3"/>
      </w:pPr>
      <w:r>
        <w:t>Problem</w:t>
      </w:r>
    </w:p>
    <w:p>
      <w:pPr>
        <w:spacing w:after="56"/>
      </w:pPr>
      <w:r>
        <w:t>Agent workflows are increasingly reused across projects, but reuse without revalidation creates compliance drift. A workflow validated for one context, risk class, or privacy boundary may be deployed in a different context without resetting authority, evidence, or privacy constraints.</w:t>
      </w:r>
    </w:p>
    <w:p>
      <w:pPr>
        <w:pStyle w:val="Heading3"/>
      </w:pPr>
      <w:r>
        <w:t>Required Object</w:t>
      </w:r>
    </w:p>
    <w:p>
      <w:pPr>
        <w:spacing w:after="56"/>
      </w:pPr>
      <w:r>
        <w:t>A cross-project reuse compliance record linking original validation context to new deployment context, including authority reset, privacy review, evidence revalidation, and acceptance criteria adjustment.</w:t>
      </w:r>
    </w:p>
    <w:p>
      <w:pPr>
        <w:pStyle w:val="Heading3"/>
      </w:pPr>
      <w:r>
        <w:t>Judgment</w:t>
      </w:r>
    </w:p>
    <w:p>
      <w:pPr>
        <w:spacing w:after="56"/>
      </w:pPr>
      <w:r>
        <w:t>Reuse without revalidation is the most common lifecycle governance failure.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cross-project reuse compliance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original validation record, receiving project context, reuse authorization, context delta, privacy review, evidence revalidation, acceptance criteria adjustment</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A workflow may be reused in a new project, risk class, or privacy context without authority reset, evidence revalidation, or privacy reassessment.</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cross-project reuse was authorized, revalidated, and privacy-reviewed for the new deployment context?</w:t>
            </w:r>
          </w:p>
        </w:tc>
      </w:tr>
    </w:tbl>
    <w:p>
      <w:pPr>
        <w:spacing w:after="56"/>
      </w:pPr>
      <w:r>
        <w:t>Table T-06-10: MRO-09 Object Card — Cross-Project Reuse Compliance</w:t>
      </w:r>
    </w:p>
    <w:p>
      <w:pPr>
        <w:pStyle w:val="Heading3"/>
      </w:pPr>
      <w:r>
        <w:t>Detailed Discussion</w:t>
      </w:r>
    </w:p>
    <w:p>
      <w:pPr>
        <w:spacing w:after="56"/>
      </w:pPr>
      <w:r>
        <w:t>Reuse is a powerful efficiency mechanism, but it is also a compliance boundary. A workflow validated for internal analytics may be reused for customer-facing decisions without recognizing that the risk class, privacy obligations, and evidence requirements have changed. The original validation context does not automatically transfer.</w:t>
      </w:r>
    </w:p>
    <w:p>
      <w:pPr>
        <w:spacing w:after="56"/>
      </w:pPr>
      <w:r>
        <w:t>The governance challenge is that reuse often happens through copy-paste, template libraries, or shared agent definitions. These mechanisms optimize for speed but do not enforce context reset. A reused workflow may carry forward authority assumptions, privacy treatments, or evidence obligations that no longer apply.</w:t>
      </w:r>
    </w:p>
    <w:p>
      <w:pPr>
        <w:spacing w:after="56"/>
      </w:pPr>
      <w:r>
        <w:t>Cross-project reuse requires explicit revalidation. The reuse record must link the original validation context to the new deployment context and document what changed: authority scope, risk class, privacy boundary, data sources, tool permissions, human oversight requirements, and acceptance criteria. If the new context is materially different, the workflow must be revalidated rather than merely copied.</w:t>
      </w:r>
    </w:p>
    <w:p>
      <w:pPr>
        <w:spacing w:after="56"/>
      </w:pPr>
      <w:r>
        <w:t>The difficulty is that reuse is often invisible to governance systems. A developer may copy a workflow definition, adjust a few parameters, and deploy it in a new project without triggering any compliance review. The organization discovers the problem only when a dispute arises and the reused workflow cannot prove that it was authorized for the new context.</w:t>
      </w:r>
    </w:p>
    <w:p>
      <w:pPr>
        <w:pStyle w:val="Heading3"/>
      </w:pPr>
      <w:r>
        <w:t>Enterprise Implication</w:t>
      </w:r>
    </w:p>
    <w:p>
      <w:pPr>
        <w:spacing w:after="56"/>
      </w:pPr>
      <w:r>
        <w:t>Without reuse compliance, organizations face hidden governance debt. A workflow validated once may be reused dozens of times across different projects, risk classes, and privacy contexts without any record of revalidation. This creates audit gaps, privacy violations, and liability exposure.</w:t>
      </w:r>
    </w:p>
    <w:p>
      <w:pPr>
        <w:spacing w:after="56"/>
      </w:pPr>
      <w:r>
        <w:t>Adjacent template libraries and shared agent definitions may support this object, but lifecycle conformance requires explicit object semantics for context reset, privacy review, and evidence revalidation when deployment context changes.</w:t>
      </w:r>
    </w:p>
    <w:p>
      <w:pPr>
        <w:pStyle w:val="Heading3"/>
      </w:pPr>
      <w:r>
        <w:t>Design Implication</w:t>
      </w:r>
    </w:p>
    <w:p>
      <w:pPr>
        <w:spacing w:after="56"/>
      </w:pPr>
      <w:r>
        <w:t>The reuse record should bind original workflow ID, original validation record, receiving project ID, reuse authorization, context delta analysis, privacy review, evidence revalidation, and acceptance criteria adjustment. Reuse should trigger a compliance checkpoint rather than being treated as a copy operation.</w:t>
      </w:r>
    </w:p>
    <w:p>
      <w:pPr>
        <w:spacing w:after="56"/>
      </w:pPr>
      <w:r>
        <w:t>The implementation test is to select a reused workflow and ask: was it revalidated for the new context, was the privacy boundary reassessed, were authority and evidence requirements reset, and who approved the reuse? If the answer is that reuse was automatic, the system has no reuse compliance boundary.</w:t>
      </w:r>
    </w:p>
    <w:p>
      <w:pPr>
        <w:pStyle w:val="Heading3"/>
      </w:pPr>
      <w:r>
        <w:t>Audit Question</w:t>
      </w:r>
    </w:p>
    <w:p>
      <w:pPr>
        <w:spacing w:after="56"/>
      </w:pPr>
      <w:r>
        <w:t>For any reused workflow, can the system prove that it was revalidated for the new deployment context, including authority reset, privacy review, and evidence revalidation?</w:t>
      </w:r>
    </w:p>
    <w:p>
      <w:pPr>
        <w:pStyle w:val="Heading2"/>
      </w:pPr>
      <w:r>
        <w:t>6.11 MRO-10 — Privacy / GDPR Lifecycle Mapping</w:t>
      </w:r>
    </w:p>
    <w:p>
      <w:pPr>
        <w:pStyle w:val="Heading3"/>
      </w:pPr>
      <w:r>
        <w:t>Problem</w:t>
      </w:r>
    </w:p>
    <w:p>
      <w:pPr>
        <w:spacing w:after="56"/>
      </w:pPr>
      <w:r>
        <w:t>GDPR applies to the full lifecycle, but most AI governance focuses on model training data. Agentic systems retrieve, process, store, share, and delete personal data across agents, tools, memory systems, and handoffs. Privacy compliance requires lifecycle data-flow mapping, not only model-level controls.</w:t>
      </w:r>
    </w:p>
    <w:p>
      <w:pPr>
        <w:pStyle w:val="Heading3"/>
      </w:pPr>
      <w:r>
        <w:t>Required Object</w:t>
      </w:r>
    </w:p>
    <w:p>
      <w:pPr>
        <w:spacing w:after="56"/>
      </w:pPr>
      <w:r>
        <w:t>A lifecycle data-flow map showing what personal data enters, flows through, and exits each agent, tool, memory, and handoff, including legal basis, purpose limitation, retention period, and data subject rights.</w:t>
      </w:r>
    </w:p>
    <w:p>
      <w:pPr>
        <w:pStyle w:val="Heading3"/>
      </w:pPr>
      <w:r>
        <w:t>Judgment</w:t>
      </w:r>
    </w:p>
    <w:p>
      <w:pPr>
        <w:spacing w:after="56"/>
      </w:pPr>
      <w:r>
        <w:t>Privacy compliance in MAS requires lifecycle data-flow mapping, not only model-level controls.</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privacy / GDPR lifecycle mapping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data-flow map, legal-basis reference, purpose-limitation record, retention policy, data subject rights workflow, privacy impact assessment reference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Personal data may move through agents, tools, memory, and handoffs without lifecycle-level evidence of purpose, retention, rights handling, or privacy treatment.</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reconstruct what personal data entered, flowed through, and exited each agent, tool, and memory system, and verify that legal basis, purpose limitation, and retention policies were enforced?</w:t>
            </w:r>
          </w:p>
        </w:tc>
      </w:tr>
    </w:tbl>
    <w:p>
      <w:pPr>
        <w:spacing w:after="56"/>
      </w:pPr>
      <w:r>
        <w:t>Table T-06-11: MRO-10 Object Card — Privacy / GDPR Lifecycle Mapping</w:t>
      </w:r>
    </w:p>
    <w:p>
      <w:pPr>
        <w:pStyle w:val="Heading3"/>
      </w:pPr>
      <w:r>
        <w:t>Detailed Discussion</w:t>
      </w:r>
    </w:p>
    <w:p>
      <w:pPr>
        <w:spacing w:after="56"/>
      </w:pPr>
      <w:r>
        <w:t>Privacy compliance in agentic systems is not limited to model training data. Agents retrieve customer records, process personal data in tool calls, store conversation history in memory systems, share data across agent handoffs, and delete data in response to data subject requests. Each of these operations is a privacy event.</w:t>
      </w:r>
    </w:p>
    <w:p>
      <w:pPr>
        <w:spacing w:after="56"/>
      </w:pPr>
      <w:r>
        <w:t>The governance challenge is that privacy controls are often applied at the model or database layer but not at the agent lifecycle layer. An agent may retrieve personal data from a compliant database, process it through multiple tools, store it in a memory system, and share it with another agent without any lifecycle-level privacy tracking. The organization cannot prove what personal data was accessed, for what purpose, under what legal basis, or how long it was retained.</w:t>
      </w:r>
    </w:p>
    <w:p>
      <w:pPr>
        <w:spacing w:after="56"/>
      </w:pPr>
      <w:r>
        <w:t>GDPR requires data controllers to document processing activities, enforce purpose limitation, implement retention policies, and honor data subject rights. In a multi-agent system, this requires a lifecycle data-flow map that shows what personal data enters each agent, how it flows through tools and memory, where it is stored, when it is deleted, and how data subject rights are implemented.</w:t>
      </w:r>
    </w:p>
    <w:p>
      <w:pPr>
        <w:spacing w:after="56"/>
      </w:pPr>
      <w:r>
        <w:t>The difficulty is that agentic systems are dynamic. Data flows change based on runtime decisions, tool availability, and agent handoffs. A static data-flow diagram is insufficient. The map must be reconstructable from lifecycle evidence, showing actual data flows rather than only intended flows.</w:t>
      </w:r>
    </w:p>
    <w:p>
      <w:pPr>
        <w:pStyle w:val="Heading3"/>
      </w:pPr>
      <w:r>
        <w:t>Enterprise Implication</w:t>
      </w:r>
    </w:p>
    <w:p>
      <w:pPr>
        <w:spacing w:after="56"/>
      </w:pPr>
      <w:r>
        <w:t>Without lifecycle data-flow mapping, organizations cannot prove GDPR compliance for agentic systems. A data subject access request may require reconstructing what personal data was processed by which agents, for what purpose, under what legal basis, and where it is now stored. If the organization cannot answer these questions, it faces regulatory penalties and reputational damage.</w:t>
      </w:r>
    </w:p>
    <w:p>
      <w:pPr>
        <w:spacing w:after="56"/>
      </w:pPr>
      <w:r>
        <w:t>Adjacent privacy dashboards and data governance systems may support this object, but lifecycle conformance requires explicit object semantics that track personal data through the full agent lifecycle, not only model training or database layers.</w:t>
      </w:r>
    </w:p>
    <w:p>
      <w:pPr>
        <w:pStyle w:val="Heading3"/>
      </w:pPr>
      <w:r>
        <w:t>Design Implication</w:t>
      </w:r>
    </w:p>
    <w:p>
      <w:pPr>
        <w:spacing w:after="56"/>
      </w:pPr>
      <w:r>
        <w:t>The data-flow map should be reconstructable from lifecycle evidence. Each agent, tool, memory system, and handoff should record what personal data was accessed, for what purpose, under what legal basis, how long it was retained, and how data subject rights were implemented. The map should support data subject access requests, rectification, erasure, and portability.</w:t>
      </w:r>
    </w:p>
    <w:p>
      <w:pPr>
        <w:spacing w:after="56"/>
      </w:pPr>
      <w:r>
        <w:t>The implementation test is to simulate a data subject access request and ask: can the system reconstruct what personal data was processed by which agents, for what purpose, under what legal basis, and where it is now stored? If the answer requires manual investigation, the lifecycle data-flow map is not audit-grade.</w:t>
      </w:r>
    </w:p>
    <w:p>
      <w:pPr>
        <w:pStyle w:val="Heading3"/>
      </w:pPr>
      <w:r>
        <w:t>Audit Question</w:t>
      </w:r>
    </w:p>
    <w:p>
      <w:pPr>
        <w:spacing w:after="56"/>
      </w:pPr>
      <w:r>
        <w:t>For any completed workflow involving personal data, can the system reconstruct what personal data entered, flowed through, and exited each agent, tool, and memory system, and verify that legal basis, purpose limitation, and retention policies were enforced?</w:t>
      </w:r>
    </w:p>
    <w:p>
      <w:pPr>
        <w:pStyle w:val="Heading2"/>
      </w:pPr>
      <w:r>
        <w:t>6.12 MRO-11 — Privacy-Preserving Third-Party Validation</w:t>
      </w:r>
    </w:p>
    <w:p>
      <w:pPr>
        <w:pStyle w:val="Heading3"/>
      </w:pPr>
      <w:r>
        <w:t>Problem</w:t>
      </w:r>
    </w:p>
    <w:p>
      <w:pPr>
        <w:spacing w:after="56"/>
      </w:pPr>
      <w:r>
        <w:t>Enterprise buyers want independent validation, but full evidence disclosure violates privacy and trade secrets. Third-party validators need to verify compliance without accessing raw sensitive data, model weights, or proprietary workflows.</w:t>
      </w:r>
    </w:p>
    <w:p>
      <w:pPr>
        <w:pStyle w:val="Heading3"/>
      </w:pPr>
      <w:r>
        <w:t>Required Object</w:t>
      </w:r>
    </w:p>
    <w:p>
      <w:pPr>
        <w:spacing w:after="56"/>
      </w:pPr>
      <w:r>
        <w:t>A privacy-preserving validation protocol allowing selective disclosure and zero-knowledge proofs, enabling validators to verify compliance properties without accessing raw evidence.</w:t>
      </w:r>
    </w:p>
    <w:p>
      <w:pPr>
        <w:pStyle w:val="Heading3"/>
      </w:pPr>
      <w:r>
        <w:t>Judgment</w:t>
      </w:r>
    </w:p>
    <w:p>
      <w:pPr>
        <w:spacing w:after="56"/>
      </w:pPr>
      <w:r>
        <w:t>Third-party validation must not require full evidence disclosure.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privacy-preserving third-party validation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validation scope definition, selective disclosure policy, redaction profile, proof or hash manifest, evidence-owner authorization, validator access boundary</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External validation may require raw sensitive evidence access, creating privacy, trade-secret, and over-disclosure risk.</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validator verify compliance properties without accessing raw sensitive data, and can the evidence owner prove that only authorized evidence was disclosed?</w:t>
            </w:r>
          </w:p>
        </w:tc>
      </w:tr>
    </w:tbl>
    <w:p>
      <w:pPr>
        <w:spacing w:after="56"/>
      </w:pPr>
      <w:r>
        <w:t>Table T-06-12: MRO-11 Object Card — Privacy-Preserving Third-Party Validation</w:t>
      </w:r>
    </w:p>
    <w:p>
      <w:pPr>
        <w:pStyle w:val="Heading3"/>
      </w:pPr>
      <w:r>
        <w:t>Detailed Discussion</w:t>
      </w:r>
    </w:p>
    <w:p>
      <w:pPr>
        <w:spacing w:after="56"/>
      </w:pPr>
      <w:r>
        <w:t>Third-party validation is a trust mechanism. Enterprise buyers, insurers, and regulators want independent verification that an agentic system meets compliance requirements. But full evidence disclosure creates privacy and trade secret risks. A validator who accesses raw customer data, model weights, or proprietary workflows becomes a privacy risk and a competitive threat.</w:t>
      </w:r>
    </w:p>
    <w:p>
      <w:pPr>
        <w:spacing w:after="56"/>
      </w:pPr>
      <w:r>
        <w:t>The governance challenge is that traditional audit models assume full evidence access. A financial auditor expects to see transaction records. A security auditor expects to see system logs. But in agentic systems, full evidence access may violate GDPR, expose trade secrets, or create insider threat risks.</w:t>
      </w:r>
    </w:p>
    <w:p>
      <w:pPr>
        <w:spacing w:after="56"/>
      </w:pPr>
      <w:r>
        <w:t>Privacy-preserving validation requires a different model. The evidence owner must be able to prove compliance properties without disclosing raw evidence. This can be achieved through selective disclosure, where only governance metadata is shared, or through zero-knowledge proofs, where the validator can verify a property without seeing the underlying data.</w:t>
      </w:r>
    </w:p>
    <w:p>
      <w:pPr>
        <w:spacing w:after="56"/>
      </w:pPr>
      <w:r>
        <w:t>The difficulty is that privacy-preserving validation is technically complex. Zero-knowledge proofs require cryptographic expertise. Selective disclosure requires careful evidence partitioning. Validators may resist these approaches because they reduce audit confidence. The market needs validation protocols that balance privacy preservation with audit rigor.</w:t>
      </w:r>
    </w:p>
    <w:p>
      <w:pPr>
        <w:pStyle w:val="Heading3"/>
      </w:pPr>
      <w:r>
        <w:t>Enterprise Implication</w:t>
      </w:r>
    </w:p>
    <w:p>
      <w:pPr>
        <w:spacing w:after="56"/>
      </w:pPr>
      <w:r>
        <w:t>Without privacy-preserving validation, enterprises face a dilemma: accept unvalidated systems or disclose sensitive data to validators. This slows adoption, increases risk, and creates vendor lock-in because switching vendors requires re-disclosing evidence.</w:t>
      </w:r>
    </w:p>
    <w:p>
      <w:pPr>
        <w:spacing w:after="56"/>
      </w:pPr>
      <w:r>
        <w:t>Adjacent validation programs may support this object, but lifecycle conformance requires explicit object semantics for selective disclosure and independent verification without unnecessary raw data access.</w:t>
      </w:r>
    </w:p>
    <w:p>
      <w:pPr>
        <w:pStyle w:val="Heading3"/>
      </w:pPr>
      <w:r>
        <w:t>Design Implication</w:t>
      </w:r>
    </w:p>
    <w:p>
      <w:pPr>
        <w:spacing w:after="56"/>
      </w:pPr>
      <w:r>
        <w:t>The validation protocol should support selective disclosure and zero-knowledge proofs. Evidence should be partitioned so that governance metadata can be shared without exposing raw payloads. Validators should be able to verify compliance properties such as authority boundaries, evidence completeness, and privacy controls without accessing customer data or model weights.</w:t>
      </w:r>
    </w:p>
    <w:p>
      <w:pPr>
        <w:spacing w:after="56"/>
      </w:pPr>
      <w:r>
        <w:t>The implementation test is to simulate a third-party validation and ask: can the validator verify compliance properties without accessing raw sensitive data, and can the evidence owner prove that only authorized evidence was disclosed? If the answer is that full evidence access is required, the validation protocol is not privacy-preserving.</w:t>
      </w:r>
    </w:p>
    <w:p>
      <w:pPr>
        <w:pStyle w:val="Heading3"/>
      </w:pPr>
      <w:r>
        <w:t>Audit Question</w:t>
      </w:r>
    </w:p>
    <w:p>
      <w:pPr>
        <w:spacing w:after="56"/>
      </w:pPr>
      <w:r>
        <w:t>Can an independent validator verify compliance properties without accessing raw sensitive data, and can the evidence owner prove that only authorized evidence was disclosed?</w:t>
      </w:r>
    </w:p>
    <w:p>
      <w:pPr>
        <w:pStyle w:val="Heading2"/>
      </w:pPr>
      <w:r>
        <w:t>6.13 MRO-12 — Evidence Minimization and Selective Disclosure</w:t>
      </w:r>
    </w:p>
    <w:p>
      <w:pPr>
        <w:pStyle w:val="Heading3"/>
      </w:pPr>
      <w:r>
        <w:t>Problem</w:t>
      </w:r>
    </w:p>
    <w:p>
      <w:pPr>
        <w:spacing w:after="56"/>
      </w:pPr>
      <w:r>
        <w:t>Lifecycle governance requires evidence retention, but GDPR requires data minimization. Retaining full execution logs, conversation history, and tool payloads creates privacy risk. Deleting evidence creates accountability gaps.</w:t>
      </w:r>
    </w:p>
    <w:p>
      <w:pPr>
        <w:pStyle w:val="Heading3"/>
      </w:pPr>
      <w:r>
        <w:t>Required Object</w:t>
      </w:r>
    </w:p>
    <w:p>
      <w:pPr>
        <w:spacing w:after="56"/>
      </w:pPr>
      <w:r>
        <w:t>An evidence minimization and selective disclosure policy defining retention periods, redaction rules, and disclosure boundaries for different evidence classes.</w:t>
      </w:r>
    </w:p>
    <w:p>
      <w:pPr>
        <w:pStyle w:val="Heading3"/>
      </w:pPr>
      <w:r>
        <w:t>Judgment</w:t>
      </w:r>
    </w:p>
    <w:p>
      <w:pPr>
        <w:spacing w:after="56"/>
      </w:pPr>
      <w:r>
        <w:t>Evidence retention must balance auditability with privacy minimization.</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evidence minimization and selective disclosure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retention policy, redaction rules, disclosure boundaries, deletion schedule, audit trail, evidence class handling</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Evidence retention may become a privacy risk, while evidence deletion may create accountability gaps.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verify that evidence retention was minimized to what is necessary for accountability, and that disclosure was limited to authorized parties and purposes?</w:t>
            </w:r>
          </w:p>
        </w:tc>
      </w:tr>
    </w:tbl>
    <w:p>
      <w:pPr>
        <w:spacing w:after="56"/>
      </w:pPr>
      <w:r>
        <w:t>Table T-06-13: MRO-12 Object Card — Evidence Minimization and Selective Disclosure</w:t>
      </w:r>
    </w:p>
    <w:p>
      <w:pPr>
        <w:pStyle w:val="Heading3"/>
      </w:pPr>
      <w:r>
        <w:t>Detailed Discussion</w:t>
      </w:r>
    </w:p>
    <w:p>
      <w:pPr>
        <w:spacing w:after="56"/>
      </w:pPr>
      <w:r>
        <w:t>Evidence retention is a governance requirement. Auditors, regulators, and dispute resolution processes need evidence to reconstruct what happened. But GDPR requires data minimization: personal data should be retained only as long as necessary for the specified purpose. These requirements are in tension.</w:t>
      </w:r>
    </w:p>
    <w:p>
      <w:pPr>
        <w:spacing w:after="56"/>
      </w:pPr>
      <w:r>
        <w:t>The governance challenge is that agentic systems generate large volumes of evidence: execution logs, conversation history, tool payloads, model outputs, memory snapshots, and handoff records. Retaining all of this evidence creates privacy risk. Deleting it creates accountability gaps. The organization must balance auditability with privacy minimization.</w:t>
      </w:r>
    </w:p>
    <w:p>
      <w:pPr>
        <w:spacing w:after="56"/>
      </w:pPr>
      <w:r>
        <w:t>Evidence minimization requires a retention policy that distinguishes different evidence classes. Governance metadata such as authority boundaries, acceptance decisions, and responsibility transfers may need long retention periods. Raw payloads such as customer messages, tool responses, and memory snapshots may need short retention periods or immediate redaction. The policy must define what is retained, for how long, in what form, and for what purpose.</w:t>
      </w:r>
    </w:p>
    <w:p>
      <w:pPr>
        <w:spacing w:after="56"/>
      </w:pPr>
      <w:r>
        <w:t>Selective disclosure requires disclosure boundaries. Different auditors may need different evidence partitions. A privacy regulator may need data-flow evidence but not model weights. A financial auditor may need transaction evidence but not conversation history. A customer dispute may require specific evidence without exposing unrelated data. The system must support selective disclosure without requiring full evidence access.</w:t>
      </w:r>
    </w:p>
    <w:p>
      <w:pPr>
        <w:pStyle w:val="Heading3"/>
      </w:pPr>
      <w:r>
        <w:t>Enterprise Implication</w:t>
      </w:r>
    </w:p>
    <w:p>
      <w:pPr>
        <w:spacing w:after="56"/>
      </w:pPr>
      <w:r>
        <w:t>Without evidence minimization, organizations face privacy violations and regulatory penalties. Retaining full execution logs indefinitely violates GDPR data minimization principles. Without selective disclosure, organizations face dilemmas: deny audit requests or expose unnecessary sensitive data.</w:t>
      </w:r>
    </w:p>
    <w:p>
      <w:pPr>
        <w:spacing w:after="56"/>
      </w:pPr>
      <w:r>
        <w:t>Adjacent observability and evidence management systems may support this object, but lifecycle conformance requires explicit object semantics that balance auditability with privacy minimization and selective disclosure.</w:t>
      </w:r>
    </w:p>
    <w:p>
      <w:pPr>
        <w:pStyle w:val="Heading3"/>
      </w:pPr>
      <w:r>
        <w:t>Design Implication</w:t>
      </w:r>
    </w:p>
    <w:p>
      <w:pPr>
        <w:spacing w:after="56"/>
      </w:pPr>
      <w:r>
        <w:t>The evidence policy should define retention periods, redaction rules, and disclosure boundaries for different evidence classes. Governance metadata should be retained longer than raw payloads. Personal data should be redacted or pseudonymized unless required for accountability. Disclosure should be partitioned by audit purpose.</w:t>
      </w:r>
    </w:p>
    <w:p>
      <w:pPr>
        <w:spacing w:after="56"/>
      </w:pPr>
      <w:r>
        <w:t>The implementation test is to simulate a data subject erasure request and ask: can the system delete personal data while preserving accountability evidence, and can it prove that only necessary evidence was retained? If the answer is that all evidence must be retained or all evidence must be deleted, the policy does not balance auditability with privacy minimization.</w:t>
      </w:r>
    </w:p>
    <w:p>
      <w:pPr>
        <w:pStyle w:val="Heading3"/>
      </w:pPr>
      <w:r>
        <w:t>Audit Question</w:t>
      </w:r>
    </w:p>
    <w:p>
      <w:pPr>
        <w:spacing w:after="56"/>
      </w:pPr>
      <w:r>
        <w:t>For any evidence retention decision, can the system prove that evidence was minimized to what is necessary for accountability, and that disclosure was limited to authorized parties and purposes?</w:t>
      </w:r>
    </w:p>
    <w:p>
      <w:pPr>
        <w:pStyle w:val="Heading2"/>
      </w:pPr>
      <w:r>
        <w:t>6.14 MRO-13 — Data Subject Rights vs Evidence Retention</w:t>
      </w:r>
    </w:p>
    <w:p>
      <w:pPr>
        <w:pStyle w:val="Heading3"/>
      </w:pPr>
      <w:r>
        <w:t>Problem</w:t>
      </w:r>
    </w:p>
    <w:p>
      <w:pPr>
        <w:spacing w:after="56"/>
      </w:pPr>
      <w:r>
        <w:t>GDPR grants data subjects the right to erasure, but lifecycle governance requires evidence retention for audit, dispute resolution, and regulatory defense. These requirements are in structural tension in agentic systems where evidence chains must be preserved to prove accountability.</w:t>
      </w:r>
    </w:p>
    <w:p>
      <w:pPr>
        <w:pStyle w:val="Heading3"/>
      </w:pPr>
      <w:r>
        <w:t>Required Object</w:t>
      </w:r>
    </w:p>
    <w:p>
      <w:pPr>
        <w:spacing w:after="56"/>
      </w:pPr>
      <w:r>
        <w:t>A data subject rights vs evidence retention policy defining retention periods, anonymization rules, legal basis for retention, and reconciliation procedures when erasure requests conflict with evidence obligations.</w:t>
      </w:r>
    </w:p>
    <w:p>
      <w:pPr>
        <w:pStyle w:val="Heading3"/>
      </w:pPr>
      <w:r>
        <w:t>Judgment</w:t>
      </w:r>
    </w:p>
    <w:p>
      <w:pPr>
        <w:spacing w:after="56"/>
      </w:pPr>
      <w:r>
        <w:t>Data subject rights and evidence retention are in structural tension in agentic systems.</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data subject rights versus evidence retention handling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retention policy, legal-basis documentation, anonymization procedures, erasure request log, retention override justification, escalation path</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organization may either lose accountability evidence or over-retain personal data without a documented reconciliation process.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verify that evidence retention was limited to what is legally necessary for accountability, and that data subject rights were honored except where legal retention obligations apply?</w:t>
            </w:r>
          </w:p>
        </w:tc>
      </w:tr>
    </w:tbl>
    <w:p>
      <w:pPr>
        <w:spacing w:after="56"/>
      </w:pPr>
      <w:r>
        <w:t>Table T-06-14: MRO-13 Object Card — Data Subject Rights vs Evidence Retention</w:t>
      </w:r>
    </w:p>
    <w:p>
      <w:pPr>
        <w:pStyle w:val="Heading3"/>
      </w:pPr>
      <w:r>
        <w:t>Detailed Discussion</w:t>
      </w:r>
    </w:p>
    <w:p>
      <w:pPr>
        <w:spacing w:after="56"/>
      </w:pPr>
      <w:r>
        <w:t>The tension between data subject rights and evidence retention is fundamental. GDPR Article 17 grants individuals the right to erasure when personal data is no longer necessary for the original purpose. But lifecycle governance requires retaining evidence to prove that agentic work was authorized, executed under proper authority, reviewed, and accepted. If a customer later disputes an outcome, the organization needs evidence to reconstruct what happened.</w:t>
      </w:r>
    </w:p>
    <w:p>
      <w:pPr>
        <w:spacing w:after="56"/>
      </w:pPr>
      <w:r>
        <w:t>This tension becomes acute in agentic systems because evidence chains are distributed across agents, tools, memory systems, and handoffs. A data subject erasure request may require deleting conversation history, tool payloads, and memory snapshots while preserving governance metadata such as authority boundaries, acceptance decisions, and responsibility transfers. The challenge is determining what can be deleted without breaking the accountability chain.</w:t>
      </w:r>
    </w:p>
    <w:p>
      <w:pPr>
        <w:spacing w:after="56"/>
      </w:pPr>
      <w:r>
        <w:t>The policy must define retention periods for different evidence classes. Raw payloads containing personal data may have short retention periods. Governance metadata may have longer retention periods based on legal, regulatory, or contractual obligations. When a data subject requests erasure, the system must determine whether the request can be honored immediately, whether evidence can be anonymized instead of deleted, or whether retention is legally required.</w:t>
      </w:r>
    </w:p>
    <w:p>
      <w:pPr>
        <w:spacing w:after="56"/>
      </w:pPr>
      <w:r>
        <w:t>The difficulty is that legal retention obligations vary by jurisdiction, industry, and context. Financial services may require seven-year retention. Healthcare may require longer. Employment records may have different rules. The policy must map these obligations to evidence classes and provide clear procedures for handling erasure requests that conflict with retention requirements.</w:t>
      </w:r>
    </w:p>
    <w:p>
      <w:pPr>
        <w:pStyle w:val="Heading3"/>
      </w:pPr>
      <w:r>
        <w:t>Enterprise Implication</w:t>
      </w:r>
    </w:p>
    <w:p>
      <w:pPr>
        <w:spacing w:after="56"/>
      </w:pPr>
      <w:r>
        <w:t>Without a clear policy, organizations face impossible choices: honor erasure requests and lose accountability evidence, or deny erasure requests and violate GDPR. Both paths create legal risk. The organization needs a documented policy that defines when evidence retention overrides erasure rights, what legal basis applies, and how to minimize retained personal data.</w:t>
      </w:r>
    </w:p>
    <w:p>
      <w:pPr>
        <w:spacing w:after="56"/>
      </w:pPr>
      <w:r>
        <w:t>Adjacent evidence retention controls may support this object, but lifecycle conformance requires explicit object semantics that distinguish governance metadata from raw payloads and reconcile data subject requests with accountability needs.</w:t>
      </w:r>
    </w:p>
    <w:p>
      <w:pPr>
        <w:pStyle w:val="Heading3"/>
      </w:pPr>
      <w:r>
        <w:t>Design Implication</w:t>
      </w:r>
    </w:p>
    <w:p>
      <w:pPr>
        <w:spacing w:after="56"/>
      </w:pPr>
      <w:r>
        <w:t>The policy should define retention periods by evidence class, legal basis for retention, anonymization procedures, and escalation paths for erasure requests that conflict with retention obligations. The system should support selective erasure: deleting raw payloads while preserving anonymized governance metadata.</w:t>
      </w:r>
    </w:p>
    <w:p>
      <w:pPr>
        <w:spacing w:after="56"/>
      </w:pPr>
      <w:r>
        <w:t>The implementation test is to simulate a data subject erasure request and ask: can the system delete personal data while preserving accountability evidence, can it document the legal basis for any retained evidence, and can it prove that retention was minimized to what is legally necessary? If the answer is that all evidence must be retained or all evidence must be deleted, the policy does not resolve the tension.</w:t>
      </w:r>
    </w:p>
    <w:p>
      <w:pPr>
        <w:pStyle w:val="Heading3"/>
      </w:pPr>
      <w:r>
        <w:t>Audit Question</w:t>
      </w:r>
    </w:p>
    <w:p>
      <w:pPr>
        <w:spacing w:after="56"/>
      </w:pPr>
      <w:r>
        <w:t>For any data subject erasure request, can the system prove that personal data was deleted except where legal retention obligations apply, and that retained evidence was minimized and anonymized where possible?</w:t>
      </w:r>
    </w:p>
    <w:p>
      <w:pPr>
        <w:pStyle w:val="Heading2"/>
      </w:pPr>
      <w:r>
        <w:t>6.15 MRO-14 — Third-Party Processor / Subprocessor Chain</w:t>
      </w:r>
    </w:p>
    <w:p>
      <w:pPr>
        <w:pStyle w:val="Heading3"/>
      </w:pPr>
      <w:r>
        <w:t>Problem</w:t>
      </w:r>
    </w:p>
    <w:p>
      <w:pPr>
        <w:spacing w:after="56"/>
      </w:pPr>
      <w:r>
        <w:t>GDPR requires data controllers to maintain processor agreements and notify data subjects of subprocessors. In multi-agent systems, the processor chain is dynamic: agents call tools, tools call APIs, APIs invoke third-party services, and the chain changes based on runtime decisions. Static processor lists cannot capture this dynamic reality.</w:t>
      </w:r>
    </w:p>
    <w:p>
      <w:pPr>
        <w:pStyle w:val="Heading3"/>
      </w:pPr>
      <w:r>
        <w:t>Required Object</w:t>
      </w:r>
    </w:p>
    <w:p>
      <w:pPr>
        <w:spacing w:after="56"/>
      </w:pPr>
      <w:r>
        <w:t>A dynamic processor chain record tracking which processors and subprocessors handled which personal data at which lifecycle phase, including processor identity, data categories, processing purpose, legal basis, and data flow timestamps.</w:t>
      </w:r>
    </w:p>
    <w:p>
      <w:pPr>
        <w:pStyle w:val="Heading3"/>
      </w:pPr>
      <w:r>
        <w:t>Judgment</w:t>
      </w:r>
    </w:p>
    <w:p>
      <w:pPr>
        <w:spacing w:after="56"/>
      </w:pPr>
      <w:r>
        <w:t>In MAS, the processor chain is dynamic and must be tracked at lifecycle granularity.</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third-party processor / subprocessor chain handling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processor identity, subprocessor identity, data categories, processing purpose, legal-basis reference, processor agreement reference, data-flow timestamps</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Static vendor or processor lists may fail to show which third parties processed which personal data during actual agentic execution.</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reconstruct which processors and subprocessors handled which personal data at which lifecycle phase, and verify that processor agreements and legal basis were in place?</w:t>
            </w:r>
          </w:p>
        </w:tc>
      </w:tr>
    </w:tbl>
    <w:p>
      <w:pPr>
        <w:spacing w:after="56"/>
      </w:pPr>
      <w:r>
        <w:t>Table T-06-15: MRO-14 Object Card — Third-Party Processor / Subprocessor Chain</w:t>
      </w:r>
    </w:p>
    <w:p>
      <w:pPr>
        <w:pStyle w:val="Heading3"/>
      </w:pPr>
      <w:r>
        <w:t>Detailed Discussion</w:t>
      </w:r>
    </w:p>
    <w:p>
      <w:pPr>
        <w:spacing w:after="56"/>
      </w:pPr>
      <w:r>
        <w:t>GDPR Article 28 requires data controllers to use only processors that provide sufficient guarantees of compliance, to maintain written processor agreements, and to notify data subjects of subprocessors. This works well for static systems where the processor list is known in advance. But in multi-agent systems, the processor chain is dynamic and context-dependent.</w:t>
      </w:r>
    </w:p>
    <w:p>
      <w:pPr>
        <w:spacing w:after="56"/>
      </w:pPr>
      <w:r>
        <w:t>An agent may retrieve customer data from an internal database, send it to a third-party API for enrichment, store the result in a cloud memory service, and pass it to another agent that uses a different model provider. Each of these steps may involve a different processor or subprocessor. The chain changes based on which tools are available, which models are selected, and which agents are invoked.</w:t>
      </w:r>
    </w:p>
    <w:p>
      <w:pPr>
        <w:spacing w:after="56"/>
      </w:pPr>
      <w:r>
        <w:t>The governance challenge is that static processor lists become outdated immediately. A data subject access request may ask: which third parties processed my data? The organization cannot answer without reconstructing the actual processor chain from lifecycle evidence. The record must show which processors handled which data categories at which lifecycle phase, under which legal basis, and pursuant to which processor agreement.</w:t>
      </w:r>
    </w:p>
    <w:p>
      <w:pPr>
        <w:spacing w:after="56"/>
      </w:pPr>
      <w:r>
        <w:t>The difficulty is that processor chains can be long and nested. A tool may call an API that invokes a subprocessor that uses another subprocessor. The organization may not have direct visibility into nested subprocessor relationships unless the primary processor discloses them. The record must capture what is known and flag what is unknown or unverified.</w:t>
      </w:r>
    </w:p>
    <w:p>
      <w:pPr>
        <w:pStyle w:val="Heading3"/>
      </w:pPr>
      <w:r>
        <w:t>Enterprise Implication</w:t>
      </w:r>
    </w:p>
    <w:p>
      <w:pPr>
        <w:spacing w:after="56"/>
      </w:pPr>
      <w:r>
        <w:t>Without dynamic processor chain tracking, organizations cannot answer data subject access requests, cannot verify processor compliance, and cannot detect unauthorized subprocessor usage. This creates GDPR violation risk and weakens vendor management.</w:t>
      </w:r>
    </w:p>
    <w:p>
      <w:pPr>
        <w:spacing w:after="56"/>
      </w:pPr>
      <w:r>
        <w:t>Adjacent vendor management systems may support this object, but lifecycle conformance requires explicit object semantics that track processor and subprocessor usage at lifecycle granularity, not only at configuration time.</w:t>
      </w:r>
    </w:p>
    <w:p>
      <w:pPr>
        <w:pStyle w:val="Heading3"/>
      </w:pPr>
      <w:r>
        <w:t>Design Implication</w:t>
      </w:r>
    </w:p>
    <w:p>
      <w:pPr>
        <w:spacing w:after="56"/>
      </w:pPr>
      <w:r>
        <w:t>The processor chain record should capture processor identity, subprocessor identity, data categories, processing purpose, legal basis, processor agreement reference, and data flow timestamps for each lifecycle phase. The record should be reconstructable from tool call evidence and should support data subject access requests.</w:t>
      </w:r>
    </w:p>
    <w:p>
      <w:pPr>
        <w:spacing w:after="56"/>
      </w:pPr>
      <w:r>
        <w:t>The implementation test is to select a completed workflow involving personal data and ask: which processors and subprocessors handled which data categories, under which legal basis, and pursuant to which processor agreements? If the answer requires manual investigation or vendor inquiry, the processor chain record is not audit-grade.</w:t>
      </w:r>
    </w:p>
    <w:p>
      <w:pPr>
        <w:pStyle w:val="Heading3"/>
      </w:pPr>
      <w:r>
        <w:t>Audit Question</w:t>
      </w:r>
    </w:p>
    <w:p>
      <w:pPr>
        <w:spacing w:after="56"/>
      </w:pPr>
      <w:r>
        <w:t>For any completed workflow involving personal data, can the system reconstruct which processors and subprocessors handled which data categories at which lifecycle phase, and verify that processor agreements and legal basis were in place?</w:t>
      </w:r>
    </w:p>
    <w:p>
      <w:pPr>
        <w:pStyle w:val="Heading2"/>
      </w:pPr>
      <w:r>
        <w:t>6.16 MRO-15 — Vendor / Model / Runtime Substitution Conformance</w:t>
      </w:r>
    </w:p>
    <w:p>
      <w:pPr>
        <w:pStyle w:val="Heading3"/>
      </w:pPr>
      <w:r>
        <w:t>Problem</w:t>
      </w:r>
    </w:p>
    <w:p>
      <w:pPr>
        <w:spacing w:after="56"/>
      </w:pPr>
      <w:r>
        <w:t>Enterprises want vendor optionality and the ability to substitute models, agent runtimes, or tool vendors without revalidation. But substitution without conformance verification breaks lifecycle governance. A workflow validated with one model may behave differently with another model. A tool validated with one vendor may have different authority boundaries with another vendor.</w:t>
      </w:r>
    </w:p>
    <w:p>
      <w:pPr>
        <w:pStyle w:val="Heading3"/>
      </w:pPr>
      <w:r>
        <w:t>Required Object</w:t>
      </w:r>
    </w:p>
    <w:p>
      <w:pPr>
        <w:spacing w:after="56"/>
      </w:pPr>
      <w:r>
        <w:t>A vendor substitution conformance record proving that substitution preserved lifecycle responsibility properties, including authority boundaries, evidence requirements, privacy constraints, and acceptance criteria.</w:t>
      </w:r>
    </w:p>
    <w:p>
      <w:pPr>
        <w:pStyle w:val="Heading3"/>
      </w:pPr>
      <w:r>
        <w:t>Judgment</w:t>
      </w:r>
    </w:p>
    <w:p>
      <w:pPr>
        <w:spacing w:after="56"/>
      </w:pPr>
      <w:r>
        <w:t>Vendor substitution without revalidation breaks lifecycle conformance.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vendor / model / runtime substitution conformance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original validation record, substitution authorization, delta analysis, conformance check record, privacy boundary review, revalidation decision</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Vendor, model, or runtime substitution may create compliance drift while appearing to be only a configuration change.</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verify that vendor substitution preserved lifecycle responsibility properties, and that conformance was revalidated before deployment?</w:t>
            </w:r>
          </w:p>
        </w:tc>
      </w:tr>
    </w:tbl>
    <w:p>
      <w:pPr>
        <w:spacing w:after="56"/>
      </w:pPr>
      <w:r>
        <w:t>Table T-06-16: MRO-15 Object Card — Vendor / Model / Runtime Substitution Conformance</w:t>
      </w:r>
    </w:p>
    <w:p>
      <w:pPr>
        <w:pStyle w:val="Heading3"/>
      </w:pPr>
      <w:r>
        <w:t>Detailed Discussion</w:t>
      </w:r>
    </w:p>
    <w:p>
      <w:pPr>
        <w:spacing w:after="56"/>
      </w:pPr>
      <w:r>
        <w:t>Vendor neutrality is a strategic goal for many enterprises. Organizations want to avoid vendor lock-in, negotiate better pricing, and maintain optionality. But vendor neutrality is not real unless compliance survives substitution. Swapping one model for another, one agent runtime for another, or one tool vendor for another can change behavior in ways that break lifecycle conformance.</w:t>
      </w:r>
    </w:p>
    <w:p>
      <w:pPr>
        <w:spacing w:after="56"/>
      </w:pPr>
      <w:r>
        <w:t>A model substitution may change output quality, reasoning patterns, or tool-calling behavior. A runtime substitution may change how authority boundaries are enforced, how evidence is collected, or how privacy constraints are applied. A tool vendor substitution may change API semantics, error handling, or reversibility properties. These changes can be subtle but consequential.</w:t>
      </w:r>
    </w:p>
    <w:p>
      <w:pPr>
        <w:spacing w:after="56"/>
      </w:pPr>
      <w:r>
        <w:t>The governance challenge is that substitution is often treated as a configuration change rather than a compliance event. A developer may swap model providers, update an API endpoint, or switch agent frameworks without triggering any revalidation. The organization discovers the problem only when a dispute arises and the substituted system cannot prove that it preserved the original lifecycle responsibility properties.</w:t>
      </w:r>
    </w:p>
    <w:p>
      <w:pPr>
        <w:spacing w:after="56"/>
      </w:pPr>
      <w:r>
        <w:t>The conformance record must document what was substituted, why, what changed, what was tested, and whether the substitution preserved authority boundaries, evidence requirements, privacy constraints, and acceptance criteria. If the substitution introduces material changes, the workflow must be revalidated rather than merely reconfigured.</w:t>
      </w:r>
    </w:p>
    <w:p>
      <w:pPr>
        <w:pStyle w:val="Heading3"/>
      </w:pPr>
      <w:r>
        <w:t>Enterprise Implication</w:t>
      </w:r>
    </w:p>
    <w:p>
      <w:pPr>
        <w:spacing w:after="56"/>
      </w:pPr>
      <w:r>
        <w:t>Without substitution conformance, vendor optionality becomes compliance drift. The organization may believe it has validated workflows when in fact it has validated only the original vendor configuration. Substitution without revalidation creates hidden governance debt that surfaces during audits or disputes.</w:t>
      </w:r>
    </w:p>
    <w:p>
      <w:pPr>
        <w:spacing w:after="56"/>
      </w:pPr>
      <w:r>
        <w:t>Adjacent vendor-neutral architectures may support this object, but lifecycle conformance requires explicit object semantics proving that substitution preserved responsibility properties rather than merely preserving technical capability.</w:t>
      </w:r>
    </w:p>
    <w:p>
      <w:pPr>
        <w:pStyle w:val="Heading3"/>
      </w:pPr>
      <w:r>
        <w:t>Design Implication</w:t>
      </w:r>
    </w:p>
    <w:p>
      <w:pPr>
        <w:spacing w:after="56"/>
      </w:pPr>
      <w:r>
        <w:t>The substitution record should bind original workflow ID, original validation record, substitution authorization, conformance test results, delta analysis, and revalidation decision. Substitution should trigger a conformance checkpoint rather than being treated as a transparent configuration change.</w:t>
      </w:r>
    </w:p>
    <w:p>
      <w:pPr>
        <w:spacing w:after="56"/>
      </w:pPr>
      <w:r>
        <w:t>The implementation test is to simulate a vendor substitution and ask: was conformance revalidated, were lifecycle responsibility properties preserved, and can the system prove that the substituted configuration meets the same governance requirements as the original? If the answer is that substitution was automatic, the system has no substitution conformance boundary.</w:t>
      </w:r>
    </w:p>
    <w:p>
      <w:pPr>
        <w:pStyle w:val="Heading3"/>
      </w:pPr>
      <w:r>
        <w:t>Audit Question</w:t>
      </w:r>
    </w:p>
    <w:p>
      <w:pPr>
        <w:spacing w:after="56"/>
      </w:pPr>
      <w:r>
        <w:t>For any vendor substitution, can the system prove that lifecycle responsibility properties were preserved, and that conformance was revalidated before deployment?</w:t>
      </w:r>
    </w:p>
    <w:p>
      <w:pPr>
        <w:pStyle w:val="Heading2"/>
      </w:pPr>
      <w:r>
        <w:t>6.17 MRO-16 — Incident, Dispute, and Remediation Closure</w:t>
      </w:r>
    </w:p>
    <w:p>
      <w:pPr>
        <w:pStyle w:val="Heading3"/>
      </w:pPr>
      <w:r>
        <w:t>Problem</w:t>
      </w:r>
    </w:p>
    <w:p>
      <w:pPr>
        <w:spacing w:after="56"/>
      </w:pPr>
      <w:r>
        <w:t>Most AI governance focuses on prevention: risk assessment, guardrails, human oversight, and monitoring. But lifecycle governance is incomplete without incident detection, dispute resolution, remediation, and closure. When an agentic system produces an incorrect outcome, violates a policy, or causes customer harm, the organization needs a structured process to detect the incident, investigate root cause, remediate the problem, close the dispute, and implement continuous improvement.</w:t>
      </w:r>
    </w:p>
    <w:p>
      <w:pPr>
        <w:pStyle w:val="Heading3"/>
      </w:pPr>
      <w:r>
        <w:t>Required Object</w:t>
      </w:r>
    </w:p>
    <w:p>
      <w:pPr>
        <w:spacing w:after="56"/>
      </w:pPr>
      <w:r>
        <w:t>An incident, dispute, and remediation closure record linking incident detection to root cause analysis, remediation action, dispute resolution, acceptance of closure, and continuous improvement measures.</w:t>
      </w:r>
    </w:p>
    <w:p>
      <w:pPr>
        <w:pStyle w:val="Heading3"/>
      </w:pPr>
      <w:r>
        <w:t>Judgment</w:t>
      </w:r>
    </w:p>
    <w:p>
      <w:pPr>
        <w:spacing w:after="56"/>
      </w:pPr>
      <w:r>
        <w:t>Lifecycle governance is incomplete without incident closure and continuous improvement.</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incident, dispute, and remediation closure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incident detection record, root cause analysis, remediation action, dispute resolution decision, closure acceptance, continuous improvement plan, privacy-limited evidence disclosure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Incidents may be detected or handled manually without evidence-linked remediation, dispute closure, or continuous improvement.</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verify that incidents were detected, investigated, remediated, and closed with documented root cause and continuous improvement measures?</w:t>
            </w:r>
          </w:p>
        </w:tc>
      </w:tr>
    </w:tbl>
    <w:p>
      <w:pPr>
        <w:spacing w:after="56"/>
      </w:pPr>
      <w:r>
        <w:t>Table T-06-17: MRO-16 Object Card — Incident, Dispute, and Remediation Closure</w:t>
      </w:r>
    </w:p>
    <w:p>
      <w:pPr>
        <w:pStyle w:val="Heading3"/>
      </w:pPr>
      <w:r>
        <w:t>Detailed Discussion</w:t>
      </w:r>
    </w:p>
    <w:p>
      <w:pPr>
        <w:spacing w:after="56"/>
      </w:pPr>
      <w:r>
        <w:t>Incident closure is where lifecycle governance proves its value. Prevention is important, but no system is perfect. Agents will make mistakes, policies will be violated, and customers will be harmed. The question is whether the organization can detect incidents quickly, investigate root cause accurately, remediate effectively, resolve disputes fairly, and improve continuously.</w:t>
      </w:r>
    </w:p>
    <w:p>
      <w:pPr>
        <w:spacing w:after="56"/>
      </w:pPr>
      <w:r>
        <w:t>An incident is any event where an agentic system produces an outcome that violates policy, exceeds authority, causes harm, or fails to meet acceptance criteria. A dispute is any challenge to an outcome by a customer, regulator, or internal stakeholder. Remediation is the action taken to correct the problem. Closure is the state where the incident is resolved, the dispute is settled, and the organization has implemented measures to prevent recurrence.</w:t>
      </w:r>
    </w:p>
    <w:p>
      <w:pPr>
        <w:spacing w:after="56"/>
      </w:pPr>
      <w:r>
        <w:t>The governance challenge is that incident management is often ad hoc. A customer complaint may trigger an investigation, but the investigation may not link back to the original lifecycle evidence. The root cause may not be documented. The remediation may not be verified. The dispute may be settled without any continuous improvement. The organization learns nothing from the incident.</w:t>
      </w:r>
    </w:p>
    <w:p>
      <w:pPr>
        <w:spacing w:after="56"/>
      </w:pPr>
      <w:r>
        <w:t>The closure record must link incident detection to lifecycle evidence, root cause analysis, remediation action, dispute resolution decision, closure acceptance, and continuous improvement plan. The record must be auditable: an independent reviewer should be able to verify that the incident was handled properly and that the organization learned from it.</w:t>
      </w:r>
    </w:p>
    <w:p>
      <w:pPr>
        <w:pStyle w:val="Heading3"/>
      </w:pPr>
      <w:r>
        <w:t>Enterprise Implication</w:t>
      </w:r>
    </w:p>
    <w:p>
      <w:pPr>
        <w:spacing w:after="56"/>
      </w:pPr>
      <w:r>
        <w:t>Without incident closure, organizations cannot prove that they handle agentic failures responsibly. Customers lose trust. Regulators question accountability. Insurers raise premiums or deny coverage. The organization cannot demonstrate continuous improvement because it has no structured process for learning from incidents.</w:t>
      </w:r>
    </w:p>
    <w:p>
      <w:pPr>
        <w:spacing w:after="56"/>
      </w:pPr>
      <w:r>
        <w:t>Adjacent monitoring systems may support this object, but lifecycle conformance requires explicit object semantics that link incidents to remediation, dispute closure, and continuous improvement.</w:t>
      </w:r>
    </w:p>
    <w:p>
      <w:pPr>
        <w:pStyle w:val="Heading3"/>
      </w:pPr>
      <w:r>
        <w:t>Design Implication</w:t>
      </w:r>
    </w:p>
    <w:p>
      <w:pPr>
        <w:spacing w:after="56"/>
      </w:pPr>
      <w:r>
        <w:t>The closure record should bind incident ID, detection timestamp, lifecycle evidence pointers, root cause analysis, remediation action, dispute resolution decision, closure acceptance, and continuous improvement plan. Incidents should remain open until remediation is verified and closure is accepted by the accountable owner.</w:t>
      </w:r>
    </w:p>
    <w:p>
      <w:pPr>
        <w:spacing w:after="56"/>
      </w:pPr>
      <w:r>
        <w:t>The implementation test is to simulate an incident and ask: can the system detect it, link it to lifecycle evidence, document root cause, track remediation, resolve disputes, and close with continuous improvement measures? If the answer is that incidents are handled manually without structured records, the system has no incident closure capability.</w:t>
      </w:r>
    </w:p>
    <w:p>
      <w:pPr>
        <w:pStyle w:val="Heading3"/>
      </w:pPr>
      <w:r>
        <w:t>Audit Question</w:t>
      </w:r>
    </w:p>
    <w:p>
      <w:pPr>
        <w:spacing w:after="56"/>
      </w:pPr>
      <w:r>
        <w:t>For any incident, can the system verify that it was detected, investigated, remediated, and closed with documented root cause and continuous improvement measures?</w:t>
      </w:r>
    </w:p>
    <w:p>
      <w:pPr>
        <w:pStyle w:val="Heading2"/>
      </w:pPr>
      <w:r>
        <w:t>6.18 Chapter Summary</w:t>
      </w:r>
    </w:p>
    <w:p>
      <w:pPr>
        <w:spacing w:after="56"/>
      </w:pPr>
      <w:r>
        <w:t>The sixteen Missing Regulatory Objects defined in this chapter represent the missing object layer between regulatory abstractions and agentic lifecycle implementation. They are not proposed statutes or legal mandates. They are engineering and assurance objects that make regulatory concepts testable in multi-agent execution.</w:t>
      </w:r>
    </w:p>
    <w:p>
      <w:pPr>
        <w:spacing w:after="56"/>
      </w:pPr>
      <w:r>
        <w:t>Existing regulation and governance frameworks increasingly require human oversight, logging, documentation, monitoring, accountability, transparency, and privacy controls. But they do not yet fully specify the lifecycle objects required to prove those properties inside dynamic agentic workflows. The sixteen MROs bridge that gap. They turn regulatory abstractions into lifecycle objects: human oversight becomes human-role-to-MAS responsibility mapping, logging becomes partitioned evidence chain, accountability becomes tool-action liability and responsibility transfer, transparency becomes evidence-linked review and accepted outcome, monitoring becomes lifecycle drift and incident closure, privacy becomes lifecycle data-flow mapping and selective disclosure.</w:t>
      </w:r>
    </w:p>
    <w:p>
      <w:pPr>
        <w:spacing w:after="56"/>
      </w:pPr>
      <w:r>
        <w:t>These objects are necessary because agentic AI is not only model output. It is organized work that moves from intent to accepted outcome through delegation, execution, evidence collection, review, acceptance, dispute, remediation, and reuse. If that work cannot be proven under controlled authority, evidence, privacy, and remediation constraints, it remains difficult to audit, insure, delegate, reuse, and scale. This is why AI Agent Lifecycle Governance is not a philosophical category. It is an operational prerequisite for agentic AI becoming trusted enterprise infrastructure.</w:t>
      </w:r>
    </w:p>
    <w:p>
      <w:pPr>
        <w:spacing w:after="56"/>
      </w:pPr>
      <w:r>
        <w:t>The next chapters introduce two scoring frameworks that measure how systems map to these objects. RCCS measures regulatory compliance coverage. ALCS measures agentic lifecycle conformance. Together, they provide a dual-layer assessment of whether a system can prove lifecycle responsibility compliance.</w:t>
      </w:r>
    </w:p>
    <w:p>
      <w:pPr>
        <w:pStyle w:val="Heading1"/>
      </w:pPr>
      <w:r>
        <w:t>Chapter 7: Regulatory Compliance Coverage Score (RCCS)</w:t>
      </w:r>
    </w:p>
    <w:p>
      <w:pPr>
        <w:spacing w:after="56"/>
      </w:pPr>
      <w:r>
        <w:t>Version: v0.3.2-FRC-R3</w:t>
      </w:r>
    </w:p>
    <w:p>
      <w:pPr>
        <w:pStyle w:val="Heading2"/>
      </w:pPr>
      <w:r>
        <w:t>7.0 Chapter Overview</w:t>
      </w:r>
    </w:p>
    <w:p>
      <w:pPr>
        <w:spacing w:after="56"/>
      </w:pPr>
      <w:r>
        <w:t>This chapter introduces the Regulatory Compliance Coverage Score (RCCS), the first of two scoring frameworks used in this white paper. RCCS measures how strongly a system covers existing regulatory and governance requirements such as risk management, data governance, documentation, record-keeping, transparency, human oversight, security, accountability, contestability, and monitoring.</w:t>
      </w:r>
    </w:p>
    <w:p>
      <w:pPr>
        <w:spacing w:after="56"/>
      </w:pPr>
      <w:r>
        <w:t>RCCS is an analytical framework for comparing system capabilities against regulatory ideals. It is not a legal compliance certification, not a conformity assessment, and not a regulatory approval. It is a structured method for evaluating whether a system provides the primitives, controls, and evidence mechanisms that existing regulation and governance frameworks increasingly require.</w:t>
      </w:r>
    </w:p>
    <w:p>
      <w:pPr>
        <w:spacing w:after="56"/>
      </w:pPr>
      <w:r>
        <w:t>The chapter defines the ten RCCS dimensions, explains the shared scoring procedure used for both RCCS and ALCS, and establishes clear boundaries around what RCCS measures and what it does not measure. Detailed scoring rubrics for each dimension are provided in sections 7.6 through 7.15.</w:t>
      </w:r>
    </w:p>
    <w:p>
      <w:pPr>
        <w:pStyle w:val="Heading2"/>
      </w:pPr>
      <w:r>
        <w:t>7.1 What RCCS Measures</w:t>
      </w:r>
    </w:p>
    <w:p>
      <w:pPr>
        <w:spacing w:after="56"/>
      </w:pPr>
      <w:r>
        <w:t>RCCS measures how strongly a system covers existing regulatory and governance requirements. It evaluates whether a system provides the capabilities, controls, and evidence mechanisms that frameworks such as the EU AI Act, GDPR, NIST AI RMF, ISO/IEC 42001, and Singapore MGF increasingly require.</w:t>
      </w:r>
    </w:p>
    <w:p>
      <w:pPr>
        <w:spacing w:after="56"/>
      </w:pPr>
      <w:r>
        <w:t>RCCS is not a legal compliance score. A high RCCS score does not mean a system is legally compliant. A low RCCS score does not mean a system is non-compliant. Legal compliance depends on organizational practice, deployment context, jurisdiction, risk class, and how the system is used. RCCS measures system capability, not organizational conformance.</w:t>
      </w:r>
    </w:p>
    <w:p>
      <w:pPr>
        <w:spacing w:after="56"/>
      </w:pPr>
      <w:r>
        <w:t>RCCS is an analytical framework for comparing systems. It allows buyers, auditors, governance teams, and protocol designers to evaluate whether a system provides the primitives required to support regulatory obligations. It makes visible the difference between systems that provide governance controls and systems that provide only execution or observability features.</w:t>
      </w:r>
    </w:p>
    <w:p>
      <w:pPr>
        <w:spacing w:after="56"/>
      </w:pPr>
      <w:r>
        <w:t>The purpose of RCCS is to translate regulatory abstractions into measurable system capabilities. Regulation requires risk management, but what does that mean in a system? RCCS defines ten dimensions that operationalize regulatory requirements into system features that can be evaluated, compared, and improved. It is a bridge between regulatory language and engineering implementation.</w:t>
      </w:r>
    </w:p>
    <w:p>
      <w:pPr>
        <w:pStyle w:val="Heading2"/>
      </w:pPr>
      <w:r>
        <w:t>7.2 RCCS Dimensions Overview</w:t>
      </w:r>
    </w:p>
    <w:p>
      <w:pPr>
        <w:spacing w:after="56"/>
      </w:pPr>
      <w:r>
        <w:t>RCCS evaluates systems across ten dimensions. Each dimension corresponds to a recurring regulatory requirement. The dimensions are weighted to reflect their relative importance in the regulatory baseline analyzed in Chapter 4.</w:t>
      </w:r>
    </w:p>
    <w:p>
      <w:pPr>
        <w:spacing w:after="56"/>
      </w:pPr>
      <w:r>
        <w:t>The ten RCCS dimensions are:</w:t>
      </w:r>
    </w:p>
    <w:p>
      <w:pPr>
        <w:pStyle w:val="ListNumber"/>
        <w:spacing w:after="56"/>
      </w:pPr>
      <w:r>
        <w:t>Risk Management (20%) - Does the system support risk identification, assessment, and mitigation across the AI lifecycle?</w:t>
      </w:r>
    </w:p>
    <w:p>
      <w:pPr>
        <w:pStyle w:val="ListNumber"/>
        <w:spacing w:after="56"/>
      </w:pPr>
      <w:r>
        <w:t>Data Governance (10%) - Does the system track data lineage, quality, and lifecycle management?</w:t>
      </w:r>
    </w:p>
    <w:p>
      <w:pPr>
        <w:pStyle w:val="ListNumber"/>
        <w:spacing w:after="56"/>
      </w:pPr>
      <w:r>
        <w:t>Documentation (10%) - Does the system produce and maintain required technical documentation?</w:t>
      </w:r>
    </w:p>
    <w:p>
      <w:pPr>
        <w:pStyle w:val="ListNumber"/>
        <w:spacing w:after="56"/>
      </w:pPr>
      <w:r>
        <w:t>Record-Keeping (10%) - Does the system maintain audit trails and evidence records?</w:t>
      </w:r>
    </w:p>
    <w:p>
      <w:pPr>
        <w:pStyle w:val="ListNumber"/>
        <w:spacing w:after="56"/>
      </w:pPr>
      <w:r>
        <w:t>Transparency (10%) - Does the system provide explainability and disclosure mechanisms?</w:t>
      </w:r>
    </w:p>
    <w:p>
      <w:pPr>
        <w:pStyle w:val="ListNumber"/>
        <w:spacing w:after="56"/>
      </w:pPr>
      <w:r>
        <w:t>Human Oversight (15%) - Does the system support human review, approval, and intervention?</w:t>
      </w:r>
    </w:p>
    <w:p>
      <w:pPr>
        <w:pStyle w:val="ListNumber"/>
        <w:spacing w:after="56"/>
      </w:pPr>
      <w:r>
        <w:t>Security (5%) - Does the system implement security controls and access management?</w:t>
      </w:r>
    </w:p>
    <w:p>
      <w:pPr>
        <w:pStyle w:val="ListNumber"/>
        <w:spacing w:after="56"/>
      </w:pPr>
      <w:r>
        <w:t>Accountability (5%) - Does the system assign responsibility and track decisions?</w:t>
      </w:r>
    </w:p>
    <w:p>
      <w:pPr>
        <w:pStyle w:val="ListNumber"/>
        <w:spacing w:after="56"/>
      </w:pPr>
      <w:r>
        <w:t>Contestability (5%) - Does the system support dispute and appeal mechanisms?</w:t>
      </w:r>
    </w:p>
    <w:p>
      <w:pPr>
        <w:pStyle w:val="ListNumber"/>
        <w:spacing w:after="56"/>
      </w:pPr>
      <w:r>
        <w:t>Monitoring (10%) - Does the system support continuous monitoring and incident detection?</w:t>
      </w:r>
    </w:p>
    <w:p>
      <w:pPr>
        <w:spacing w:after="56"/>
      </w:pPr>
      <w:r>
        <w:t>The following table summarizes the ten dimensions, their regulatory sources, core questions, and weights.</w:t>
      </w:r>
    </w:p>
    <w:p>
      <w:pPr>
        <w:keepNext/>
      </w:pPr>
      <w:r>
        <w:rPr>
          <w:b/>
          <w:sz w:val="16"/>
        </w:rPr>
        <w:t>Table T-07-01: RCCS Dimensions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Dimension</w:t>
            </w:r>
          </w:p>
        </w:tc>
        <w:tc>
          <w:tcPr>
            <w:tcW w:type="dxa" w:w="2556"/>
          </w:tcPr>
          <w:p>
            <w:pPr>
              <w:spacing w:after="0"/>
            </w:pPr>
            <w:r>
              <w:rPr>
                <w:rFonts w:ascii="Arial" w:hAnsi="Arial"/>
                <w:b/>
                <w:sz w:val="14"/>
              </w:rPr>
              <w:t>Regulatory Source</w:t>
            </w:r>
          </w:p>
        </w:tc>
        <w:tc>
          <w:tcPr>
            <w:tcW w:type="dxa" w:w="2556"/>
          </w:tcPr>
          <w:p>
            <w:pPr>
              <w:spacing w:after="0"/>
            </w:pPr>
            <w:r>
              <w:rPr>
                <w:rFonts w:ascii="Arial" w:hAnsi="Arial"/>
                <w:b/>
                <w:sz w:val="14"/>
              </w:rPr>
              <w:t>Core Question</w:t>
            </w:r>
          </w:p>
        </w:tc>
        <w:tc>
          <w:tcPr>
            <w:tcW w:type="dxa" w:w="2556"/>
          </w:tcPr>
          <w:p>
            <w:pPr>
              <w:spacing w:after="0"/>
            </w:pPr>
            <w:r>
              <w:rPr>
                <w:rFonts w:ascii="Arial" w:hAnsi="Arial"/>
                <w:b/>
                <w:sz w:val="14"/>
              </w:rPr>
              <w:t>Weight</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EU AI Act Art. 9, NIST AI RMF Govern/Map/Measure/Manage, ISO/IEC 42001</w:t>
            </w:r>
          </w:p>
        </w:tc>
        <w:tc>
          <w:tcPr>
            <w:tcW w:type="dxa" w:w="2556"/>
          </w:tcPr>
          <w:p>
            <w:pPr>
              <w:spacing w:after="0"/>
            </w:pPr>
            <w:r>
              <w:rPr>
                <w:rFonts w:ascii="Arial" w:hAnsi="Arial"/>
                <w:b w:val="0"/>
                <w:sz w:val="14"/>
              </w:rPr>
              <w:t>Does the system support risk identification, assessment, and mitigation across the AI lifecycle?</w:t>
            </w:r>
          </w:p>
        </w:tc>
        <w:tc>
          <w:tcPr>
            <w:tcW w:type="dxa" w:w="2556"/>
          </w:tcPr>
          <w:p>
            <w:pPr>
              <w:spacing w:after="0"/>
            </w:pPr>
            <w:r>
              <w:rPr>
                <w:rFonts w:ascii="Arial" w:hAnsi="Arial"/>
                <w:b w:val="0"/>
                <w:sz w:val="14"/>
              </w:rPr>
              <w:t>20%</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GDPR Art. 5, ISO/IEC 42001, NIST AI RMF Map</w:t>
            </w:r>
          </w:p>
        </w:tc>
        <w:tc>
          <w:tcPr>
            <w:tcW w:type="dxa" w:w="2556"/>
          </w:tcPr>
          <w:p>
            <w:pPr>
              <w:spacing w:after="0"/>
            </w:pPr>
            <w:r>
              <w:rPr>
                <w:rFonts w:ascii="Arial" w:hAnsi="Arial"/>
                <w:b w:val="0"/>
                <w:sz w:val="14"/>
              </w:rPr>
              <w:t>Does the system track data lineage, quality, and lifecycle management?</w:t>
            </w:r>
          </w:p>
        </w:tc>
        <w:tc>
          <w:tcPr>
            <w:tcW w:type="dxa" w:w="2556"/>
          </w:tcPr>
          <w:p>
            <w:pPr>
              <w:spacing w:after="0"/>
            </w:pPr>
            <w:r>
              <w:rPr>
                <w:rFonts w:ascii="Arial" w:hAnsi="Arial"/>
                <w:b w:val="0"/>
                <w:sz w:val="14"/>
              </w:rPr>
              <w:t>10%</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EU AI Act Art. 11, ISO/IEC 42001, NIST AI RMF Govern</w:t>
            </w:r>
          </w:p>
        </w:tc>
        <w:tc>
          <w:tcPr>
            <w:tcW w:type="dxa" w:w="2556"/>
          </w:tcPr>
          <w:p>
            <w:pPr>
              <w:spacing w:after="0"/>
            </w:pPr>
            <w:r>
              <w:rPr>
                <w:rFonts w:ascii="Arial" w:hAnsi="Arial"/>
                <w:b w:val="0"/>
                <w:sz w:val="14"/>
              </w:rPr>
              <w:t>Does the system produce and maintain required technical documentation?</w:t>
            </w:r>
          </w:p>
        </w:tc>
        <w:tc>
          <w:tcPr>
            <w:tcW w:type="dxa" w:w="2556"/>
          </w:tcPr>
          <w:p>
            <w:pPr>
              <w:spacing w:after="0"/>
            </w:pPr>
            <w:r>
              <w:rPr>
                <w:rFonts w:ascii="Arial" w:hAnsi="Arial"/>
                <w:b w:val="0"/>
                <w:sz w:val="14"/>
              </w:rPr>
              <w:t>10%</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EU AI Act Art. 12, GDPR Art. 30, ISO/IEC 42001</w:t>
            </w:r>
          </w:p>
        </w:tc>
        <w:tc>
          <w:tcPr>
            <w:tcW w:type="dxa" w:w="2556"/>
          </w:tcPr>
          <w:p>
            <w:pPr>
              <w:spacing w:after="0"/>
            </w:pPr>
            <w:r>
              <w:rPr>
                <w:rFonts w:ascii="Arial" w:hAnsi="Arial"/>
                <w:b w:val="0"/>
                <w:sz w:val="14"/>
              </w:rPr>
              <w:t>Does the system maintain audit trails and evidence records?</w:t>
            </w:r>
          </w:p>
        </w:tc>
        <w:tc>
          <w:tcPr>
            <w:tcW w:type="dxa" w:w="2556"/>
          </w:tcPr>
          <w:p>
            <w:pPr>
              <w:spacing w:after="0"/>
            </w:pPr>
            <w:r>
              <w:rPr>
                <w:rFonts w:ascii="Arial" w:hAnsi="Arial"/>
                <w:b w:val="0"/>
                <w:sz w:val="14"/>
              </w:rPr>
              <w:t>10%</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EU AI Act Art. 13, GDPR Art. 5, NIST AI RMF Govern</w:t>
            </w:r>
          </w:p>
        </w:tc>
        <w:tc>
          <w:tcPr>
            <w:tcW w:type="dxa" w:w="2556"/>
          </w:tcPr>
          <w:p>
            <w:pPr>
              <w:spacing w:after="0"/>
            </w:pPr>
            <w:r>
              <w:rPr>
                <w:rFonts w:ascii="Arial" w:hAnsi="Arial"/>
                <w:b w:val="0"/>
                <w:sz w:val="14"/>
              </w:rPr>
              <w:t>Does the system provide explainability and disclosure mechanisms?</w:t>
            </w:r>
          </w:p>
        </w:tc>
        <w:tc>
          <w:tcPr>
            <w:tcW w:type="dxa" w:w="2556"/>
          </w:tcPr>
          <w:p>
            <w:pPr>
              <w:spacing w:after="0"/>
            </w:pPr>
            <w:r>
              <w:rPr>
                <w:rFonts w:ascii="Arial" w:hAnsi="Arial"/>
                <w:b w:val="0"/>
                <w:sz w:val="14"/>
              </w:rPr>
              <w:t>10%</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EU AI Act Art. 14, Singapore MGF Agentic AI, NIST AI RMF Manage</w:t>
            </w:r>
          </w:p>
        </w:tc>
        <w:tc>
          <w:tcPr>
            <w:tcW w:type="dxa" w:w="2556"/>
          </w:tcPr>
          <w:p>
            <w:pPr>
              <w:spacing w:after="0"/>
            </w:pPr>
            <w:r>
              <w:rPr>
                <w:rFonts w:ascii="Arial" w:hAnsi="Arial"/>
                <w:b w:val="0"/>
                <w:sz w:val="14"/>
              </w:rPr>
              <w:t>Does the system support human review, approval, and intervention?</w:t>
            </w:r>
          </w:p>
        </w:tc>
        <w:tc>
          <w:tcPr>
            <w:tcW w:type="dxa" w:w="2556"/>
          </w:tcPr>
          <w:p>
            <w:pPr>
              <w:spacing w:after="0"/>
            </w:pPr>
            <w:r>
              <w:rPr>
                <w:rFonts w:ascii="Arial" w:hAnsi="Arial"/>
                <w:b w:val="0"/>
                <w:sz w:val="14"/>
              </w:rPr>
              <w:t>15%</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EU AI Act Art. 15, ISO/IEC 42001, NIST AI RMF Manage</w:t>
            </w:r>
          </w:p>
        </w:tc>
        <w:tc>
          <w:tcPr>
            <w:tcW w:type="dxa" w:w="2556"/>
          </w:tcPr>
          <w:p>
            <w:pPr>
              <w:spacing w:after="0"/>
            </w:pPr>
            <w:r>
              <w:rPr>
                <w:rFonts w:ascii="Arial" w:hAnsi="Arial"/>
                <w:b w:val="0"/>
                <w:sz w:val="14"/>
              </w:rPr>
              <w:t>Does the system implement security controls and access management?</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GDPR Art. 5, ISO/IEC 42001, Singapore MGF Agentic AI</w:t>
            </w:r>
          </w:p>
        </w:tc>
        <w:tc>
          <w:tcPr>
            <w:tcW w:type="dxa" w:w="2556"/>
          </w:tcPr>
          <w:p>
            <w:pPr>
              <w:spacing w:after="0"/>
            </w:pPr>
            <w:r>
              <w:rPr>
                <w:rFonts w:ascii="Arial" w:hAnsi="Arial"/>
                <w:b w:val="0"/>
                <w:sz w:val="14"/>
              </w:rPr>
              <w:t>Does the system assign responsibility and track decisions?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EU AI Act recitals, GDPR Art. 22, Singapore MGF Agentic AI</w:t>
            </w:r>
          </w:p>
        </w:tc>
        <w:tc>
          <w:tcPr>
            <w:tcW w:type="dxa" w:w="2556"/>
          </w:tcPr>
          <w:p>
            <w:pPr>
              <w:spacing w:after="0"/>
            </w:pPr>
            <w:r>
              <w:rPr>
                <w:rFonts w:ascii="Arial" w:hAnsi="Arial"/>
                <w:b w:val="0"/>
                <w:sz w:val="14"/>
              </w:rPr>
              <w:t>Does the system support dispute and appeal mechanisms?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EU AI Act Art. 72, NIST AI RMF Manage, ISO/IEC 42001</w:t>
            </w:r>
          </w:p>
        </w:tc>
        <w:tc>
          <w:tcPr>
            <w:tcW w:type="dxa" w:w="2556"/>
          </w:tcPr>
          <w:p>
            <w:pPr>
              <w:spacing w:after="0"/>
            </w:pPr>
            <w:r>
              <w:rPr>
                <w:rFonts w:ascii="Arial" w:hAnsi="Arial"/>
                <w:b w:val="0"/>
                <w:sz w:val="14"/>
              </w:rPr>
              <w:t>Does the system support continuous monitoring and incident detection?</w:t>
            </w:r>
          </w:p>
        </w:tc>
        <w:tc>
          <w:tcPr>
            <w:tcW w:type="dxa" w:w="2556"/>
          </w:tcPr>
          <w:p>
            <w:pPr>
              <w:spacing w:after="0"/>
            </w:pPr>
            <w:r>
              <w:rPr>
                <w:rFonts w:ascii="Arial" w:hAnsi="Arial"/>
                <w:b w:val="0"/>
                <w:sz w:val="14"/>
              </w:rPr>
              <w:t>10%</w:t>
            </w:r>
          </w:p>
        </w:tc>
      </w:tr>
    </w:tbl>
    <w:p>
      <w:pPr>
        <w:pStyle w:val="Heading2"/>
      </w:pPr>
      <w:r>
        <w:t>7.3 Shared Scoring Procedure</w:t>
      </w:r>
    </w:p>
    <w:p>
      <w:pPr>
        <w:spacing w:after="56"/>
      </w:pPr>
      <w:r>
        <w:t>RCCS and ALCS use the same scoring procedure. This section defines the shared raw scoring scale, evidence confidence multiplier, dimension score formula, and cross-framework composite score calculation used throughout the white paper.</w:t>
      </w:r>
    </w:p>
    <w:p>
      <w:pPr>
        <w:pStyle w:val="Heading3"/>
      </w:pPr>
      <w:r>
        <w:t>7.3.1 Raw Scoring Scale (0-5)</w:t>
      </w:r>
    </w:p>
    <w:p>
      <w:pPr>
        <w:spacing w:after="56"/>
      </w:pPr>
      <w:r>
        <w:t>Each dimension is scored on a 0-5 raw scale based on the strength of system support:</w:t>
      </w:r>
    </w:p>
    <w:p>
      <w:pPr>
        <w:pStyle w:val="ListBullet"/>
        <w:spacing w:after="56"/>
      </w:pPr>
      <w:r>
        <w:t>0 = No capability; no evidence - The system does not provide the capability, or no evidence is available to evaluate it.</w:t>
      </w:r>
    </w:p>
    <w:p>
      <w:pPr>
        <w:pStyle w:val="ListBullet"/>
        <w:spacing w:after="56"/>
      </w:pPr>
      <w:r>
        <w:t>1 = Minimal capability; weak evidence - Documentation mentions the capability, but no implementation primitives are evident.</w:t>
      </w:r>
    </w:p>
    <w:p>
      <w:pPr>
        <w:pStyle w:val="ListBullet"/>
        <w:spacing w:after="56"/>
      </w:pPr>
      <w:r>
        <w:t>2 = Partial capability; some evidence - Some primitives exist, but coverage is incomplete or limited to specific contexts.</w:t>
      </w:r>
    </w:p>
    <w:p>
      <w:pPr>
        <w:pStyle w:val="ListBullet"/>
        <w:spacing w:after="56"/>
      </w:pPr>
      <w:r>
        <w:t>3 = Moderate capability; documented evidence - Most primitives exist, with some gaps or limitations in integration or coverage.</w:t>
      </w:r>
    </w:p>
    <w:p>
      <w:pPr>
        <w:pStyle w:val="ListBullet"/>
        <w:spacing w:after="56"/>
      </w:pPr>
      <w:r>
        <w:t>4 = Strong capability; validated evidence - Strong primitives exist and are mostly integrated across the system's scope.</w:t>
      </w:r>
    </w:p>
    <w:p>
      <w:pPr>
        <w:pStyle w:val="ListBullet"/>
        <w:spacing w:after="56"/>
      </w:pPr>
      <w:r>
        <w:t>5 = Complete capability demonstrated by implementation evidence, formal audit evidence, protocol-level evidence, or validated operational artifacts - Legal text may establish a regulatory baseline but does not by itself prove implementation.</w:t>
      </w:r>
    </w:p>
    <w:p>
      <w:pPr>
        <w:spacing w:after="56"/>
      </w:pPr>
      <w:r>
        <w:t>This scale is applied consistently across all RCCS and ALCS dimensions. The score reflects system capability, not organizational practice. A system may score 5 on a dimension while the organization using it scores lower due to deployment gaps, policy weaknesses, or incomplete adoption.</w:t>
      </w:r>
    </w:p>
    <w:p>
      <w:pPr>
        <w:pStyle w:val="Heading3"/>
      </w:pPr>
      <w:r>
        <w:t>7.3.2 Evidence Confidence Multiplier</w:t>
      </w:r>
    </w:p>
    <w:p>
      <w:pPr>
        <w:spacing w:after="56"/>
      </w:pPr>
      <w:r>
        <w:t>The evidence multiplier adjusts the dimension score based on the quality and verifiability of evidence used to evaluate the system. It reflects the confidence level in the scoring assessment.</w:t>
      </w:r>
    </w:p>
    <w:p>
      <w:pPr>
        <w:spacing w:after="56"/>
      </w:pPr>
      <w:r>
        <w:t>Evidence multiplier values:</w:t>
      </w:r>
    </w:p>
    <w:p>
      <w:pPr>
        <w:pStyle w:val="ListBullet"/>
        <w:spacing w:after="56"/>
      </w:pPr>
      <w:r>
        <w:t>L1: 1.00</w:t>
      </w:r>
    </w:p>
    <w:p>
      <w:pPr>
        <w:pStyle w:val="ListBullet"/>
        <w:spacing w:after="56"/>
      </w:pPr>
      <w:r>
        <w:t>L2: 0.85</w:t>
      </w:r>
    </w:p>
    <w:p>
      <w:pPr>
        <w:pStyle w:val="ListBullet"/>
        <w:spacing w:after="56"/>
      </w:pPr>
      <w:r>
        <w:t>L3: 0.75</w:t>
      </w:r>
    </w:p>
    <w:p>
      <w:pPr>
        <w:pStyle w:val="ListBullet"/>
        <w:spacing w:after="56"/>
      </w:pPr>
      <w:r>
        <w:t>L4: 0.55</w:t>
      </w:r>
    </w:p>
    <w:p>
      <w:pPr>
        <w:pStyle w:val="ListBullet"/>
        <w:spacing w:after="56"/>
      </w:pPr>
      <w:r>
        <w:t>L5: 0.35</w:t>
      </w:r>
    </w:p>
    <w:p>
      <w:pPr>
        <w:spacing w:after="56"/>
      </w:pPr>
      <w:r>
        <w:t>The evidence multiplier is applied to each raw dimension score using the canonical normalized formula:</w:t>
      </w:r>
    </w:p>
    <w:p>
      <w:pPr>
        <w:spacing w:after="56"/>
      </w:pPr>
      <w:r>
        <w:t>Dimension Score = (Raw Score / 5) × 100 × Evidence Confidence Multiplier</w:t>
      </w:r>
    </w:p>
    <w:p>
      <w:pPr>
        <w:spacing w:after="56"/>
      </w:pPr>
      <w:r>
        <w:t>This ensures that scores based on weaker evidence are discounted appropriately.</w:t>
      </w:r>
    </w:p>
    <w:p>
      <w:pPr>
        <w:pStyle w:val="Heading3"/>
      </w:pPr>
      <w:r>
        <w:t>7.3.3 Dimension Weighting</w:t>
      </w:r>
    </w:p>
    <w:p>
      <w:pPr>
        <w:spacing w:after="56"/>
      </w:pPr>
      <w:r>
        <w:t>Each dimension has a weight that reflects its relative importance in the regulatory baseline. Weights are expressed as percentages and sum to 100% for each scoring framework.</w:t>
      </w:r>
    </w:p>
    <w:p>
      <w:pPr>
        <w:spacing w:after="56"/>
      </w:pPr>
      <w:r>
        <w:t>For RCCS, the weights are:</w:t>
      </w:r>
    </w:p>
    <w:p>
      <w:pPr>
        <w:pStyle w:val="ListBullet"/>
        <w:spacing w:after="56"/>
      </w:pPr>
      <w:r>
        <w:t>Risk Management: 20%</w:t>
      </w:r>
    </w:p>
    <w:p>
      <w:pPr>
        <w:pStyle w:val="ListBullet"/>
        <w:spacing w:after="56"/>
      </w:pPr>
      <w:r>
        <w:t>Human Oversight: 15%</w:t>
      </w:r>
    </w:p>
    <w:p>
      <w:pPr>
        <w:pStyle w:val="ListBullet"/>
        <w:spacing w:after="56"/>
      </w:pPr>
      <w:r>
        <w:t>Data Governance: 10%</w:t>
      </w:r>
    </w:p>
    <w:p>
      <w:pPr>
        <w:pStyle w:val="ListBullet"/>
        <w:spacing w:after="56"/>
      </w:pPr>
      <w:r>
        <w:t>Documentation: 10%</w:t>
      </w:r>
    </w:p>
    <w:p>
      <w:pPr>
        <w:pStyle w:val="ListBullet"/>
        <w:spacing w:after="56"/>
      </w:pPr>
      <w:r>
        <w:t>Record-Keeping: 10%</w:t>
      </w:r>
    </w:p>
    <w:p>
      <w:pPr>
        <w:pStyle w:val="ListBullet"/>
        <w:spacing w:after="56"/>
      </w:pPr>
      <w:r>
        <w:t>Transparency: 10%</w:t>
      </w:r>
    </w:p>
    <w:p>
      <w:pPr>
        <w:pStyle w:val="ListBullet"/>
        <w:spacing w:after="56"/>
      </w:pPr>
      <w:r>
        <w:t>Monitoring: 10%</w:t>
      </w:r>
    </w:p>
    <w:p>
      <w:pPr>
        <w:pStyle w:val="ListBullet"/>
        <w:spacing w:after="56"/>
      </w:pPr>
      <w:r>
        <w:t>Security: 5%</w:t>
      </w:r>
    </w:p>
    <w:p>
      <w:pPr>
        <w:pStyle w:val="ListBullet"/>
        <w:spacing w:after="56"/>
      </w:pPr>
      <w:r>
        <w:t>Accountability: 5%</w:t>
      </w:r>
    </w:p>
    <w:p>
      <w:pPr>
        <w:pStyle w:val="ListBullet"/>
        <w:spacing w:after="56"/>
      </w:pPr>
      <w:r>
        <w:t>Contestability: 5%</w:t>
      </w:r>
    </w:p>
    <w:p>
      <w:pPr>
        <w:spacing w:after="56"/>
      </w:pPr>
      <w:r>
        <w:t>Weights are fixed for this version of the white paper. Future versions may adjust weights based on regulatory evolution or stakeholder feedback.</w:t>
      </w:r>
    </w:p>
    <w:p>
      <w:pPr>
        <w:pStyle w:val="Heading3"/>
      </w:pPr>
      <w:r>
        <w:t>7.3.4 RCCS Score Calculation</w:t>
      </w:r>
    </w:p>
    <w:p>
      <w:pPr>
        <w:spacing w:after="56"/>
      </w:pPr>
      <w:r>
        <w:t>RCCS is calculated from adjusted RCCS dimension scores. Each dimension first receives a raw score and evidence multiplier:</w:t>
      </w:r>
    </w:p>
    <w:p>
      <w:pPr>
        <w:spacing w:after="56"/>
      </w:pPr>
      <w:r>
        <w:t>Dimension Score = (Raw Score / 5) × 100 × Evidence Confidence Multiplier</w:t>
      </w:r>
    </w:p>
    <w:p>
      <w:pPr>
        <w:spacing w:after="56"/>
      </w:pPr>
      <w:r>
        <w:t>Where:</w:t>
      </w:r>
    </w:p>
    <w:p>
      <w:pPr>
        <w:pStyle w:val="ListBullet"/>
        <w:spacing w:after="56"/>
      </w:pPr>
      <w:r>
        <w:t>Raw Score is the 0-5 capability score for each dimension</w:t>
      </w:r>
    </w:p>
    <w:p>
      <w:pPr>
        <w:pStyle w:val="ListBullet"/>
        <w:spacing w:after="56"/>
      </w:pPr>
      <w:r>
        <w:t>Evidence Confidence Multiplier is L1 = 1.00, L2 = 0.85, L3 = 0.75, L4 = 0.55, or L5 = 0.35</w:t>
      </w:r>
    </w:p>
    <w:p>
      <w:pPr>
        <w:spacing w:after="56"/>
      </w:pPr>
      <w:r>
        <w:t>The RCCS framework score is the aggregate of adjusted RCCS dimension scores. The cross-framework composite score is defined in Chapter 9 as:</w:t>
      </w:r>
    </w:p>
    <w:p>
      <w:pPr>
        <w:spacing w:after="56"/>
      </w:pPr>
      <w:r>
        <w:t>Composite Score = 0.40 × RCCS + 0.60 × ALCS</w:t>
      </w:r>
    </w:p>
    <w:p>
      <w:pPr>
        <w:spacing w:after="56"/>
      </w:pPr>
      <w:r>
        <w:t>The following table illustrates the calculation formula.</w:t>
      </w:r>
    </w:p>
    <w:p>
      <w:pPr>
        <w:keepNext/>
      </w:pPr>
      <w:r>
        <w:rPr>
          <w:b/>
          <w:sz w:val="16"/>
        </w:rPr>
        <w:t>Table T-07-02: RCCS Dimension Score Calculation Formula</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Component</w:t>
            </w:r>
          </w:p>
        </w:tc>
        <w:tc>
          <w:tcPr>
            <w:tcW w:type="dxa" w:w="3408"/>
          </w:tcPr>
          <w:p>
            <w:pPr>
              <w:spacing w:after="0"/>
            </w:pPr>
            <w:r>
              <w:rPr>
                <w:rFonts w:ascii="Arial" w:hAnsi="Arial"/>
                <w:b/>
                <w:sz w:val="14"/>
              </w:rPr>
              <w:t>Formula</w:t>
            </w:r>
          </w:p>
        </w:tc>
        <w:tc>
          <w:tcPr>
            <w:tcW w:type="dxa" w:w="3408"/>
          </w:tcPr>
          <w:p>
            <w:pPr>
              <w:spacing w:after="0"/>
            </w:pPr>
            <w:r>
              <w:rPr>
                <w:rFonts w:ascii="Arial" w:hAnsi="Arial"/>
                <w:b/>
                <w:sz w:val="14"/>
              </w:rPr>
              <w:t>Example</w:t>
            </w:r>
          </w:p>
        </w:tc>
      </w:tr>
      <w:tr>
        <w:tc>
          <w:tcPr>
            <w:tcW w:type="dxa" w:w="3408"/>
          </w:tcPr>
          <w:p>
            <w:pPr>
              <w:spacing w:after="0"/>
            </w:pPr>
            <w:r>
              <w:rPr>
                <w:rFonts w:ascii="Arial" w:hAnsi="Arial"/>
                <w:b w:val="0"/>
                <w:sz w:val="14"/>
              </w:rPr>
              <w:t>Raw Score</w:t>
            </w:r>
          </w:p>
        </w:tc>
        <w:tc>
          <w:tcPr>
            <w:tcW w:type="dxa" w:w="3408"/>
          </w:tcPr>
          <w:p>
            <w:pPr>
              <w:spacing w:after="0"/>
            </w:pPr>
            <w:r>
              <w:rPr>
                <w:rFonts w:ascii="Arial" w:hAnsi="Arial"/>
                <w:b w:val="0"/>
                <w:sz w:val="14"/>
              </w:rPr>
              <w:t>0-5 scale based on capability strength</w:t>
            </w:r>
          </w:p>
        </w:tc>
        <w:tc>
          <w:tcPr>
            <w:tcW w:type="dxa" w:w="3408"/>
          </w:tcPr>
          <w:p>
            <w:pPr>
              <w:spacing w:after="0"/>
            </w:pPr>
            <w:r>
              <w:rPr>
                <w:rFonts w:ascii="Arial" w:hAnsi="Arial"/>
                <w:b w:val="0"/>
                <w:sz w:val="14"/>
              </w:rPr>
              <w:t>Risk Management = 4</w:t>
            </w:r>
          </w:p>
        </w:tc>
      </w:tr>
      <w:tr>
        <w:tc>
          <w:tcPr>
            <w:tcW w:type="dxa" w:w="3408"/>
          </w:tcPr>
          <w:p>
            <w:pPr>
              <w:spacing w:after="0"/>
            </w:pPr>
            <w:r>
              <w:rPr>
                <w:rFonts w:ascii="Arial" w:hAnsi="Arial"/>
                <w:b w:val="0"/>
                <w:sz w:val="14"/>
              </w:rPr>
              <w:t>Evidence Multiplier</w:t>
            </w:r>
          </w:p>
        </w:tc>
        <w:tc>
          <w:tcPr>
            <w:tcW w:type="dxa" w:w="3408"/>
          </w:tcPr>
          <w:p>
            <w:pPr>
              <w:spacing w:after="0"/>
            </w:pPr>
            <w:r>
              <w:rPr>
                <w:rFonts w:ascii="Arial" w:hAnsi="Arial"/>
                <w:b w:val="0"/>
                <w:sz w:val="14"/>
              </w:rPr>
              <w:t>L1-L5 multiplier</w:t>
            </w:r>
          </w:p>
        </w:tc>
        <w:tc>
          <w:tcPr>
            <w:tcW w:type="dxa" w:w="3408"/>
          </w:tcPr>
          <w:p>
            <w:pPr>
              <w:spacing w:after="0"/>
            </w:pPr>
            <w:r>
              <w:rPr>
                <w:rFonts w:ascii="Arial" w:hAnsi="Arial"/>
                <w:b w:val="0"/>
                <w:sz w:val="14"/>
              </w:rPr>
              <w:t>L2 evidence = 0.85</w:t>
            </w:r>
          </w:p>
        </w:tc>
      </w:tr>
      <w:tr>
        <w:tc>
          <w:tcPr>
            <w:tcW w:type="dxa" w:w="3408"/>
          </w:tcPr>
          <w:p>
            <w:pPr>
              <w:spacing w:after="0"/>
            </w:pPr>
            <w:r>
              <w:rPr>
                <w:rFonts w:ascii="Arial" w:hAnsi="Arial"/>
                <w:b w:val="0"/>
                <w:sz w:val="14"/>
              </w:rPr>
              <w:t>Dimension Score</w:t>
            </w:r>
          </w:p>
        </w:tc>
        <w:tc>
          <w:tcPr>
            <w:tcW w:type="dxa" w:w="3408"/>
          </w:tcPr>
          <w:p>
            <w:pPr>
              <w:spacing w:after="0"/>
            </w:pPr>
            <w:r>
              <w:rPr>
                <w:rFonts w:ascii="Arial" w:hAnsi="Arial"/>
                <w:b w:val="0"/>
                <w:sz w:val="14"/>
              </w:rPr>
              <w:t>(Raw Score / 5) × 100 × Evidence Multiplier</w:t>
            </w:r>
          </w:p>
        </w:tc>
        <w:tc>
          <w:tcPr>
            <w:tcW w:type="dxa" w:w="3408"/>
          </w:tcPr>
          <w:p>
            <w:pPr>
              <w:spacing w:after="0"/>
            </w:pPr>
            <w:r>
              <w:rPr>
                <w:rFonts w:ascii="Arial" w:hAnsi="Arial"/>
                <w:b w:val="0"/>
                <w:sz w:val="14"/>
              </w:rPr>
              <w:t>(4 / 5) × 100 × 0.85 = 68.0</w:t>
            </w:r>
          </w:p>
        </w:tc>
      </w:tr>
      <w:tr>
        <w:tc>
          <w:tcPr>
            <w:tcW w:type="dxa" w:w="3408"/>
          </w:tcPr>
          <w:p>
            <w:pPr>
              <w:spacing w:after="0"/>
            </w:pPr>
            <w:r>
              <w:rPr>
                <w:rFonts w:ascii="Arial" w:hAnsi="Arial"/>
                <w:b w:val="0"/>
                <w:sz w:val="14"/>
              </w:rPr>
              <w:t>Framework Score</w:t>
            </w:r>
          </w:p>
        </w:tc>
        <w:tc>
          <w:tcPr>
            <w:tcW w:type="dxa" w:w="3408"/>
          </w:tcPr>
          <w:p>
            <w:pPr>
              <w:spacing w:after="0"/>
            </w:pPr>
            <w:r>
              <w:rPr>
                <w:rFonts w:ascii="Arial" w:hAnsi="Arial"/>
                <w:b w:val="0"/>
                <w:sz w:val="14"/>
              </w:rPr>
              <w:t>Aggregate of adjusted RCCS dimension scores</w:t>
            </w:r>
          </w:p>
        </w:tc>
        <w:tc>
          <w:tcPr>
            <w:tcW w:type="dxa" w:w="3408"/>
          </w:tcPr>
          <w:p>
            <w:pPr>
              <w:spacing w:after="0"/>
            </w:pPr>
            <w:r>
              <w:rPr>
                <w:rFonts w:ascii="Arial" w:hAnsi="Arial"/>
                <w:b w:val="0"/>
                <w:sz w:val="14"/>
              </w:rPr>
              <w:t>RCCS = aggregate RCCS score</w:t>
            </w:r>
          </w:p>
        </w:tc>
      </w:tr>
      <w:tr>
        <w:tc>
          <w:tcPr>
            <w:tcW w:type="dxa" w:w="3408"/>
          </w:tcPr>
          <w:p>
            <w:pPr>
              <w:spacing w:after="0"/>
            </w:pPr>
            <w:r>
              <w:rPr>
                <w:rFonts w:ascii="Arial" w:hAnsi="Arial"/>
                <w:b w:val="0"/>
                <w:sz w:val="14"/>
              </w:rPr>
              <w:t>Cross-Framework Composite</w:t>
            </w:r>
          </w:p>
        </w:tc>
        <w:tc>
          <w:tcPr>
            <w:tcW w:type="dxa" w:w="3408"/>
          </w:tcPr>
          <w:p>
            <w:pPr>
              <w:spacing w:after="0"/>
            </w:pPr>
            <w:r>
              <w:rPr>
                <w:rFonts w:ascii="Arial" w:hAnsi="Arial"/>
                <w:b w:val="0"/>
                <w:sz w:val="14"/>
              </w:rPr>
              <w:t>0.40 × RCCS + 0.60 × ALCS</w:t>
            </w:r>
          </w:p>
        </w:tc>
        <w:tc>
          <w:tcPr>
            <w:tcW w:type="dxa" w:w="3408"/>
          </w:tcPr>
          <w:p>
            <w:pPr>
              <w:spacing w:after="0"/>
            </w:pPr>
            <w:r>
              <w:rPr>
                <w:rFonts w:ascii="Arial" w:hAnsi="Arial"/>
                <w:b w:val="0"/>
                <w:sz w:val="14"/>
              </w:rPr>
              <w:t>See Chapter 9</w:t>
            </w:r>
          </w:p>
        </w:tc>
      </w:tr>
    </w:tbl>
    <w:p>
      <w:pPr>
        <w:spacing w:after="56"/>
      </w:pPr>
      <w:r>
        <w:t>This calculation method is used for both RCCS and ALCS. The only difference is the set of dimensions and their weights.</w:t>
      </w:r>
    </w:p>
    <w:p>
      <w:pPr>
        <w:pStyle w:val="Heading2"/>
      </w:pPr>
      <w:r>
        <w:t>7.4 RCCS Boundary Statement</w:t>
      </w:r>
    </w:p>
    <w:p>
      <w:pPr>
        <w:spacing w:after="56"/>
      </w:pPr>
      <w:r>
        <w:t>RCCS is an analytical scoring framework, not a legal compliance score. This boundary must be understood clearly to avoid misinterpretation.</w:t>
      </w:r>
    </w:p>
    <w:p>
      <w:pPr>
        <w:spacing w:after="56"/>
      </w:pPr>
      <w:r>
        <w:t>What RCCS is:</w:t>
      </w:r>
    </w:p>
    <w:p>
      <w:pPr>
        <w:pStyle w:val="ListBullet"/>
        <w:spacing w:after="56"/>
      </w:pPr>
      <w:r>
        <w:t>An analytical framework for comparing system capabilities against regulatory ideals</w:t>
      </w:r>
    </w:p>
    <w:p>
      <w:pPr>
        <w:pStyle w:val="ListBullet"/>
        <w:spacing w:after="56"/>
      </w:pPr>
      <w:r>
        <w:t>A structured method for evaluating whether a system provides governance primitives</w:t>
      </w:r>
    </w:p>
    <w:p>
      <w:pPr>
        <w:pStyle w:val="ListBullet"/>
        <w:spacing w:after="56"/>
      </w:pPr>
      <w:r>
        <w:t>A tool for buyers, auditors, and governance teams to assess system readiness</w:t>
      </w:r>
    </w:p>
    <w:p>
      <w:pPr>
        <w:pStyle w:val="ListBullet"/>
        <w:spacing w:after="56"/>
      </w:pPr>
      <w:r>
        <w:t>A bridge between regulatory language and engineering implementation</w:t>
      </w:r>
    </w:p>
    <w:p>
      <w:pPr>
        <w:spacing w:after="56"/>
      </w:pPr>
      <w:r>
        <w:t>What RCCS is not:</w:t>
      </w:r>
    </w:p>
    <w:p>
      <w:pPr>
        <w:pStyle w:val="ListBullet"/>
        <w:spacing w:after="56"/>
      </w:pPr>
      <w:r>
        <w:t>A legal compliance certification or conformity assessment</w:t>
      </w:r>
    </w:p>
    <w:p>
      <w:pPr>
        <w:pStyle w:val="ListBullet"/>
        <w:spacing w:after="56"/>
      </w:pPr>
      <w:r>
        <w:t>A regulatory approval or endorsement</w:t>
      </w:r>
    </w:p>
    <w:p>
      <w:pPr>
        <w:pStyle w:val="ListBullet"/>
        <w:spacing w:after="56"/>
      </w:pPr>
      <w:r>
        <w:t>A guarantee that a system meets all legal obligations</w:t>
      </w:r>
    </w:p>
    <w:p>
      <w:pPr>
        <w:pStyle w:val="ListBullet"/>
        <w:spacing w:after="56"/>
      </w:pPr>
      <w:r>
        <w:t>A substitute for legal counsel, compliance review, or risk assessment</w:t>
      </w:r>
    </w:p>
    <w:p>
      <w:pPr>
        <w:spacing w:after="56"/>
      </w:pPr>
      <w:r>
        <w:t>Key boundary principles:</w:t>
      </w:r>
    </w:p>
    <w:p>
      <w:pPr>
        <w:pStyle w:val="ListNumber"/>
        <w:spacing w:after="56"/>
      </w:pPr>
      <w:r>
        <w:t>High RCCS score does NOT mean legal compliance. A system may score well on RCCS while the organization using it fails to comply with legal obligations due to deployment gaps, policy weaknesses, incomplete adoption, or jurisdictional differences.</w:t>
      </w:r>
    </w:p>
    <w:p>
      <w:pPr>
        <w:pStyle w:val="ListNumber"/>
        <w:spacing w:after="56"/>
      </w:pPr>
      <w:r>
        <w:t>Low RCCS score does NOT mean non-compliance. A system may score lower on RCCS while the organization achieves compliance through compensating controls, manual processes, or alternative governance mechanisms.</w:t>
      </w:r>
    </w:p>
    <w:p>
      <w:pPr>
        <w:pStyle w:val="ListNumber"/>
        <w:spacing w:after="56"/>
      </w:pPr>
      <w:r>
        <w:t>RCCS measures system capability, not organizational practice. A system may provide strong governance primitives while the organization fails to use them. Conversely, an organization may achieve strong governance through processes that are not reflected in system capabilities.</w:t>
      </w:r>
    </w:p>
    <w:p>
      <w:pPr>
        <w:pStyle w:val="ListNumber"/>
        <w:spacing w:after="56"/>
      </w:pPr>
      <w:r>
        <w:t>RCCS is context-independent, but compliance is context-dependent. RCCS evaluates system capabilities without regard to deployment context, risk class, jurisdiction, or use case. Legal compliance depends on all of these factors.</w:t>
      </w:r>
    </w:p>
    <w:p>
      <w:pPr>
        <w:spacing w:after="56"/>
      </w:pPr>
      <w:r>
        <w:t>The purpose of this boundary statement is to prevent over-claiming. RCCS is a useful analytical tool, but it is not a compliance certification. Organizations must not rely on RCCS scores as proof of legal compliance. Buyers must not treat high RCCS scores as a substitute for due diligence, legal review, or risk assessment.</w:t>
      </w:r>
    </w:p>
    <w:p>
      <w:pPr>
        <w:pStyle w:val="Heading2"/>
      </w:pPr>
      <w:r>
        <w:t>7.5 Bridge to Dimension Sections</w:t>
      </w:r>
    </w:p>
    <w:p>
      <w:pPr>
        <w:spacing w:after="56"/>
      </w:pPr>
      <w:r>
        <w:t>The following sections (7.6 through 7.15) detail each RCCS dimension. Each dimension section includes:</w:t>
      </w:r>
    </w:p>
    <w:p>
      <w:pPr>
        <w:pStyle w:val="ListBullet"/>
        <w:spacing w:after="56"/>
      </w:pPr>
      <w:r>
        <w:t>Regulatory basis - Which frameworks and requirements inform the dimension</w:t>
      </w:r>
    </w:p>
    <w:p>
      <w:pPr>
        <w:pStyle w:val="ListBullet"/>
        <w:spacing w:after="56"/>
      </w:pPr>
      <w:r>
        <w:t>Core question - What the dimension evaluates</w:t>
      </w:r>
    </w:p>
    <w:p>
      <w:pPr>
        <w:pStyle w:val="ListBullet"/>
        <w:spacing w:after="56"/>
      </w:pPr>
      <w:r>
        <w:t>Scoring criteria - How to apply the 0-5 raw scale to system capabilities</w:t>
      </w:r>
    </w:p>
    <w:p>
      <w:pPr>
        <w:pStyle w:val="ListBullet"/>
        <w:spacing w:after="56"/>
      </w:pPr>
      <w:r>
        <w:t>System mapping guidance - How to evaluate whether a system supports the dimension</w:t>
      </w:r>
    </w:p>
    <w:p>
      <w:pPr>
        <w:spacing w:after="56"/>
      </w:pPr>
      <w:r>
        <w:t>The dimension sections provide the detailed rubrics required to score systems consistently and reproducibly. They translate regulatory abstractions into concrete system features that can be evaluated through documentation review, API inspection, and evidence analysis.</w:t>
      </w:r>
    </w:p>
    <w:p>
      <w:pPr>
        <w:spacing w:after="56"/>
      </w:pPr>
      <w:r>
        <w:t>The body chapter includes compact dimension rubrics for reader continuity; Appendix E provides the reusable detailed RCCS scoring reference.</w:t>
      </w:r>
    </w:p>
    <w:p>
      <w:pPr>
        <w:pStyle w:val="Heading2"/>
      </w:pPr>
      <w:r>
        <w:t>7.6 RCCS-01: Risk Management</w:t>
      </w:r>
    </w:p>
    <w:p>
      <w:pPr>
        <w:pStyle w:val="Heading3"/>
      </w:pPr>
      <w:r>
        <w:t>Regulatory Basis</w:t>
      </w:r>
    </w:p>
    <w:p>
      <w:pPr>
        <w:spacing w:after="56"/>
      </w:pPr>
      <w:r>
        <w:t>Risk management is the highest-weighted RCCS dimension because it appears as a core requirement across all major frameworks. EU AI Act Article 9 requires providers of high-risk AI systems to establish, implement, document, and maintain a risk management system. NIST AI RMF 1.0 structures its entire framework around four risk management functions: Govern, Map, Measure, and Manage. ISO/IEC 42001 requires organizations to establish and maintain processes for identifying, analyzing, evaluating, and treating AI-related risks throughout the system lifecycle.</w:t>
      </w:r>
    </w:p>
    <w:p>
      <w:pPr>
        <w:spacing w:after="56"/>
      </w:pPr>
      <w:r>
        <w:t>These frameworks converge on a shared expectation: AI systems must support continuous risk identification, assessment, mitigation, and monitoring. Risk management is not a one-time activity performed during model development. It is a lifecycle discipline that must be maintained across deployment, operation, updates, and decommissioning.</w:t>
      </w:r>
    </w:p>
    <w:p>
      <w:pPr>
        <w:pStyle w:val="Heading3"/>
      </w:pPr>
      <w:r>
        <w:t>Core Question</w:t>
      </w:r>
    </w:p>
    <w:p>
      <w:pPr>
        <w:spacing w:after="56"/>
      </w:pPr>
      <w:r>
        <w:t>Does the system support risk identification, assessment, mitigation, and continuous monitoring across the AI lifecycle?</w:t>
      </w:r>
    </w:p>
    <w:p>
      <w:pPr>
        <w:pStyle w:val="Heading3"/>
      </w:pPr>
      <w:r>
        <w:t>Scoring Rubric</w:t>
      </w:r>
    </w:p>
    <w:p>
      <w:pPr>
        <w:keepNext/>
      </w:pPr>
      <w:r>
        <w:rPr>
          <w:b/>
          <w:sz w:val="16"/>
        </w:rPr>
        <w:t>Table T-07-03: RCCS-01 Risk Management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risk management capability</w:t>
            </w:r>
          </w:p>
        </w:tc>
        <w:tc>
          <w:tcPr>
            <w:tcW w:type="dxa" w:w="3408"/>
          </w:tcPr>
          <w:p>
            <w:pPr>
              <w:spacing w:after="0"/>
            </w:pPr>
            <w:r>
              <w:rPr>
                <w:rFonts w:ascii="Arial" w:hAnsi="Arial"/>
                <w:b w:val="0"/>
                <w:sz w:val="14"/>
              </w:rPr>
              <w:t>No risk management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risk management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Risk assessment tools exist but are limited to specific phases (e.g., model development only) or lack integration with execution controls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Risk registers, assessment workflows, and mitigation tracking exist; some gaps in continuous monitoring or cross-lifecycle integration</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risk lifecycle support including identification, assessment, mitigation tracking, continuous monitoring, and risk-based controls integrated across all system phases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When evaluating a system for risk management capability, look for evidence of four core functions: risk identification, risk assessment, risk mitigation, and continuous monitoring.</w:t>
      </w:r>
    </w:p>
    <w:p>
      <w:pPr>
        <w:spacing w:after="56"/>
      </w:pPr>
      <w:r>
        <w:t>Risk identification requires mechanisms for discovering and documenting risks. Strong systems provide risk registers, risk taxonomies, and workflows for capturing risks from multiple sources including model evaluation, deployment review, incident reports, and external threat intelligence. Weak systems rely on manual documentation without structured capture mechanisms.</w:t>
      </w:r>
    </w:p>
    <w:p>
      <w:pPr>
        <w:spacing w:after="56"/>
      </w:pPr>
      <w:r>
        <w:t>Risk assessment requires methods for analyzing and prioritizing risks. Look for risk scoring frameworks, impact and likelihood matrices, risk classification schemes, and decision workflows that route high-risk scenarios to appropriate review or mitigation. Systems that provide only generic risk labels without assessment workflows score lower.</w:t>
      </w:r>
    </w:p>
    <w:p>
      <w:pPr>
        <w:spacing w:after="56"/>
      </w:pPr>
      <w:r>
        <w:t>Risk mitigation requires tracking and verification of risk controls. Strong systems link identified risks to specific mitigation measures, track implementation status, and verify that controls are active before deployment. Systems that document mitigations without enforcement or verification score lower.</w:t>
      </w:r>
    </w:p>
    <w:p>
      <w:pPr>
        <w:spacing w:after="56"/>
      </w:pPr>
      <w:r>
        <w:t>Continuous monitoring requires runtime risk detection and response. Look for monitoring dashboards, alerting mechanisms, drift detection, and incident response workflows that connect runtime observations back to the risk register. Systems that perform risk assessment only at design time without runtime monitoring score lower.</w:t>
      </w:r>
    </w:p>
    <w:p>
      <w:pPr>
        <w:pStyle w:val="Heading3"/>
      </w:pPr>
      <w:r>
        <w:t>Common Gaps</w:t>
      </w:r>
    </w:p>
    <w:p>
      <w:pPr>
        <w:spacing w:after="56"/>
      </w:pPr>
      <w:r>
        <w:t>The most common gap is risk assessment that exists for model development but does not extend to agent execution, tool use, or multi-agent handoffs. Organizations may have strong ML risk management practices while lacking risk controls for agentic workflows. Another common gap is risk registers that document risks without linking them to runtime controls or monitoring, creating a disconnect between risk identification and risk mitigation.</w:t>
      </w:r>
    </w:p>
    <w:p>
      <w:pPr>
        <w:pStyle w:val="Heading2"/>
      </w:pPr>
      <w:r>
        <w:t>7.7 RCCS-02: Data Governance</w:t>
      </w:r>
    </w:p>
    <w:p>
      <w:pPr>
        <w:pStyle w:val="Heading3"/>
      </w:pPr>
      <w:r>
        <w:t>Regulatory Basis</w:t>
      </w:r>
    </w:p>
    <w:p>
      <w:pPr>
        <w:spacing w:after="56"/>
      </w:pPr>
      <w:r>
        <w:t>Data governance requirements stem from GDPR Article 5, which establishes principles for processing personal data including data quality, purpose limitation, and data minimization. EU AI Act Article 10 requires providers to ensure that training, validation, and testing datasets are subject to appropriate data governance and management practices. ISO/IEC 42001 requires organizations to establish and maintain data management processes covering data quality, data lifecycle, and data provenance.</w:t>
      </w:r>
    </w:p>
    <w:p>
      <w:pPr>
        <w:spacing w:after="56"/>
      </w:pPr>
      <w:r>
        <w:t>For agentic systems, data governance extends beyond training datasets to include runtime data flows: retrieval results, tool payloads, memory contents, agent handoff data, and evidence records. Data governance must track what data enters the system, how it flows through agents and tools, where it is stored, and when it is deleted.</w:t>
      </w:r>
    </w:p>
    <w:p>
      <w:pPr>
        <w:pStyle w:val="Heading3"/>
      </w:pPr>
      <w:r>
        <w:t>Core Question</w:t>
      </w:r>
    </w:p>
    <w:p>
      <w:pPr>
        <w:spacing w:after="56"/>
      </w:pPr>
      <w:r>
        <w:t>Does the system track data lineage, quality, lifecycle, and provenance across agent execution?</w:t>
      </w:r>
    </w:p>
    <w:p>
      <w:pPr>
        <w:pStyle w:val="Heading3"/>
      </w:pPr>
      <w:r>
        <w:t>Scoring Rubric</w:t>
      </w:r>
    </w:p>
    <w:p>
      <w:pPr>
        <w:keepNext/>
      </w:pPr>
      <w:r>
        <w:rPr>
          <w:b/>
          <w:sz w:val="16"/>
        </w:rPr>
        <w:t>Table T-07-04: RCCS-02 Data Governance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data governance capability</w:t>
            </w:r>
          </w:p>
        </w:tc>
        <w:tc>
          <w:tcPr>
            <w:tcW w:type="dxa" w:w="3408"/>
          </w:tcPr>
          <w:p>
            <w:pPr>
              <w:spacing w:after="0"/>
            </w:pPr>
            <w:r>
              <w:rPr>
                <w:rFonts w:ascii="Arial" w:hAnsi="Arial"/>
                <w:b w:val="0"/>
                <w:sz w:val="14"/>
              </w:rPr>
              <w:t>No data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data governance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Data catalogs or lineage tracking exist but are limited to training data or specific data sources; runtime data flows are not tracked</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Data lineage, quality metrics, and lifecycle management exist for most data flows; some gaps in agent-to-agent data tracking or memory system governance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data governance covering training data, runtime retrieval, tool payloads, memory contents, agent handoffs, and evidence records with full lineage, quality metrics, and lifecycle management</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Data governance evaluation requires examining four capabilities: data cataloging, lineage tracking, quality management, and lifecycle controls.</w:t>
      </w:r>
    </w:p>
    <w:p>
      <w:pPr>
        <w:spacing w:after="56"/>
      </w:pPr>
      <w:r>
        <w:t>Data cataloging requires inventories of data sources, datasets, and data flows. Strong systems maintain catalogs that identify what data is available, where it originates, what sensitivity classifications apply, and what usage restrictions exist. Look for data catalogs that cover not only training datasets but also runtime data sources such as retrieval systems, tool APIs, and memory stores.</w:t>
      </w:r>
    </w:p>
    <w:p>
      <w:pPr>
        <w:spacing w:after="56"/>
      </w:pPr>
      <w:r>
        <w:t>Lineage tracking requires the ability to trace data from source to consumption. Evaluate whether the system can show where a piece of data originated, which agents accessed it, which tools processed it, and where it was stored or transmitted. Systems that track lineage only for training pipelines but not for runtime agent execution score lower.</w:t>
      </w:r>
    </w:p>
    <w:p>
      <w:pPr>
        <w:spacing w:after="56"/>
      </w:pPr>
      <w:r>
        <w:t>Quality management requires metrics and controls for data accuracy, completeness, consistency, and timeliness. Look for data quality dashboards, validation rules, and quality gates that prevent low-quality data from entering critical workflows. Systems that assume data quality without measurement or enforcement score lower.</w:t>
      </w:r>
    </w:p>
    <w:p>
      <w:pPr>
        <w:spacing w:after="56"/>
      </w:pPr>
      <w:r>
        <w:t>Lifecycle controls require policies and mechanisms for data retention, archival, and deletion. Evaluate whether the system enforces retention periods, supports data subject deletion requests, and can prove that data was deleted when required. Systems that retain data indefinitely without lifecycle policies score lower.</w:t>
      </w:r>
    </w:p>
    <w:p>
      <w:pPr>
        <w:pStyle w:val="Heading3"/>
      </w:pPr>
      <w:r>
        <w:t>Common Gaps</w:t>
      </w:r>
    </w:p>
    <w:p>
      <w:pPr>
        <w:spacing w:after="56"/>
      </w:pPr>
      <w:r>
        <w:t>The most common gap is data governance that covers training data but not runtime data flows. Organizations may have strong data catalogs and lineage tracking for ML pipelines while lacking visibility into what data agents retrieve, process, and store during execution. Another common gap is data quality controls that apply to databases but not to agent memory systems or tool payloads, creating blind spots in data governance coverage.</w:t>
      </w:r>
    </w:p>
    <w:p>
      <w:pPr>
        <w:pStyle w:val="Heading2"/>
      </w:pPr>
      <w:r>
        <w:t>7.8 RCCS-03: Documentation</w:t>
      </w:r>
    </w:p>
    <w:p>
      <w:pPr>
        <w:pStyle w:val="Heading3"/>
      </w:pPr>
      <w:r>
        <w:t>Regulatory Basis</w:t>
      </w:r>
    </w:p>
    <w:p>
      <w:pPr>
        <w:spacing w:after="56"/>
      </w:pPr>
      <w:r>
        <w:t>Documentation requirements are established in EU AI Act Article 11, which requires providers of high-risk AI systems to draw up technical documentation that demonstrates compliance with regulatory requirements. ISO/IEC 42001 requires organizations to maintain documented information necessary for the effectiveness of the AI management system. NIST AI RMF Govern function includes documentation of AI system characteristics, intended use, and risk management decisions.</w:t>
      </w:r>
    </w:p>
    <w:p>
      <w:pPr>
        <w:spacing w:after="56"/>
      </w:pPr>
      <w:r>
        <w:t>Documentation is not merely a compliance artifact. It is the primary mechanism for communicating system capabilities, limitations, and governance controls to deployers, operators, auditors, and regulators. For agentic systems, documentation must cover not only model characteristics but also agent roles, authority boundaries, tool permissions, and lifecycle controls.</w:t>
      </w:r>
    </w:p>
    <w:p>
      <w:pPr>
        <w:pStyle w:val="Heading3"/>
      </w:pPr>
      <w:r>
        <w:t>Core Question</w:t>
      </w:r>
    </w:p>
    <w:p>
      <w:pPr>
        <w:spacing w:after="56"/>
      </w:pPr>
      <w:r>
        <w:t>Does the system produce and maintain required technical documentation across the system lifecycle?</w:t>
      </w:r>
    </w:p>
    <w:p>
      <w:pPr>
        <w:pStyle w:val="Heading3"/>
      </w:pPr>
      <w:r>
        <w:t>Scoring Rubric</w:t>
      </w:r>
    </w:p>
    <w:p>
      <w:pPr>
        <w:keepNext/>
      </w:pPr>
      <w:r>
        <w:rPr>
          <w:b/>
          <w:sz w:val="16"/>
        </w:rPr>
        <w:t>Table T-07-05: RCCS-03 Documentation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documentation capability</w:t>
            </w:r>
          </w:p>
        </w:tc>
        <w:tc>
          <w:tcPr>
            <w:tcW w:type="dxa" w:w="3408"/>
          </w:tcPr>
          <w:p>
            <w:pPr>
              <w:spacing w:after="0"/>
            </w:pPr>
            <w:r>
              <w:rPr>
                <w:rFonts w:ascii="Arial" w:hAnsi="Arial"/>
                <w:b w:val="0"/>
                <w:sz w:val="14"/>
              </w:rPr>
              <w:t>No documentation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documentation requirements but provides no automated generation or maintenance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Model cards or system documentation exist but are manually maintained and not version-controlled or linked to deployments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Automated documentation generation exists for models and some system components; some gaps in agent role documentation, tool documentation, or deployment linkage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automated documentation covering models, agents, tools, authority boundaries, deployment configurations, and change history with version control and deployment linkage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Documentation evaluation requires examining four capabilities: documentation generation, version control, deployment linkage, and coverage completeness.</w:t>
      </w:r>
    </w:p>
    <w:p>
      <w:pPr>
        <w:spacing w:after="56"/>
      </w:pPr>
      <w:r>
        <w:t>Documentation generation requires mechanisms for producing required documentation artifacts. Look for automated generation of model cards, system cards, agent role definitions, tool specifications, and deployment documentation. Systems that rely entirely on manual documentation score lower because manual processes are error-prone and difficult to maintain.</w:t>
      </w:r>
    </w:p>
    <w:p>
      <w:pPr>
        <w:spacing w:after="56"/>
      </w:pPr>
      <w:r>
        <w:t>Version control requires tracking documentation changes over time. Evaluate whether documentation is version-controlled alongside code and configuration, whether changes are linked to specific releases or deployments, and whether historical documentation can be retrieved for audit purposes. Systems that maintain documentation in separate systems without version control score lower.</w:t>
      </w:r>
    </w:p>
    <w:p>
      <w:pPr>
        <w:spacing w:after="56"/>
      </w:pPr>
      <w:r>
        <w:t>Deployment linkage requires connecting documentation to specific deployed instances. Strong systems can show which documentation version applies to which deployment, enabling auditors to verify that deployed systems match their documentation. Systems that maintain documentation separately from deployment records score lower.</w:t>
      </w:r>
    </w:p>
    <w:p>
      <w:pPr>
        <w:spacing w:after="56"/>
      </w:pPr>
      <w:r>
        <w:t>Coverage completeness requires documentation for all system components that affect governance. For agentic systems, this includes not only model documentation but also agent role definitions, authority boundaries, tool permissions, memory system configurations, and human oversight mechanisms. Systems that document models but not agent governance primitives score lower.</w:t>
      </w:r>
    </w:p>
    <w:p>
      <w:pPr>
        <w:pStyle w:val="Heading3"/>
      </w:pPr>
      <w:r>
        <w:t>Common Gaps</w:t>
      </w:r>
    </w:p>
    <w:p>
      <w:pPr>
        <w:spacing w:after="56"/>
      </w:pPr>
      <w:r>
        <w:t>The most common gap is documentation that exists but is not version-controlled or linked to deployments. Organizations may maintain model cards and system documentation while lacking the ability to prove which documentation version applied to a specific deployment at a specific time. Another common gap is documentation that covers models but not agent roles, tool permissions, or authority boundaries, leaving governance controls undocumented.</w:t>
      </w:r>
    </w:p>
    <w:p>
      <w:pPr>
        <w:pStyle w:val="Heading2"/>
      </w:pPr>
      <w:r>
        <w:t>7.9 RCCS-04: Record-Keeping</w:t>
      </w:r>
    </w:p>
    <w:p>
      <w:pPr>
        <w:pStyle w:val="Heading3"/>
      </w:pPr>
      <w:r>
        <w:t>Regulatory Basis</w:t>
      </w:r>
    </w:p>
    <w:p>
      <w:pPr>
        <w:spacing w:after="56"/>
      </w:pPr>
      <w:r>
        <w:t>Record-keeping requirements are established in EU AI Act Article 12, which requires providers and deployers of high-risk AI systems to keep logs automatically generated by their systems. GDPR Article 30 requires controllers and processors to maintain records of processing activities. ISO/IEC 42001 requires organizations to maintain records necessary to demonstrate conformity with requirements.</w:t>
      </w:r>
    </w:p>
    <w:p>
      <w:pPr>
        <w:spacing w:after="56"/>
      </w:pPr>
      <w:r>
        <w:t>Record-keeping differs from documentation in that records capture what actually happened during system operation, while documentation describes what the system is designed to do. For agentic systems, records must capture agent decisions, tool invocations, human approvals, authority checks, and outcome acceptance events.</w:t>
      </w:r>
    </w:p>
    <w:p>
      <w:pPr>
        <w:pStyle w:val="Heading3"/>
      </w:pPr>
      <w:r>
        <w:t>Core Question</w:t>
      </w:r>
    </w:p>
    <w:p>
      <w:pPr>
        <w:spacing w:after="56"/>
      </w:pPr>
      <w:r>
        <w:t>Does the system maintain audit trails and evidence records across agent execution?</w:t>
      </w:r>
    </w:p>
    <w:p>
      <w:pPr>
        <w:pStyle w:val="Heading3"/>
      </w:pPr>
      <w:r>
        <w:t>Scoring Rubric</w:t>
      </w:r>
    </w:p>
    <w:p>
      <w:pPr>
        <w:keepNext/>
      </w:pPr>
      <w:r>
        <w:rPr>
          <w:b/>
          <w:sz w:val="16"/>
        </w:rPr>
        <w:t>Table T-07-06: RCCS-04 Record-Keeping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record-keeping capability</w:t>
            </w:r>
          </w:p>
        </w:tc>
        <w:tc>
          <w:tcPr>
            <w:tcW w:type="dxa" w:w="3408"/>
          </w:tcPr>
          <w:p>
            <w:pPr>
              <w:spacing w:after="0"/>
            </w:pPr>
            <w:r>
              <w:rPr>
                <w:rFonts w:ascii="Arial" w:hAnsi="Arial"/>
                <w:b w:val="0"/>
                <w:sz w:val="14"/>
              </w:rPr>
              <w:t>No logging or audit trail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logging but provides no structured record-keeping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Execution logs exist but are not structured for audit purposes; no evidence retention policy or tamper-evident storage</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Structured audit trails exist for most lifecycle events; some gaps in evidence retention policies, tamper-evident storage, or cross-agent record linkage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tamper-evident audit trails covering all lifecycle events with structured records, evidence retention policies, integrity verification, and cross-agent record linkage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Record-keeping evaluation requires examining four capabilities: structured logging, audit trail completeness, tamper-evident storage, and retention policies.</w:t>
      </w:r>
    </w:p>
    <w:p>
      <w:pPr>
        <w:spacing w:after="56"/>
      </w:pPr>
      <w:r>
        <w:t>Structured logging requires records that are machine-readable and queryable. Look for structured log formats, consistent schemas, and query interfaces that allow auditors to reconstruct specific events or workflows. Systems that produce only unstructured text logs score lower because they are difficult to audit and analyze.</w:t>
      </w:r>
    </w:p>
    <w:p>
      <w:pPr>
        <w:spacing w:after="56"/>
      </w:pPr>
      <w:r>
        <w:t>Audit trail completeness requires capturing all governance-relevant events. For agentic systems, this includes agent decisions, tool invocations, human approvals, authority checks, risk assessments, data accesses, and outcome acceptance events. Evaluate whether the system captures these events consistently and whether records can be linked across agents and lifecycle phases. Systems that log execution events but not governance events score lower.</w:t>
      </w:r>
    </w:p>
    <w:p>
      <w:pPr>
        <w:spacing w:after="56"/>
      </w:pPr>
      <w:r>
        <w:t>Tamper-evident storage requires mechanisms to detect unauthorized modification of records. Look for cryptographic integrity verification, append-only storage, or blockchain-based audit trails. Systems that store logs in mutable storage without integrity verification score lower because records cannot be trusted in disputes.</w:t>
      </w:r>
    </w:p>
    <w:p>
      <w:pPr>
        <w:spacing w:after="56"/>
      </w:pPr>
      <w:r>
        <w:t>Retention policies require defined periods for retaining different record types. Evaluate whether the system enforces retention periods, supports deletion of expired records, and can prove that records were retained for the required period. Systems that retain all records indefinitely or delete records without policy enforcement score lower.</w:t>
      </w:r>
    </w:p>
    <w:p>
      <w:pPr>
        <w:pStyle w:val="Heading3"/>
      </w:pPr>
      <w:r>
        <w:t>Common Gaps</w:t>
      </w:r>
    </w:p>
    <w:p>
      <w:pPr>
        <w:spacing w:after="56"/>
      </w:pPr>
      <w:r>
        <w:t>The most common gap is logs that exist but are not structured for audit purposes. Organizations may have extensive execution logs while lacking the ability to reconstruct governance events such as authority checks, human approvals, or outcome acceptance. Another common gap is logs stored in mutable systems without integrity verification, making it impossible to prove that records were not altered after the fact.</w:t>
      </w:r>
    </w:p>
    <w:p>
      <w:pPr>
        <w:pStyle w:val="Heading2"/>
      </w:pPr>
      <w:r>
        <w:t>7.10 RCCS-05: Transparency</w:t>
      </w:r>
    </w:p>
    <w:p>
      <w:pPr>
        <w:pStyle w:val="Heading3"/>
      </w:pPr>
      <w:r>
        <w:t>Regulatory Basis</w:t>
      </w:r>
    </w:p>
    <w:p>
      <w:pPr>
        <w:spacing w:after="56"/>
      </w:pPr>
      <w:r>
        <w:t>Transparency requirements are established in EU AI Act Article 13, which requires providers to design and develop high-risk AI systems to be sufficiently transparent to enable deployers to interpret system output and use it appropriately. GDPR Articles 13-14 require controllers to provide information to data subjects about automated decision-making. ISO/IEC 42001 requires organizations to establish transparency mechanisms appropriate to the AI system's risk level and context.</w:t>
      </w:r>
    </w:p>
    <w:p>
      <w:pPr>
        <w:spacing w:after="56"/>
      </w:pPr>
      <w:r>
        <w:t>Transparency serves multiple purposes: enabling deployers to understand system behavior, allowing users to challenge decisions, and supporting auditors in verifying compliance. For agentic systems, transparency must extend beyond model explainability to include agent decision rationale, tool selection justification, and authority boundary explanations.</w:t>
      </w:r>
    </w:p>
    <w:p>
      <w:pPr>
        <w:pStyle w:val="Heading3"/>
      </w:pPr>
      <w:r>
        <w:t>Core Question</w:t>
      </w:r>
    </w:p>
    <w:p>
      <w:pPr>
        <w:spacing w:after="56"/>
      </w:pPr>
      <w:r>
        <w:t>Does the system provide explainability and disclosure mechanisms for agent decisions and outcomes?</w:t>
      </w:r>
    </w:p>
    <w:p>
      <w:pPr>
        <w:pStyle w:val="Heading3"/>
      </w:pPr>
      <w:r>
        <w:t>Scoring Rubric</w:t>
      </w:r>
    </w:p>
    <w:p>
      <w:pPr>
        <w:keepNext/>
      </w:pPr>
      <w:r>
        <w:rPr>
          <w:b/>
          <w:sz w:val="16"/>
        </w:rPr>
        <w:t>Table T-07-07: RCCS-05 Transparency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transparency capability</w:t>
            </w:r>
          </w:p>
        </w:tc>
        <w:tc>
          <w:tcPr>
            <w:tcW w:type="dxa" w:w="3408"/>
          </w:tcPr>
          <w:p>
            <w:pPr>
              <w:spacing w:after="0"/>
            </w:pPr>
            <w:r>
              <w:rPr>
                <w:rFonts w:ascii="Arial" w:hAnsi="Arial"/>
                <w:b w:val="0"/>
                <w:sz w:val="14"/>
              </w:rPr>
              <w:t>No explainability or disclosure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transparency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Model explainability tools exist but do not extend to agent decisions, tool selection, or authority boundaries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Explainability mechanisms exist for models and some agent decisions; some gaps in tool selection rationale, authority boundary explanations, or user-facing disclosure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transparency covering model outputs, agent decision rationale, tool selection justification, authority boundaries, and user-facing disclosure mechanisms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Transparency evaluation requires examining four capabilities: model explainability, agent decision rationale, disclosure mechanisms, and user-facing transparency.</w:t>
      </w:r>
    </w:p>
    <w:p>
      <w:pPr>
        <w:spacing w:after="56"/>
      </w:pPr>
      <w:r>
        <w:t>Model explainability requires mechanisms for explaining model outputs. Look for feature importance, attention visualization, counterfactual explanations, or other explainability techniques. However, model explainability alone is insufficient for agentic systems. Evaluate whether explainability extends to agent-level decisions.</w:t>
      </w:r>
    </w:p>
    <w:p>
      <w:pPr>
        <w:spacing w:after="56"/>
      </w:pPr>
      <w:r>
        <w:t>Agent decision rationale requires explanations for why an agent chose a particular action, tool, or delegation path. Strong systems capture and expose the reasoning behind agent decisions, including which information was considered, which constraints were applied, and which alternatives were rejected. Systems that provide only execution traces without decision rationale score lower.</w:t>
      </w:r>
    </w:p>
    <w:p>
      <w:pPr>
        <w:spacing w:after="56"/>
      </w:pPr>
      <w:r>
        <w:t>Disclosure mechanisms require interfaces for communicating system capabilities and limitations to deployers and users. Look for system cards, capability statements, limitation disclosures, and risk warnings. Evaluate whether disclosures are specific and actionable rather than generic disclaimers.</w:t>
      </w:r>
    </w:p>
    <w:p>
      <w:pPr>
        <w:spacing w:after="56"/>
      </w:pPr>
      <w:r>
        <w:t>User-facing transparency requires mechanisms for informing users when they are interacting with an AI system and what decisions are being made. For agentic systems, this includes disclosing when agents are acting autonomously, when human review is required, and how users can challenge decisions. Systems that operate without user awareness score lower.</w:t>
      </w:r>
    </w:p>
    <w:p>
      <w:pPr>
        <w:pStyle w:val="Heading3"/>
      </w:pPr>
      <w:r>
        <w:t>Common Gaps</w:t>
      </w:r>
    </w:p>
    <w:p>
      <w:pPr>
        <w:spacing w:after="56"/>
      </w:pPr>
      <w:r>
        <w:t>The most common gap is model explainability that does not extend to agent decision-making. Organizations may have strong explainability tools for model outputs while lacking visibility into why an agent selected a particular tool, delegated to another agent, or escalated to human review. Another common gap is transparency mechanisms that exist for developers but not for end users, leaving users unable to understand or challenge agent decisions.</w:t>
      </w:r>
    </w:p>
    <w:p>
      <w:pPr>
        <w:pStyle w:val="Heading2"/>
      </w:pPr>
      <w:r>
        <w:t>7.11 RCCS-06: Human Oversight</w:t>
      </w:r>
    </w:p>
    <w:p>
      <w:pPr>
        <w:pStyle w:val="Heading3"/>
      </w:pPr>
      <w:r>
        <w:t>Regulatory Basis</w:t>
      </w:r>
    </w:p>
    <w:p>
      <w:pPr>
        <w:spacing w:after="56"/>
      </w:pPr>
      <w:r>
        <w:t>Human oversight requirements are established in EU AI Act Article 14, which requires high-risk AI systems to be designed and developed to enable effective oversight by natural persons. ISO/IEC 42001 requires organizations to establish human oversight mechanisms appropriate to the AI system's risk level. NIST AI RMF Manage function includes human-AI configuration as a key practice. Singapore MGF for Agentic AI emphasizes making humans meaningfully accountable for agentic system outcomes.</w:t>
      </w:r>
    </w:p>
    <w:p>
      <w:pPr>
        <w:spacing w:after="56"/>
      </w:pPr>
      <w:r>
        <w:t>Human oversight is the second-highest weighted RCCS dimension because it is the primary mechanism for ensuring that AI systems remain under human control. For agentic systems, oversight must be designed into the system architecture, not merely added as a review step after execution.</w:t>
      </w:r>
    </w:p>
    <w:p>
      <w:pPr>
        <w:pStyle w:val="Heading3"/>
      </w:pPr>
      <w:r>
        <w:t>Core Question</w:t>
      </w:r>
    </w:p>
    <w:p>
      <w:pPr>
        <w:spacing w:after="56"/>
      </w:pPr>
      <w:r>
        <w:t>Does the system support human review, approval, intervention, and escalation across agent execution?</w:t>
      </w:r>
    </w:p>
    <w:p>
      <w:pPr>
        <w:pStyle w:val="Heading3"/>
      </w:pPr>
      <w:r>
        <w:t>Scoring Rubric</w:t>
      </w:r>
    </w:p>
    <w:p>
      <w:pPr>
        <w:keepNext/>
      </w:pPr>
      <w:r>
        <w:rPr>
          <w:b/>
          <w:sz w:val="16"/>
        </w:rPr>
        <w:t>Table T-07-08: RCCS-06 Human Oversight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human oversight capability</w:t>
            </w:r>
          </w:p>
        </w:tc>
        <w:tc>
          <w:tcPr>
            <w:tcW w:type="dxa" w:w="3408"/>
          </w:tcPr>
          <w:p>
            <w:pPr>
              <w:spacing w:after="0"/>
            </w:pPr>
            <w:r>
              <w:rPr>
                <w:rFonts w:ascii="Arial" w:hAnsi="Arial"/>
                <w:b w:val="0"/>
                <w:sz w:val="14"/>
              </w:rPr>
              <w:t>No human review or intervention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human oversight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Human approval workflows exist but are not mapped to responsibility boundaries or risk levels; no intervention or escalation mechanisms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Human review, approval, and intervention mechanisms exist for most high-risk actions; some gaps in escalation paths, responsibility mapping, or cross-agent oversight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human-in-the-loop controls including risk-based review, approval workflows, intervention mechanisms, escalation paths, and responsibility mapping across all agent actions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Human oversight evaluation requires examining four capabilities: review interfaces, approval workflows, intervention mechanisms, and escalation paths.</w:t>
      </w:r>
    </w:p>
    <w:p>
      <w:pPr>
        <w:spacing w:after="56"/>
      </w:pPr>
      <w:r>
        <w:t>Review interfaces require mechanisms for humans to examine agent plans, decisions, and outputs before they take effect. Look for review dashboards, approval queues, and decision summaries that present relevant information to human reviewers. Evaluate whether review interfaces are designed for the specific oversight task rather than generic log viewers. Systems that require humans to review raw execution logs score lower.</w:t>
      </w:r>
    </w:p>
    <w:p>
      <w:pPr>
        <w:spacing w:after="56"/>
      </w:pPr>
      <w:r>
        <w:t>Approval workflows require explicit human authorization before high-risk actions execute. Strong systems identify which actions require approval based on risk level, authority boundaries, or policy rules, and enforce approval requirements before execution. Look for approval routing, approval tracking, and approval evidence capture. Systems that allow high-risk actions to execute without approval score lower.</w:t>
      </w:r>
    </w:p>
    <w:p>
      <w:pPr>
        <w:spacing w:after="56"/>
      </w:pPr>
      <w:r>
        <w:t>Intervention mechanisms require the ability for humans to stop, modify, or override agent actions. Evaluate whether humans can intervene during execution, whether intervention is recorded as evidence, and whether agents respect intervention signals. Systems that allow agents to continue executing after human intervention requests score lower.</w:t>
      </w:r>
    </w:p>
    <w:p>
      <w:pPr>
        <w:spacing w:after="56"/>
      </w:pPr>
      <w:r>
        <w:t>Escalation paths require routing decisions to appropriate human roles based on risk, complexity, or policy violations. Look for escalation rules, escalation routing, and escalation tracking. Strong systems escalate automatically when agents encounter situations beyond their authority or capability. Systems that require agents to decide when to escalate score lower.</w:t>
      </w:r>
    </w:p>
    <w:p>
      <w:pPr>
        <w:pStyle w:val="Heading3"/>
      </w:pPr>
      <w:r>
        <w:t>Common Gaps</w:t>
      </w:r>
    </w:p>
    <w:p>
      <w:pPr>
        <w:spacing w:after="56"/>
      </w:pPr>
      <w:r>
        <w:t>The most common gap is human review that exists but is not mapped to responsibility boundaries. Organizations may have approval workflows while lacking clarity about which human role is accountable for which agent decision. Another common gap is oversight mechanisms that apply to final outputs but not to intermediate agent decisions, tool selections, or authority transitions, allowing agents to drift beyond their intended scope before human review occurs.</w:t>
      </w:r>
    </w:p>
    <w:p>
      <w:pPr>
        <w:pStyle w:val="Heading2"/>
      </w:pPr>
      <w:r>
        <w:t>7.12 RCCS-07: Security</w:t>
      </w:r>
    </w:p>
    <w:p>
      <w:pPr>
        <w:pStyle w:val="Heading3"/>
      </w:pPr>
      <w:r>
        <w:t>Regulatory Basis</w:t>
      </w:r>
    </w:p>
    <w:p>
      <w:pPr>
        <w:spacing w:after="56"/>
      </w:pPr>
      <w:r>
        <w:t>Security requirements are established in EU AI Act Article 15, which requires high-risk AI systems to be resilient against attempts to alter their use or performance through exploitation of system vulnerabilities. GDPR Article 32 requires controllers and processors to implement appropriate technical and organizational measures to ensure a level of security appropriate to the risk. ISO/IEC 42001 requires organizations to establish security controls for AI systems.</w:t>
      </w:r>
    </w:p>
    <w:p>
      <w:pPr>
        <w:spacing w:after="56"/>
      </w:pPr>
      <w:r>
        <w:t>Security is foundational for all other governance controls. Without security, risk management, documentation, record-keeping, and oversight mechanisms can be bypassed or manipulated. For agentic systems, security must cover not only platform security but also agent-to-agent communication, tool access controls, and authority boundary enforcement.</w:t>
      </w:r>
    </w:p>
    <w:p>
      <w:pPr>
        <w:pStyle w:val="Heading3"/>
      </w:pPr>
      <w:r>
        <w:t>Core Question</w:t>
      </w:r>
    </w:p>
    <w:p>
      <w:pPr>
        <w:spacing w:after="56"/>
      </w:pPr>
      <w:r>
        <w:t>Does the system implement security controls, access management, and threat protection across agent execution?</w:t>
      </w:r>
    </w:p>
    <w:p>
      <w:pPr>
        <w:pStyle w:val="Heading3"/>
      </w:pPr>
      <w:r>
        <w:t>Scoring Rubric</w:t>
      </w:r>
    </w:p>
    <w:p>
      <w:pPr>
        <w:keepNext/>
      </w:pPr>
      <w:r>
        <w:rPr>
          <w:b/>
          <w:sz w:val="16"/>
        </w:rPr>
        <w:t>Table T-07-09: RCCS-07 Security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security capability</w:t>
            </w:r>
          </w:p>
        </w:tc>
        <w:tc>
          <w:tcPr>
            <w:tcW w:type="dxa" w:w="3408"/>
          </w:tcPr>
          <w:p>
            <w:pPr>
              <w:spacing w:after="0"/>
            </w:pPr>
            <w:r>
              <w:rPr>
                <w:rFonts w:ascii="Arial" w:hAnsi="Arial"/>
                <w:b w:val="0"/>
                <w:sz w:val="14"/>
              </w:rPr>
              <w:t>No security controls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security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Platform security exists but does not extend to agent-to-agent communication, tool access controls, or authority boundary enforcement</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Security controls exist for platform, agent communication, and tool access; some gaps in threat detection, security monitoring, or authority boundary enforcement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security architecture covering platform security, agent-to-agent communication, tool access controls, authority boundary enforcement, threat detection, and security monitoring</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Security evaluation requires examining four capabilities: access controls, communication security, threat protection, and security monitoring.</w:t>
      </w:r>
    </w:p>
    <w:p>
      <w:pPr>
        <w:spacing w:after="56"/>
      </w:pPr>
      <w:r>
        <w:t>Access controls require authentication, authorization, and permission management. Look for identity management, role-based access control, and least-privilege enforcement. For agentic systems, evaluate whether access controls apply not only to human users but also to agents and tools. Systems that grant broad permissions to agents without fine-grained access control score lower.</w:t>
      </w:r>
    </w:p>
    <w:p>
      <w:pPr>
        <w:spacing w:after="56"/>
      </w:pPr>
      <w:r>
        <w:t>Communication security requires encryption and integrity protection for data in transit. Evaluate whether agent-to-agent communication, agent-to-tool communication, and agent-to-external-system communication are encrypted and authenticated. Systems that transmit sensitive data or credentials in plaintext score lower.</w:t>
      </w:r>
    </w:p>
    <w:p>
      <w:pPr>
        <w:spacing w:after="56"/>
      </w:pPr>
      <w:r>
        <w:t>Threat protection requires defenses against adversarial attacks, prompt injection, and unauthorized access. Look for input validation, output filtering, and adversarial robustness testing. For agentic systems, evaluate whether the system protects against prompt injection attacks that could manipulate agent behavior or bypass authority boundaries. Systems without adversarial defenses score lower.</w:t>
      </w:r>
    </w:p>
    <w:p>
      <w:pPr>
        <w:spacing w:after="56"/>
      </w:pPr>
      <w:r>
        <w:t>Security monitoring requires detection and response to security events. Look for security logging, anomaly detection, and incident response workflows. Evaluate whether security monitoring covers agent behavior, tool usage, and authority boundary violations. Systems that monitor platform security but not agent security score lower.</w:t>
      </w:r>
    </w:p>
    <w:p>
      <w:pPr>
        <w:pStyle w:val="Heading3"/>
      </w:pPr>
      <w:r>
        <w:t>Common Gaps</w:t>
      </w:r>
    </w:p>
    <w:p>
      <w:pPr>
        <w:spacing w:after="56"/>
      </w:pPr>
      <w:r>
        <w:t>The most common gap is platform security that does not extend to agent-to-agent communication or tool access controls. Organizations may have strong perimeter security while lacking visibility into how agents communicate with each other or which tools agents can access. Another common gap is security controls that protect against external threats but not against prompt injection or adversarial manipulation of agent behavior.</w:t>
      </w:r>
    </w:p>
    <w:p>
      <w:pPr>
        <w:pStyle w:val="Heading2"/>
      </w:pPr>
      <w:r>
        <w:t>7.13 RCCS-08: Accountability</w:t>
      </w:r>
    </w:p>
    <w:p>
      <w:pPr>
        <w:pStyle w:val="Heading3"/>
      </w:pPr>
      <w:r>
        <w:t>Regulatory Basis</w:t>
      </w:r>
    </w:p>
    <w:p>
      <w:pPr>
        <w:spacing w:after="56"/>
      </w:pPr>
      <w:r>
        <w:t>Accountability requirements are established in GDPR Article 5(2), which requires controllers to be responsible for and able to demonstrate compliance with data protection principles. EU AI Act Article 26 establishes responsibilities along the AI value chain, clarifying obligations for providers, deployers, importers, and distributors. ISO/IEC 42001 requires organizations to establish accountability mechanisms for AI system decisions and outcomes. Singapore MGF for Agentic AI emphasizes making humans meaningfully accountable for agentic system outcomes.</w:t>
      </w:r>
    </w:p>
    <w:p>
      <w:pPr>
        <w:spacing w:after="56"/>
      </w:pPr>
      <w:r>
        <w:t>Accountability is the principle that someone must be responsible for AI system decisions and outcomes. For agentic systems, accountability requires clear assignment of responsibility for agent actions, tool use, and outcomes, with evidence to prove who was responsible for what.</w:t>
      </w:r>
    </w:p>
    <w:p>
      <w:pPr>
        <w:pStyle w:val="Heading3"/>
      </w:pPr>
      <w:r>
        <w:t>Core Question</w:t>
      </w:r>
    </w:p>
    <w:p>
      <w:pPr>
        <w:spacing w:after="56"/>
      </w:pPr>
      <w:r>
        <w:t>Does the system assign responsibility and track accountability for agent decisions and outcomes?</w:t>
      </w:r>
    </w:p>
    <w:p>
      <w:pPr>
        <w:pStyle w:val="Heading3"/>
      </w:pPr>
      <w:r>
        <w:t>Scoring Rubric</w:t>
      </w:r>
    </w:p>
    <w:p>
      <w:pPr>
        <w:keepNext/>
      </w:pPr>
      <w:r>
        <w:rPr>
          <w:b/>
          <w:sz w:val="16"/>
        </w:rPr>
        <w:t>Table T-07-10: RCCS-08 Accountability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accountability capability</w:t>
            </w:r>
          </w:p>
        </w:tc>
        <w:tc>
          <w:tcPr>
            <w:tcW w:type="dxa" w:w="3408"/>
          </w:tcPr>
          <w:p>
            <w:pPr>
              <w:spacing w:after="0"/>
            </w:pPr>
            <w:r>
              <w:rPr>
                <w:rFonts w:ascii="Arial" w:hAnsi="Arial"/>
                <w:b w:val="0"/>
                <w:sz w:val="14"/>
              </w:rPr>
              <w:t>No responsibility assignment or accountability tracking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accountability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Responsibility assignment exists for models but does not extend to agent actions, tool use, or multi-agent handoffs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Accountability mechanisms exist for most agent actions and outcomes; some gaps in tool use accountability, cross-agent responsibility tracking, or evidence linkage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accountability covering responsibility assignment for all agent actions, tool use, outcomes, and multi-agent handoffs with evidence linkage and accountability reports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Accountability evaluation requires examining four capabilities: responsibility assignment, decision tracking, accountability reports, and evidence linkage.</w:t>
      </w:r>
    </w:p>
    <w:p>
      <w:pPr>
        <w:spacing w:after="56"/>
      </w:pPr>
      <w:r>
        <w:t>Responsibility assignment requires explicit identification of who is accountable for each agent decision and outcome. Look for responsibility mappings that link human roles to agent roles, agent roles to specific actions, and actions to outcomes. Evaluate whether responsibility assignments are documented, enforced, and auditable. Systems that execute agent actions without clear responsibility assignment score lower.</w:t>
      </w:r>
    </w:p>
    <w:p>
      <w:pPr>
        <w:spacing w:after="56"/>
      </w:pPr>
      <w:r>
        <w:t>Decision tracking requires capturing who made each decision and on what basis. For agentic systems, this includes not only human decisions but also agent decisions that were delegated by humans. Look for decision logs that record decision maker, decision rationale, decision timestamp, and decision outcome. Systems that track execution events but not decision accountability score lower.</w:t>
      </w:r>
    </w:p>
    <w:p>
      <w:pPr>
        <w:spacing w:after="56"/>
      </w:pPr>
      <w:r>
        <w:t>Accountability reports require mechanisms for demonstrating who was responsible for what. Look for accountability dashboards, responsibility matrices, and audit reports that show responsibility assignments and decision outcomes. Evaluate whether reports can be generated for specific time periods, projects, or incidents. Systems without accountability reporting capabilities score lower.</w:t>
      </w:r>
    </w:p>
    <w:p>
      <w:pPr>
        <w:spacing w:after="56"/>
      </w:pPr>
      <w:r>
        <w:t>Evidence linkage requires connecting accountability assignments to evidence records. Strong systems can show not only who was responsible but also what evidence supports that responsibility assignment. Look for evidence pointers in responsibility records and responsibility metadata in evidence records. Systems that maintain responsibility assignments separately from evidence score lower.</w:t>
      </w:r>
    </w:p>
    <w:p>
      <w:pPr>
        <w:pStyle w:val="Heading3"/>
      </w:pPr>
      <w:r>
        <w:t>Common Gaps</w:t>
      </w:r>
    </w:p>
    <w:p>
      <w:pPr>
        <w:spacing w:after="56"/>
      </w:pPr>
      <w:r>
        <w:t>The most common gap is accountability for models but not for agent actions or tool use. Organizations may have clear responsibility assignments for model development and deployment while lacking accountability for what agents do with those models during execution. Another common gap is accountability assignments that exist in documentation but are not enforced or tracked during execution, making it impossible to prove who was actually responsible for a specific decision or outcome.</w:t>
      </w:r>
    </w:p>
    <w:p>
      <w:pPr>
        <w:pStyle w:val="Heading2"/>
      </w:pPr>
      <w:r>
        <w:t>7.14 RCCS-09: Contestability</w:t>
      </w:r>
    </w:p>
    <w:p>
      <w:pPr>
        <w:pStyle w:val="Heading3"/>
      </w:pPr>
      <w:r>
        <w:t>Regulatory Basis</w:t>
      </w:r>
    </w:p>
    <w:p>
      <w:pPr>
        <w:spacing w:after="56"/>
      </w:pPr>
      <w:r>
        <w:t>Contestability requirements are established in EU AI Act Article 86, which provides for the right to explanation and individual decision-making. GDPR Article 22 establishes the right not to be subject to automated decision-making without human involvement and the right to obtain human intervention, express one's point of view, and contest the decision. ISO/IEC 42001 requires organizations to establish mechanisms for challenging AI system decisions. Singapore MGF for Agentic AI emphasizes enabling end-user responsibility, which includes the ability to challenge outcomes.</w:t>
      </w:r>
    </w:p>
    <w:p>
      <w:pPr>
        <w:spacing w:after="56"/>
      </w:pPr>
      <w:r>
        <w:t>Contestability is the principle that individuals affected by AI decisions must have mechanisms to challenge those decisions and obtain remediation. For agentic systems, contestability requires not only dispute mechanisms but also the evidence needed to reconstruct what happened and why.</w:t>
      </w:r>
    </w:p>
    <w:p>
      <w:pPr>
        <w:pStyle w:val="Heading3"/>
      </w:pPr>
      <w:r>
        <w:t>Core Question</w:t>
      </w:r>
    </w:p>
    <w:p>
      <w:pPr>
        <w:spacing w:after="56"/>
      </w:pPr>
      <w:r>
        <w:t>Does the system support dispute, appeal, and remediation mechanisms for agent decisions and outcomes?</w:t>
      </w:r>
    </w:p>
    <w:p>
      <w:pPr>
        <w:pStyle w:val="Heading3"/>
      </w:pPr>
      <w:r>
        <w:t>Scoring Rubric</w:t>
      </w:r>
    </w:p>
    <w:p>
      <w:pPr>
        <w:keepNext/>
      </w:pPr>
      <w:r>
        <w:rPr>
          <w:b/>
          <w:sz w:val="16"/>
        </w:rPr>
        <w:t>Table T-07-11: RCCS-09 Contestability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contestability capability</w:t>
            </w:r>
          </w:p>
        </w:tc>
        <w:tc>
          <w:tcPr>
            <w:tcW w:type="dxa" w:w="3408"/>
          </w:tcPr>
          <w:p>
            <w:pPr>
              <w:spacing w:after="0"/>
            </w:pPr>
            <w:r>
              <w:rPr>
                <w:rFonts w:ascii="Arial" w:hAnsi="Arial"/>
                <w:b w:val="0"/>
                <w:sz w:val="14"/>
              </w:rPr>
              <w:t>No dispute or appeal mechanisms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contestability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Dispute mechanisms exist for final outputs but do not extend to intermediate agent decisions; no remediation tracking or evidence reconstruction</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Dispute workflows, appeal mechanisms, and remediation tracking exist for most decisions; some gaps in evidence reconstruction, cross-agent dispute handling, or remediation verification</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contestability covering dispute workflows, appeal mechanisms, evidence reconstruction, remediation tracking, and closure verification for all agent decisions and outcomes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Contestability evaluation requires examining four capabilities: dispute workflows, evidence reconstruction, remediation tracking, and closure verification.</w:t>
      </w:r>
    </w:p>
    <w:p>
      <w:pPr>
        <w:spacing w:after="56"/>
      </w:pPr>
      <w:r>
        <w:t>Dispute workflows require mechanisms for users to challenge decisions and outcomes. Look for dispute submission interfaces, dispute routing, dispute tracking, and dispute resolution workflows. Evaluate whether disputes can be filed for specific agent decisions or outcomes and whether disputes are routed to appropriate human reviewers. Systems without structured dispute mechanisms score lower.</w:t>
      </w:r>
    </w:p>
    <w:p>
      <w:pPr>
        <w:spacing w:after="56"/>
      </w:pPr>
      <w:r>
        <w:t>Evidence reconstruction requires the ability to retrieve and present the evidence underlying a disputed decision. For agentic systems, this includes agent decision rationale, tool outputs, data sources, authority boundaries, and human approvals. Look for evidence retrieval interfaces that can reconstruct the full context of a decision. Systems that cannot reconstruct decision evidence score lower.</w:t>
      </w:r>
    </w:p>
    <w:p>
      <w:pPr>
        <w:spacing w:after="56"/>
      </w:pPr>
      <w:r>
        <w:t>Remediation tracking requires mechanisms for documenting and verifying corrective actions. When a dispute is upheld, look for remediation workflows that specify what correction is required, who is responsible for implementing it, and how completion is verified. Systems that resolve disputes without tracking remediation score lower.</w:t>
      </w:r>
    </w:p>
    <w:p>
      <w:pPr>
        <w:spacing w:after="56"/>
      </w:pPr>
      <w:r>
        <w:t>Closure verification requires confirmation that disputes are resolved and remediation is complete. Look for closure workflows that require explicit acceptance by the disputing party or an independent reviewer. Evaluate whether closure is recorded as evidence and whether closed disputes can be reopened if new information emerges. Systems that close disputes without verification score lower.</w:t>
      </w:r>
    </w:p>
    <w:p>
      <w:pPr>
        <w:pStyle w:val="Heading3"/>
      </w:pPr>
      <w:r>
        <w:t>Common Gaps</w:t>
      </w:r>
    </w:p>
    <w:p>
      <w:pPr>
        <w:spacing w:after="56"/>
      </w:pPr>
      <w:r>
        <w:t>The most common gap is contestability for final outputs but not for intermediate agent decisions. Organizations may allow users to challenge final outcomes while lacking mechanisms to challenge specific agent decisions, tool selections, or authority transitions that contributed to the outcome. Another common gap is dispute mechanisms that exist but cannot reconstruct the evidence needed to evaluate the dispute, forcing manual investigation and delaying resolution.</w:t>
      </w:r>
    </w:p>
    <w:p>
      <w:pPr>
        <w:pStyle w:val="Heading2"/>
      </w:pPr>
      <w:r>
        <w:t>7.15 RCCS-10: Monitoring</w:t>
      </w:r>
    </w:p>
    <w:p>
      <w:pPr>
        <w:pStyle w:val="Heading3"/>
      </w:pPr>
      <w:r>
        <w:t>Regulatory Basis</w:t>
      </w:r>
    </w:p>
    <w:p>
      <w:pPr>
        <w:spacing w:after="56"/>
      </w:pPr>
      <w:r>
        <w:t>Monitoring requirements are established in EU AI Act Article 72, which requires providers to establish a post-market monitoring system proportionate to the nature of the AI technologies and the risks of the high-risk AI system. ISO/IEC 42001 requires organizations to establish monitoring and measurement processes for AI systems. NIST AI RMF Manage function includes continuous monitoring as a key practice for detecting and responding to AI system issues.</w:t>
      </w:r>
    </w:p>
    <w:p>
      <w:pPr>
        <w:spacing w:after="56"/>
      </w:pPr>
      <w:r>
        <w:t>Monitoring is the mechanism for detecting when systems deviate from expected behavior, when risks materialize, or when governance controls fail. For agentic systems, monitoring must cover not only model performance but also agent behavior, authority drift, and lifecycle conformance.</w:t>
      </w:r>
    </w:p>
    <w:p>
      <w:pPr>
        <w:pStyle w:val="Heading3"/>
      </w:pPr>
      <w:r>
        <w:t>Core Question</w:t>
      </w:r>
    </w:p>
    <w:p>
      <w:pPr>
        <w:spacing w:after="56"/>
      </w:pPr>
      <w:r>
        <w:t>Does the system support continuous monitoring, incident detection, and drift detection across agent execution?</w:t>
      </w:r>
    </w:p>
    <w:p>
      <w:pPr>
        <w:pStyle w:val="Heading3"/>
      </w:pPr>
      <w:r>
        <w:t>Scoring Rubric</w:t>
      </w:r>
    </w:p>
    <w:p>
      <w:pPr>
        <w:keepNext/>
      </w:pPr>
      <w:r>
        <w:rPr>
          <w:b/>
          <w:sz w:val="16"/>
        </w:rPr>
        <w:t>Table T-07-12: RCCS-10 Monitoring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monitoring capability</w:t>
            </w:r>
          </w:p>
        </w:tc>
        <w:tc>
          <w:tcPr>
            <w:tcW w:type="dxa" w:w="3408"/>
          </w:tcPr>
          <w:p>
            <w:pPr>
              <w:spacing w:after="0"/>
            </w:pPr>
            <w:r>
              <w:rPr>
                <w:rFonts w:ascii="Arial" w:hAnsi="Arial"/>
                <w:b w:val="0"/>
                <w:sz w:val="14"/>
              </w:rPr>
              <w:t>No monitoring or alerting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monitoring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Monitoring exists for model performance but does not extend to agent behavior, authority drift, or lifecycle conformance</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Monitoring dashboards, alerting, and incident detection exist for models and some agent behaviors; some gaps in authority drift detection, lifecycle conformance monitoring, or incident response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continuous monitoring covering model performance, agent behavior, authority drift, lifecycle conformance, incident detection, and incident response with dashboards, alerting, and automated response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Monitoring evaluation requires examining four capabilities: monitoring dashboards, alerting mechanisms, drift detection, and incident response.</w:t>
      </w:r>
    </w:p>
    <w:p>
      <w:pPr>
        <w:spacing w:after="56"/>
      </w:pPr>
      <w:r>
        <w:t>Monitoring dashboards require visibility into system behavior and performance. Look for dashboards that show model performance metrics, agent execution statistics, tool usage patterns, authority boundary violations, and governance control status. Evaluate whether dashboards are designed for different audiences including operators, governance teams, and auditors. Systems without monitoring dashboards score lower.</w:t>
      </w:r>
    </w:p>
    <w:p>
      <w:pPr>
        <w:spacing w:after="56"/>
      </w:pPr>
      <w:r>
        <w:t>Alerting mechanisms require automated detection and notification of anomalies, policy violations, or risk events. Look for configurable alert rules, alert routing, and alert escalation. For agentic systems, evaluate whether alerts cover not only model performance degradation but also agent behavior anomalies, authority drift, and governance control failures. Systems that require manual monitoring score lower.</w:t>
      </w:r>
    </w:p>
    <w:p>
      <w:pPr>
        <w:spacing w:after="56"/>
      </w:pPr>
      <w:r>
        <w:t>Drift detection requires mechanisms for identifying when system behavior deviates from baseline. Look for model drift detection, data drift detection, and authority drift detection. Evaluate whether drift detection is automated and whether detected drift triggers alerts or intervention workflows. Systems without drift detection score lower.</w:t>
      </w:r>
    </w:p>
    <w:p>
      <w:pPr>
        <w:spacing w:after="56"/>
      </w:pPr>
      <w:r>
        <w:t>Incident response requires workflows for investigating and resolving detected issues. Look for incident creation, incident assignment, incident investigation, and incident closure workflows. Evaluate whether incident response is integrated with monitoring and alerting and whether incidents are tracked to closure. Systems that detect issues but lack incident response workflows score lower.</w:t>
      </w:r>
    </w:p>
    <w:p>
      <w:pPr>
        <w:pStyle w:val="Heading3"/>
      </w:pPr>
      <w:r>
        <w:t>Common Gaps</w:t>
      </w:r>
    </w:p>
    <w:p>
      <w:pPr>
        <w:spacing w:after="56"/>
      </w:pPr>
      <w:r>
        <w:t>The most common gap is monitoring for model performance but not for agent behavior or authority drift. Organizations may have strong ML monitoring practices while lacking visibility into whether agents are operating within their intended authority boundaries or whether agent behavior is drifting over time. Another common gap is monitoring that detects issues but lacks automated incident response, requiring manual investigation and intervention for every alert.</w:t>
      </w:r>
    </w:p>
    <w:p>
      <w:pPr>
        <w:pStyle w:val="Heading2"/>
      </w:pPr>
      <w:r>
        <w:t>7.16 Chapter Summary</w:t>
      </w:r>
    </w:p>
    <w:p>
      <w:pPr>
        <w:spacing w:after="56"/>
      </w:pPr>
      <w:r>
        <w:t>This chapter introduced the Regulatory Compliance Coverage Score (RCCS), the first of two scoring frameworks used in this white paper. RCCS measures how strongly a system covers existing regulatory and governance requirements across ten dimensions: risk management, data governance, documentation, record-keeping, transparency, human oversight, security, accountability, contestability, and monitoring. It is an analytical framework for comparing system capabilities against regulatory ideals, not a legal compliance certification.</w:t>
      </w:r>
    </w:p>
    <w:p>
      <w:pPr>
        <w:spacing w:after="56"/>
      </w:pPr>
      <w:r>
        <w:t>The ten RCCS dimensions map directly to recurring requirements in EU AI Act, GDPR, NIST AI RMF, ISO/IEC 42001, and Singapore MGF for Agentic AI. Risk management corresponds to EU AI Act Article 9 and NIST AI RMF core functions. Data governance corresponds to GDPR Article 5 and EU AI Act Article 10. Documentation corresponds to EU AI Act Article 11. Record-keeping corresponds to EU AI Act Article 12 and GDPR Article 30. Transparency corresponds to EU AI Act Article 13 and GDPR Articles 13-14. Human oversight corresponds to EU AI Act Article 14. Security corresponds to EU AI Act Article 15 and GDPR Article 32. Accountability corresponds to GDPR Article 5(2) and EU AI Act Article 26. Contestability corresponds to EU AI Act Article 86 and GDPR Article 22. Monitoring corresponds to EU AI Act Article 72. These mappings demonstrate that RCCS is grounded in existing regulatory requirements, not speculative future obligations.</w:t>
      </w:r>
    </w:p>
    <w:p>
      <w:pPr>
        <w:spacing w:after="56"/>
      </w:pPr>
      <w:r>
        <w:t>RCCS provides a baseline for evaluating whether systems provide the governance primitives that regulation increasingly requires. However, RCCS alone is insufficient for agentic systems. A system may score well on RCCS while lacking the lifecycle objects required to prove that agentic work moved from intent to accepted outcome under controlled authority, evidence, privacy, and remediation constraints. This is where ALCS becomes necessary. Chapter 8 introduces the Agentic Lifecycle Conformance Score (ALCS), which measures a different layer: whether a system supports the sixteen Missing Regulatory Objects that enable lifecycle responsibility compliance in multi-agent execution. RCCS and ALCS together provide a dual-layer assessment of system governance capability.</w:t>
      </w:r>
    </w:p>
    <w:p>
      <w:pPr>
        <w:pStyle w:val="Heading1"/>
      </w:pPr>
      <w:r>
        <w:t>Chapter 8: Agentic Lifecycle Conformance Score (ALCS)</w:t>
      </w:r>
    </w:p>
    <w:p>
      <w:pPr>
        <w:spacing w:after="56"/>
      </w:pPr>
      <w:r>
        <w:t>Version: v0.3.2-FRC-R3</w:t>
      </w:r>
    </w:p>
    <w:p>
      <w:pPr>
        <w:pStyle w:val="Heading2"/>
      </w:pPr>
      <w:r>
        <w:t>8.0 Chapter Overview</w:t>
      </w:r>
    </w:p>
    <w:p>
      <w:pPr>
        <w:spacing w:after="56"/>
      </w:pPr>
      <w:r>
        <w:t>This chapter introduces the Agentic Lifecycle Conformance Score (ALCS), the second of two scoring frameworks used in this white paper. ALCS measures whether a system defines the agentic lifecycle objects required for lifecycle responsibility compliance. It evaluates whether a system can express the sixteen Missing Regulatory Objects introduced in Chapter 6.</w:t>
      </w:r>
    </w:p>
    <w:p>
      <w:pPr>
        <w:spacing w:after="56"/>
      </w:pPr>
      <w:r>
        <w:t>ALCS is not a legal compliance certification, not a conformity assessment, and not a regulatory approval. It is an analytical framework for comparing system capabilities against lifecycle responsibility requirements. A system can have a strong RCCS score and still have a weak ALCS score. That is not a contradiction. It means the system may be strong in existing regulatory compliance coverage while lacking deeper lifecycle responsibility semantics for multi-agent work.</w:t>
      </w:r>
    </w:p>
    <w:p>
      <w:pPr>
        <w:spacing w:after="56"/>
      </w:pPr>
      <w:r>
        <w:t>RCCS measures regulatory compliance coverage. ALCS measures agentic lifecycle conformance. These are different layers, not competing scores. RCCS evaluates whether a system provides the governance primitives that existing regulation requires. ALCS evaluates whether a system provides the lifecycle objects that make agentic responsibility auditable, provable, and transferable across agents, humans, tools, projects, vendors, and organizational boundaries.</w:t>
      </w:r>
    </w:p>
    <w:p>
      <w:pPr>
        <w:spacing w:after="56"/>
      </w:pPr>
      <w:r>
        <w:t>The chapter defines the fifteen ALCS dimensions, explains the ALCS-to-MRO mapping, references the shared scoring procedure established in Chapter 7, and establishes clear boundaries around what ALCS measures and what it does not measure. Detailed scoring rubrics for each dimension are provided in sections 8.7 through 8.21 and expanded in Appendix F.</w:t>
      </w:r>
    </w:p>
    <w:p>
      <w:pPr>
        <w:pStyle w:val="Heading2"/>
      </w:pPr>
      <w:r>
        <w:t>8.1 What ALCS Measures</w:t>
      </w:r>
    </w:p>
    <w:p>
      <w:pPr>
        <w:spacing w:after="56"/>
      </w:pPr>
      <w:r>
        <w:t>ALCS measures whether a system defines the agentic lifecycle objects required for lifecycle responsibility compliance. It evaluates whether a system can express human-role-to-MAS responsibility mappings, delegated authority boundaries, agent role definitions, accepted outcome states, tool-action liability records, responsibility transfer semantics, authority drift detection, evidence partitioning, cross-project reuse controls, privacy lifecycle mappings, privacy-preserving validation protocols, evidence minimization policies, data subject rights reconciliation, processor chain tracking, and vendor substitution conformance.</w:t>
      </w:r>
    </w:p>
    <w:p>
      <w:pPr>
        <w:spacing w:after="56"/>
      </w:pPr>
      <w:r>
        <w:t>ALCS is not a legal compliance score. A high ALCS score does not mean a system is legally compliant. A low ALCS score does not mean a system is non-compliant. Legal compliance depends on organizational practice, deployment context, jurisdiction, risk class, and how the system is used. ALCS measures system capability to express lifecycle responsibility objects, not organizational conformance to legal obligations.</w:t>
      </w:r>
    </w:p>
    <w:p>
      <w:pPr>
        <w:spacing w:after="56"/>
      </w:pPr>
      <w:r>
        <w:t>ALCS is an analytical framework for comparing systems. It allows buyers, auditors, governance teams, and protocol designers to evaluate whether a system provides the lifecycle primitives required to prove that agentic work moved from intent to accepted outcome under controlled authority, evidence, privacy, and remediation constraints. It makes visible the difference between systems that provide lifecycle responsibility semantics and systems that provide only execution orchestration or observability features.</w:t>
      </w:r>
    </w:p>
    <w:p>
      <w:pPr>
        <w:spacing w:after="56"/>
      </w:pPr>
      <w:r>
        <w:t>The purpose of ALCS is to translate the sixteen Missing Regulatory Objects into measurable system capabilities. Regulation requires human oversight, but what does that mean in a multi-agent system? ALCS defines fifteen dimensions that operationalize lifecycle responsibility requirements into system features that can be evaluated, compared, and improved. It is a bridge between regulatory abstractions and lifecycle implementation.</w:t>
      </w:r>
    </w:p>
    <w:p>
      <w:pPr>
        <w:spacing w:after="56"/>
      </w:pPr>
      <w:r>
        <w:t>A system can have a strong RCCS score and a weak ALCS score. This is not a contradiction. It means the system may provide strong regulatory compliance coverage through risk management, documentation, record-keeping, transparency, human oversight, security, accountability, contestability, and monitoring capabilities while lacking the deeper lifecycle responsibility objects required to prove authority boundaries, responsibility transfer, evidence partitioning, privacy lifecycle mapping, and vendor substitution conformance in multi-agent execution. RCCS measures regulatory compliance coverage. ALCS measures agentic lifecycle conformance. Both are necessary. Neither alone is sufficient.</w:t>
      </w:r>
    </w:p>
    <w:p>
      <w:pPr>
        <w:pStyle w:val="Heading2"/>
      </w:pPr>
      <w:r>
        <w:t>8.2 ALCS Dimensions Overview</w:t>
      </w:r>
    </w:p>
    <w:p>
      <w:pPr>
        <w:spacing w:after="56"/>
      </w:pPr>
      <w:r>
        <w:t>ALCS evaluates systems across fifteen dimensions. Each dimension corresponds to one or more Missing Regulatory Objects. The dimensions are weighted to reflect their relative importance in lifecycle responsibility compliance.</w:t>
      </w:r>
    </w:p>
    <w:p>
      <w:pPr>
        <w:spacing w:after="56"/>
      </w:pPr>
      <w:r>
        <w:t>The fifteen ALCS dimensions are:</w:t>
      </w:r>
    </w:p>
    <w:p>
      <w:pPr>
        <w:pStyle w:val="ListNumber"/>
        <w:spacing w:after="56"/>
      </w:pPr>
      <w:r>
        <w:t>Human-Role-to-MAS Responsibility Mapping (8%) - Does the system map human roles to agent roles, delegated scopes, and evidence obligations?</w:t>
      </w:r>
    </w:p>
    <w:p>
      <w:pPr>
        <w:pStyle w:val="ListNumber"/>
        <w:spacing w:after="56"/>
      </w:pPr>
      <w:r>
        <w:t>Delegated Authority Boundary (8%) - Does the system define and enforce authority boundaries for agent actions?</w:t>
      </w:r>
    </w:p>
    <w:p>
      <w:pPr>
        <w:pStyle w:val="ListNumber"/>
        <w:spacing w:after="56"/>
      </w:pPr>
      <w:r>
        <w:t>Agent Role vs Human Role Distinction (5%) - Does the system distinguish agent roles from human roles with clear responsibility semantics?</w:t>
      </w:r>
    </w:p>
    <w:p>
      <w:pPr>
        <w:pStyle w:val="ListNumber"/>
        <w:spacing w:after="56"/>
      </w:pPr>
      <w:r>
        <w:t>Accepted Outcome Compliance (8%) - Does the system separate execution completion from outcome acceptance?</w:t>
      </w:r>
    </w:p>
    <w:p>
      <w:pPr>
        <w:pStyle w:val="ListNumber"/>
        <w:spacing w:after="56"/>
      </w:pPr>
      <w:r>
        <w:t>Tool-Action Liability Boundary (8%) - Does the system record liability boundaries for consequential tool actions?</w:t>
      </w:r>
    </w:p>
    <w:p>
      <w:pPr>
        <w:pStyle w:val="ListNumber"/>
        <w:spacing w:after="56"/>
      </w:pPr>
      <w:r>
        <w:t>Responsibility Transfer Across Agents (8%) - Does the system track responsibility transfer during agent handoffs?</w:t>
      </w:r>
    </w:p>
    <w:p>
      <w:pPr>
        <w:pStyle w:val="ListNumber"/>
        <w:spacing w:after="56"/>
      </w:pPr>
      <w:r>
        <w:t>Authority Drift Detection (5%) - Does the system detect unauthorized authority transitions?</w:t>
      </w:r>
    </w:p>
    <w:p>
      <w:pPr>
        <w:pStyle w:val="ListNumber"/>
        <w:spacing w:after="56"/>
      </w:pPr>
      <w:r>
        <w:t>MAS Evidence Partitioning (8%) - Does the system partition evidence by agent, tool, authority, and privacy boundaries?</w:t>
      </w:r>
    </w:p>
    <w:p>
      <w:pPr>
        <w:pStyle w:val="ListNumber"/>
        <w:spacing w:after="56"/>
      </w:pPr>
      <w:r>
        <w:t>Cross-Project Reuse Compliance (5%) - Does the system enforce revalidation when workflows are reused across projects?</w:t>
      </w:r>
    </w:p>
    <w:p>
      <w:pPr>
        <w:pStyle w:val="ListNumber"/>
        <w:spacing w:after="56"/>
      </w:pPr>
      <w:r>
        <w:t>Privacy/GDPR Lifecycle Mapping (8%) - Does the system map personal data flows across the agent lifecycle?</w:t>
      </w:r>
    </w:p>
    <w:p>
      <w:pPr>
        <w:pStyle w:val="ListNumber"/>
        <w:spacing w:after="56"/>
      </w:pPr>
      <w:r>
        <w:t>Privacy-Preserving Third-Party Validation (5%) - Does the system support validation without raw data disclosure?</w:t>
      </w:r>
    </w:p>
    <w:p>
      <w:pPr>
        <w:pStyle w:val="ListNumber"/>
        <w:spacing w:after="56"/>
      </w:pPr>
      <w:r>
        <w:t>Evidence Minimization and Selective Disclosure (5%) - Does the system minimize evidence retention and support selective disclosure?</w:t>
      </w:r>
    </w:p>
    <w:p>
      <w:pPr>
        <w:pStyle w:val="ListNumber"/>
        <w:spacing w:after="56"/>
      </w:pPr>
      <w:r>
        <w:t>Data Subject Rights vs Evidence Retention (5%) - Does the system reconcile data subject rights with evidence retention obligations?</w:t>
      </w:r>
    </w:p>
    <w:p>
      <w:pPr>
        <w:pStyle w:val="ListNumber"/>
        <w:spacing w:after="56"/>
      </w:pPr>
      <w:r>
        <w:t>Third-Party Processor/Subprocessor Chain (5%) - Does the system track processor and subprocessor usage at lifecycle granularity?</w:t>
      </w:r>
    </w:p>
    <w:p>
      <w:pPr>
        <w:pStyle w:val="ListNumber"/>
        <w:spacing w:after="56"/>
      </w:pPr>
      <w:r>
        <w:t>Vendor/Model/Runtime Substitution Conformance (5%) - Does the system enforce conformance revalidation when vendors are substituted?</w:t>
      </w:r>
    </w:p>
    <w:p>
      <w:pPr>
        <w:spacing w:after="56"/>
      </w:pPr>
      <w:r>
        <w:t>The following table summarizes the fifteen dimensions, their MRO mappings, core questions, and weights.</w:t>
      </w:r>
    </w:p>
    <w:p>
      <w:pPr>
        <w:keepNext/>
      </w:pPr>
      <w:r>
        <w:rPr>
          <w:b/>
          <w:sz w:val="16"/>
        </w:rPr>
        <w:t>Table T-08-01: ALCS Dimensions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Dimension</w:t>
            </w:r>
          </w:p>
        </w:tc>
        <w:tc>
          <w:tcPr>
            <w:tcW w:type="dxa" w:w="2556"/>
          </w:tcPr>
          <w:p>
            <w:pPr>
              <w:spacing w:after="0"/>
            </w:pPr>
            <w:r>
              <w:rPr>
                <w:rFonts w:ascii="Arial" w:hAnsi="Arial"/>
                <w:b/>
                <w:sz w:val="14"/>
              </w:rPr>
              <w:t>MRO Mapping</w:t>
            </w:r>
          </w:p>
        </w:tc>
        <w:tc>
          <w:tcPr>
            <w:tcW w:type="dxa" w:w="2556"/>
          </w:tcPr>
          <w:p>
            <w:pPr>
              <w:spacing w:after="0"/>
            </w:pPr>
            <w:r>
              <w:rPr>
                <w:rFonts w:ascii="Arial" w:hAnsi="Arial"/>
                <w:b/>
                <w:sz w:val="14"/>
              </w:rPr>
              <w:t>Core Question</w:t>
            </w:r>
          </w:p>
        </w:tc>
        <w:tc>
          <w:tcPr>
            <w:tcW w:type="dxa" w:w="2556"/>
          </w:tcPr>
          <w:p>
            <w:pPr>
              <w:spacing w:after="0"/>
            </w:pPr>
            <w:r>
              <w:rPr>
                <w:rFonts w:ascii="Arial" w:hAnsi="Arial"/>
                <w:b/>
                <w:sz w:val="14"/>
              </w:rPr>
              <w:t>Weight</w:t>
            </w:r>
          </w:p>
        </w:tc>
      </w:tr>
      <w:tr>
        <w:tc>
          <w:tcPr>
            <w:tcW w:type="dxa" w:w="2556"/>
          </w:tcPr>
          <w:p>
            <w:pPr>
              <w:spacing w:after="0"/>
            </w:pPr>
            <w:r>
              <w:rPr>
                <w:rFonts w:ascii="Arial" w:hAnsi="Arial"/>
                <w:b w:val="0"/>
                <w:sz w:val="14"/>
              </w:rPr>
              <w:t>Human-Role-to-MAS Responsibility Mapping</w:t>
            </w:r>
          </w:p>
        </w:tc>
        <w:tc>
          <w:tcPr>
            <w:tcW w:type="dxa" w:w="2556"/>
          </w:tcPr>
          <w:p>
            <w:pPr>
              <w:spacing w:after="0"/>
            </w:pPr>
            <w:r>
              <w:rPr>
                <w:rFonts w:ascii="Arial" w:hAnsi="Arial"/>
                <w:b w:val="0"/>
                <w:sz w:val="14"/>
              </w:rPr>
              <w:t>MRO-01</w:t>
            </w:r>
          </w:p>
        </w:tc>
        <w:tc>
          <w:tcPr>
            <w:tcW w:type="dxa" w:w="2556"/>
          </w:tcPr>
          <w:p>
            <w:pPr>
              <w:spacing w:after="0"/>
            </w:pPr>
            <w:r>
              <w:rPr>
                <w:rFonts w:ascii="Arial" w:hAnsi="Arial"/>
                <w:b w:val="0"/>
                <w:sz w:val="14"/>
              </w:rPr>
              <w:t>Does the system map human roles to agent roles, delegated scopes, and evidence obligations?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Delegated Authority Boundary</w:t>
            </w:r>
          </w:p>
        </w:tc>
        <w:tc>
          <w:tcPr>
            <w:tcW w:type="dxa" w:w="2556"/>
          </w:tcPr>
          <w:p>
            <w:pPr>
              <w:spacing w:after="0"/>
            </w:pPr>
            <w:r>
              <w:rPr>
                <w:rFonts w:ascii="Arial" w:hAnsi="Arial"/>
                <w:b w:val="0"/>
                <w:sz w:val="14"/>
              </w:rPr>
              <w:t>MRO-02</w:t>
            </w:r>
          </w:p>
        </w:tc>
        <w:tc>
          <w:tcPr>
            <w:tcW w:type="dxa" w:w="2556"/>
          </w:tcPr>
          <w:p>
            <w:pPr>
              <w:spacing w:after="0"/>
            </w:pPr>
            <w:r>
              <w:rPr>
                <w:rFonts w:ascii="Arial" w:hAnsi="Arial"/>
                <w:b w:val="0"/>
                <w:sz w:val="14"/>
              </w:rPr>
              <w:t>Does the system define and enforce authority boundaries for agent actions?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Agent Role vs Human Role Distinction</w:t>
            </w:r>
          </w:p>
        </w:tc>
        <w:tc>
          <w:tcPr>
            <w:tcW w:type="dxa" w:w="2556"/>
          </w:tcPr>
          <w:p>
            <w:pPr>
              <w:spacing w:after="0"/>
            </w:pPr>
            <w:r>
              <w:rPr>
                <w:rFonts w:ascii="Arial" w:hAnsi="Arial"/>
                <w:b w:val="0"/>
                <w:sz w:val="14"/>
              </w:rPr>
              <w:t>MRO-03</w:t>
            </w:r>
          </w:p>
        </w:tc>
        <w:tc>
          <w:tcPr>
            <w:tcW w:type="dxa" w:w="2556"/>
          </w:tcPr>
          <w:p>
            <w:pPr>
              <w:spacing w:after="0"/>
            </w:pPr>
            <w:r>
              <w:rPr>
                <w:rFonts w:ascii="Arial" w:hAnsi="Arial"/>
                <w:b w:val="0"/>
                <w:sz w:val="14"/>
              </w:rPr>
              <w:t>Does the system distinguish agent roles from human roles with clear responsibility semantics?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Accepted Outcome Compliance</w:t>
            </w:r>
          </w:p>
        </w:tc>
        <w:tc>
          <w:tcPr>
            <w:tcW w:type="dxa" w:w="2556"/>
          </w:tcPr>
          <w:p>
            <w:pPr>
              <w:spacing w:after="0"/>
            </w:pPr>
            <w:r>
              <w:rPr>
                <w:rFonts w:ascii="Arial" w:hAnsi="Arial"/>
                <w:b w:val="0"/>
                <w:sz w:val="14"/>
              </w:rPr>
              <w:t>MRO-04</w:t>
            </w:r>
          </w:p>
        </w:tc>
        <w:tc>
          <w:tcPr>
            <w:tcW w:type="dxa" w:w="2556"/>
          </w:tcPr>
          <w:p>
            <w:pPr>
              <w:spacing w:after="0"/>
            </w:pPr>
            <w:r>
              <w:rPr>
                <w:rFonts w:ascii="Arial" w:hAnsi="Arial"/>
                <w:b w:val="0"/>
                <w:sz w:val="14"/>
              </w:rPr>
              <w:t>Does the system separate execution completion from outcome acceptance?</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Tool-Action Liability Boundary</w:t>
            </w:r>
          </w:p>
        </w:tc>
        <w:tc>
          <w:tcPr>
            <w:tcW w:type="dxa" w:w="2556"/>
          </w:tcPr>
          <w:p>
            <w:pPr>
              <w:spacing w:after="0"/>
            </w:pPr>
            <w:r>
              <w:rPr>
                <w:rFonts w:ascii="Arial" w:hAnsi="Arial"/>
                <w:b w:val="0"/>
                <w:sz w:val="14"/>
              </w:rPr>
              <w:t>MRO-05</w:t>
            </w:r>
          </w:p>
        </w:tc>
        <w:tc>
          <w:tcPr>
            <w:tcW w:type="dxa" w:w="2556"/>
          </w:tcPr>
          <w:p>
            <w:pPr>
              <w:spacing w:after="0"/>
            </w:pPr>
            <w:r>
              <w:rPr>
                <w:rFonts w:ascii="Arial" w:hAnsi="Arial"/>
                <w:b w:val="0"/>
                <w:sz w:val="14"/>
              </w:rPr>
              <w:t>Does the system record liability boundaries for consequential tool actions?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Responsibility Transfer Across Agents</w:t>
            </w:r>
          </w:p>
        </w:tc>
        <w:tc>
          <w:tcPr>
            <w:tcW w:type="dxa" w:w="2556"/>
          </w:tcPr>
          <w:p>
            <w:pPr>
              <w:spacing w:after="0"/>
            </w:pPr>
            <w:r>
              <w:rPr>
                <w:rFonts w:ascii="Arial" w:hAnsi="Arial"/>
                <w:b w:val="0"/>
                <w:sz w:val="14"/>
              </w:rPr>
              <w:t>MRO-06</w:t>
            </w:r>
          </w:p>
        </w:tc>
        <w:tc>
          <w:tcPr>
            <w:tcW w:type="dxa" w:w="2556"/>
          </w:tcPr>
          <w:p>
            <w:pPr>
              <w:spacing w:after="0"/>
            </w:pPr>
            <w:r>
              <w:rPr>
                <w:rFonts w:ascii="Arial" w:hAnsi="Arial"/>
                <w:b w:val="0"/>
                <w:sz w:val="14"/>
              </w:rPr>
              <w:t>Does the system track responsibility transfer during agent handoffs?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Authority Drift Detection</w:t>
            </w:r>
          </w:p>
        </w:tc>
        <w:tc>
          <w:tcPr>
            <w:tcW w:type="dxa" w:w="2556"/>
          </w:tcPr>
          <w:p>
            <w:pPr>
              <w:spacing w:after="0"/>
            </w:pPr>
            <w:r>
              <w:rPr>
                <w:rFonts w:ascii="Arial" w:hAnsi="Arial"/>
                <w:b w:val="0"/>
                <w:sz w:val="14"/>
              </w:rPr>
              <w:t>MRO-07</w:t>
            </w:r>
          </w:p>
        </w:tc>
        <w:tc>
          <w:tcPr>
            <w:tcW w:type="dxa" w:w="2556"/>
          </w:tcPr>
          <w:p>
            <w:pPr>
              <w:spacing w:after="0"/>
            </w:pPr>
            <w:r>
              <w:rPr>
                <w:rFonts w:ascii="Arial" w:hAnsi="Arial"/>
                <w:b w:val="0"/>
                <w:sz w:val="14"/>
              </w:rPr>
              <w:t>Does the system detect unauthorized authority transitions?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MAS Evidence Partitioning</w:t>
            </w:r>
          </w:p>
        </w:tc>
        <w:tc>
          <w:tcPr>
            <w:tcW w:type="dxa" w:w="2556"/>
          </w:tcPr>
          <w:p>
            <w:pPr>
              <w:spacing w:after="0"/>
            </w:pPr>
            <w:r>
              <w:rPr>
                <w:rFonts w:ascii="Arial" w:hAnsi="Arial"/>
                <w:b w:val="0"/>
                <w:sz w:val="14"/>
              </w:rPr>
              <w:t>MRO-08</w:t>
            </w:r>
          </w:p>
        </w:tc>
        <w:tc>
          <w:tcPr>
            <w:tcW w:type="dxa" w:w="2556"/>
          </w:tcPr>
          <w:p>
            <w:pPr>
              <w:spacing w:after="0"/>
            </w:pPr>
            <w:r>
              <w:rPr>
                <w:rFonts w:ascii="Arial" w:hAnsi="Arial"/>
                <w:b w:val="0"/>
                <w:sz w:val="14"/>
              </w:rPr>
              <w:t>Does the system partition evidence by agent, tool, authority, and privacy boundaries?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Cross-Project Reuse Compliance</w:t>
            </w:r>
          </w:p>
        </w:tc>
        <w:tc>
          <w:tcPr>
            <w:tcW w:type="dxa" w:w="2556"/>
          </w:tcPr>
          <w:p>
            <w:pPr>
              <w:spacing w:after="0"/>
            </w:pPr>
            <w:r>
              <w:rPr>
                <w:rFonts w:ascii="Arial" w:hAnsi="Arial"/>
                <w:b w:val="0"/>
                <w:sz w:val="14"/>
              </w:rPr>
              <w:t>MRO-09</w:t>
            </w:r>
          </w:p>
        </w:tc>
        <w:tc>
          <w:tcPr>
            <w:tcW w:type="dxa" w:w="2556"/>
          </w:tcPr>
          <w:p>
            <w:pPr>
              <w:spacing w:after="0"/>
            </w:pPr>
            <w:r>
              <w:rPr>
                <w:rFonts w:ascii="Arial" w:hAnsi="Arial"/>
                <w:b w:val="0"/>
                <w:sz w:val="14"/>
              </w:rPr>
              <w:t>Does the system enforce revalidation when workflows are reused across projects?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Privacy/GDPR Lifecycle Mapping</w:t>
            </w:r>
          </w:p>
        </w:tc>
        <w:tc>
          <w:tcPr>
            <w:tcW w:type="dxa" w:w="2556"/>
          </w:tcPr>
          <w:p>
            <w:pPr>
              <w:spacing w:after="0"/>
            </w:pPr>
            <w:r>
              <w:rPr>
                <w:rFonts w:ascii="Arial" w:hAnsi="Arial"/>
                <w:b w:val="0"/>
                <w:sz w:val="14"/>
              </w:rPr>
              <w:t>MRO-10</w:t>
            </w:r>
          </w:p>
        </w:tc>
        <w:tc>
          <w:tcPr>
            <w:tcW w:type="dxa" w:w="2556"/>
          </w:tcPr>
          <w:p>
            <w:pPr>
              <w:spacing w:after="0"/>
            </w:pPr>
            <w:r>
              <w:rPr>
                <w:rFonts w:ascii="Arial" w:hAnsi="Arial"/>
                <w:b w:val="0"/>
                <w:sz w:val="14"/>
              </w:rPr>
              <w:t>Does the system map personal data flows across the agent lifecycle?</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Privacy-Preserving Third-Party Validation</w:t>
            </w:r>
          </w:p>
        </w:tc>
        <w:tc>
          <w:tcPr>
            <w:tcW w:type="dxa" w:w="2556"/>
          </w:tcPr>
          <w:p>
            <w:pPr>
              <w:spacing w:after="0"/>
            </w:pPr>
            <w:r>
              <w:rPr>
                <w:rFonts w:ascii="Arial" w:hAnsi="Arial"/>
                <w:b w:val="0"/>
                <w:sz w:val="14"/>
              </w:rPr>
              <w:t>MRO-11</w:t>
            </w:r>
          </w:p>
        </w:tc>
        <w:tc>
          <w:tcPr>
            <w:tcW w:type="dxa" w:w="2556"/>
          </w:tcPr>
          <w:p>
            <w:pPr>
              <w:spacing w:after="0"/>
            </w:pPr>
            <w:r>
              <w:rPr>
                <w:rFonts w:ascii="Arial" w:hAnsi="Arial"/>
                <w:b w:val="0"/>
                <w:sz w:val="14"/>
              </w:rPr>
              <w:t>Does the system support validation without raw data disclosure?</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Evidence Minimization and Selective Disclosure</w:t>
            </w:r>
          </w:p>
        </w:tc>
        <w:tc>
          <w:tcPr>
            <w:tcW w:type="dxa" w:w="2556"/>
          </w:tcPr>
          <w:p>
            <w:pPr>
              <w:spacing w:after="0"/>
            </w:pPr>
            <w:r>
              <w:rPr>
                <w:rFonts w:ascii="Arial" w:hAnsi="Arial"/>
                <w:b w:val="0"/>
                <w:sz w:val="14"/>
              </w:rPr>
              <w:t>MRO-12</w:t>
            </w:r>
          </w:p>
        </w:tc>
        <w:tc>
          <w:tcPr>
            <w:tcW w:type="dxa" w:w="2556"/>
          </w:tcPr>
          <w:p>
            <w:pPr>
              <w:spacing w:after="0"/>
            </w:pPr>
            <w:r>
              <w:rPr>
                <w:rFonts w:ascii="Arial" w:hAnsi="Arial"/>
                <w:b w:val="0"/>
                <w:sz w:val="14"/>
              </w:rPr>
              <w:t>Does the system minimize evidence retention and support selective disclosure?</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Data Subject Rights vs Evidence Retention</w:t>
            </w:r>
          </w:p>
        </w:tc>
        <w:tc>
          <w:tcPr>
            <w:tcW w:type="dxa" w:w="2556"/>
          </w:tcPr>
          <w:p>
            <w:pPr>
              <w:spacing w:after="0"/>
            </w:pPr>
            <w:r>
              <w:rPr>
                <w:rFonts w:ascii="Arial" w:hAnsi="Arial"/>
                <w:b w:val="0"/>
                <w:sz w:val="14"/>
              </w:rPr>
              <w:t>MRO-13</w:t>
            </w:r>
          </w:p>
        </w:tc>
        <w:tc>
          <w:tcPr>
            <w:tcW w:type="dxa" w:w="2556"/>
          </w:tcPr>
          <w:p>
            <w:pPr>
              <w:spacing w:after="0"/>
            </w:pPr>
            <w:r>
              <w:rPr>
                <w:rFonts w:ascii="Arial" w:hAnsi="Arial"/>
                <w:b w:val="0"/>
                <w:sz w:val="14"/>
              </w:rPr>
              <w:t>Does the system reconcile data subject rights with evidence retention obligations?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Third-Party Processor/Subprocessor Chain</w:t>
            </w:r>
          </w:p>
        </w:tc>
        <w:tc>
          <w:tcPr>
            <w:tcW w:type="dxa" w:w="2556"/>
          </w:tcPr>
          <w:p>
            <w:pPr>
              <w:spacing w:after="0"/>
            </w:pPr>
            <w:r>
              <w:rPr>
                <w:rFonts w:ascii="Arial" w:hAnsi="Arial"/>
                <w:b w:val="0"/>
                <w:sz w:val="14"/>
              </w:rPr>
              <w:t>MRO-14</w:t>
            </w:r>
          </w:p>
        </w:tc>
        <w:tc>
          <w:tcPr>
            <w:tcW w:type="dxa" w:w="2556"/>
          </w:tcPr>
          <w:p>
            <w:pPr>
              <w:spacing w:after="0"/>
            </w:pPr>
            <w:r>
              <w:rPr>
                <w:rFonts w:ascii="Arial" w:hAnsi="Arial"/>
                <w:b w:val="0"/>
                <w:sz w:val="14"/>
              </w:rPr>
              <w:t>Does the system track processor and subprocessor usage at lifecycle granularity?</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Vendor/Model/Runtime Substitution Conformance</w:t>
            </w:r>
          </w:p>
        </w:tc>
        <w:tc>
          <w:tcPr>
            <w:tcW w:type="dxa" w:w="2556"/>
          </w:tcPr>
          <w:p>
            <w:pPr>
              <w:spacing w:after="0"/>
            </w:pPr>
            <w:r>
              <w:rPr>
                <w:rFonts w:ascii="Arial" w:hAnsi="Arial"/>
                <w:b w:val="0"/>
                <w:sz w:val="14"/>
              </w:rPr>
              <w:t>MRO-15</w:t>
            </w:r>
          </w:p>
        </w:tc>
        <w:tc>
          <w:tcPr>
            <w:tcW w:type="dxa" w:w="2556"/>
          </w:tcPr>
          <w:p>
            <w:pPr>
              <w:spacing w:after="0"/>
            </w:pPr>
            <w:r>
              <w:rPr>
                <w:rFonts w:ascii="Arial" w:hAnsi="Arial"/>
                <w:b w:val="0"/>
                <w:sz w:val="14"/>
              </w:rPr>
              <w:t>Does the system enforce conformance revalidation when vendors are substituted?</w:t>
            </w:r>
          </w:p>
        </w:tc>
        <w:tc>
          <w:tcPr>
            <w:tcW w:type="dxa" w:w="2556"/>
          </w:tcPr>
          <w:p>
            <w:pPr>
              <w:spacing w:after="0"/>
            </w:pPr>
            <w:r>
              <w:rPr>
                <w:rFonts w:ascii="Arial" w:hAnsi="Arial"/>
                <w:b w:val="0"/>
                <w:sz w:val="14"/>
              </w:rPr>
              <w:t>5%</w:t>
            </w:r>
          </w:p>
        </w:tc>
      </w:tr>
    </w:tbl>
    <w:p>
      <w:pPr>
        <w:spacing w:after="56"/>
      </w:pPr>
      <w:r>
        <w:t>Note: MRO-16 (Incident, Dispute, and Remediation Closure) is not directly mapped to a single ALCS dimension. It is a cross-cutting lifecycle capability that spans multiple dimensions including contestability, evidence partitioning, and continuous improvement. Incident closure capability is evaluated within the RCCS Contestability and Monitoring dimensions rather than as a separate ALCS dimension.</w:t>
      </w:r>
    </w:p>
    <w:p>
      <w:pPr>
        <w:pStyle w:val="Heading2"/>
      </w:pPr>
      <w:r>
        <w:t>8.3 ALCS-to-MRO Mapping</w:t>
      </w:r>
    </w:p>
    <w:p>
      <w:pPr>
        <w:spacing w:after="56"/>
      </w:pPr>
      <w:r>
        <w:t>Each ALCS dimension maps to one or more Missing Regulatory Objects. The mapping shows how ALCS dimensions operationalize MRO requirements into measurable system capabilities. ALCS dimensions are not merely restatements of MROs. They are evaluation criteria that translate MRO requirements into system features that can be scored, compared, and improved.</w:t>
      </w:r>
    </w:p>
    <w:p>
      <w:pPr>
        <w:spacing w:after="56"/>
      </w:pPr>
      <w:r>
        <w:t>The mapping is primarily one-to-one: each ALCS dimension corresponds to a single primary MRO. However, some dimensions have secondary MRO relationships because lifecycle responsibility objects are interconnected. For example, Human-Role-to-MAS Responsibility Mapping (ALCS-01) primarily maps to MRO-01 but also relates to MRO-03 (Agent Role vs Human Role) and MRO-06 (Responsibility Transfer) because responsibility mapping, role distinction, and transfer semantics are interdependent.</w:t>
      </w:r>
    </w:p>
    <w:p>
      <w:pPr>
        <w:spacing w:after="56"/>
      </w:pPr>
      <w:r>
        <w:t>The following table provides detailed ALCS-to-MRO mapping, including primary MRO, secondary MROs, lifecycle phase, and core object required.</w:t>
      </w:r>
    </w:p>
    <w:p>
      <w:pPr>
        <w:keepNext/>
      </w:pPr>
      <w:r>
        <w:rPr>
          <w:b/>
          <w:sz w:val="16"/>
        </w:rPr>
        <w:t>Table T-08-02: ALCS-to-MRO Mapping</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ALCS Dimension</w:t>
            </w:r>
          </w:p>
        </w:tc>
        <w:tc>
          <w:tcPr>
            <w:tcW w:type="dxa" w:w="2045"/>
          </w:tcPr>
          <w:p>
            <w:pPr>
              <w:spacing w:after="0"/>
            </w:pPr>
            <w:r>
              <w:rPr>
                <w:rFonts w:ascii="Arial" w:hAnsi="Arial"/>
                <w:b/>
                <w:sz w:val="14"/>
              </w:rPr>
              <w:t>Primary MRO</w:t>
            </w:r>
          </w:p>
        </w:tc>
        <w:tc>
          <w:tcPr>
            <w:tcW w:type="dxa" w:w="2045"/>
          </w:tcPr>
          <w:p>
            <w:pPr>
              <w:spacing w:after="0"/>
            </w:pPr>
            <w:r>
              <w:rPr>
                <w:rFonts w:ascii="Arial" w:hAnsi="Arial"/>
                <w:b/>
                <w:sz w:val="14"/>
              </w:rPr>
              <w:t>Secondary MROs</w:t>
            </w:r>
          </w:p>
        </w:tc>
        <w:tc>
          <w:tcPr>
            <w:tcW w:type="dxa" w:w="2045"/>
          </w:tcPr>
          <w:p>
            <w:pPr>
              <w:spacing w:after="0"/>
            </w:pPr>
            <w:r>
              <w:rPr>
                <w:rFonts w:ascii="Arial" w:hAnsi="Arial"/>
                <w:b/>
                <w:sz w:val="14"/>
              </w:rPr>
              <w:t>Lifecycle Phase</w:t>
            </w:r>
          </w:p>
        </w:tc>
        <w:tc>
          <w:tcPr>
            <w:tcW w:type="dxa" w:w="2045"/>
          </w:tcPr>
          <w:p>
            <w:pPr>
              <w:spacing w:after="0"/>
            </w:pPr>
            <w:r>
              <w:rPr>
                <w:rFonts w:ascii="Arial" w:hAnsi="Arial"/>
                <w:b/>
                <w:sz w:val="14"/>
              </w:rPr>
              <w:t>Core Object Required</w:t>
            </w:r>
          </w:p>
        </w:tc>
      </w:tr>
      <w:tr>
        <w:tc>
          <w:tcPr>
            <w:tcW w:type="dxa" w:w="2045"/>
          </w:tcPr>
          <w:p>
            <w:pPr>
              <w:spacing w:after="0"/>
            </w:pPr>
            <w:r>
              <w:rPr>
                <w:rFonts w:ascii="Arial" w:hAnsi="Arial"/>
                <w:b w:val="0"/>
                <w:sz w:val="14"/>
              </w:rPr>
              <w:t>ALCS-01: Human-Role-to-MAS Responsibility Mapping</w:t>
            </w:r>
          </w:p>
        </w:tc>
        <w:tc>
          <w:tcPr>
            <w:tcW w:type="dxa" w:w="2045"/>
          </w:tcPr>
          <w:p>
            <w:pPr>
              <w:spacing w:after="0"/>
            </w:pPr>
            <w:r>
              <w:rPr>
                <w:rFonts w:ascii="Arial" w:hAnsi="Arial"/>
                <w:b w:val="0"/>
                <w:sz w:val="14"/>
              </w:rPr>
              <w:t>MRO-01</w:t>
            </w:r>
          </w:p>
        </w:tc>
        <w:tc>
          <w:tcPr>
            <w:tcW w:type="dxa" w:w="2045"/>
          </w:tcPr>
          <w:p>
            <w:pPr>
              <w:spacing w:after="0"/>
            </w:pPr>
            <w:r>
              <w:rPr>
                <w:rFonts w:ascii="Arial" w:hAnsi="Arial"/>
                <w:b w:val="0"/>
                <w:sz w:val="14"/>
              </w:rPr>
              <w:t>MRO-03, MRO-06</w:t>
            </w:r>
          </w:p>
        </w:tc>
        <w:tc>
          <w:tcPr>
            <w:tcW w:type="dxa" w:w="2045"/>
          </w:tcPr>
          <w:p>
            <w:pPr>
              <w:spacing w:after="0"/>
            </w:pPr>
            <w:r>
              <w:rPr>
                <w:rFonts w:ascii="Arial" w:hAnsi="Arial"/>
                <w:b w:val="0"/>
                <w:sz w:val="14"/>
              </w:rPr>
              <w:t>Intent, delegation, acceptance</w:t>
            </w:r>
          </w:p>
        </w:tc>
        <w:tc>
          <w:tcPr>
            <w:tcW w:type="dxa" w:w="2045"/>
          </w:tcPr>
          <w:p>
            <w:pPr>
              <w:spacing w:after="0"/>
            </w:pPr>
            <w:r>
              <w:rPr>
                <w:rFonts w:ascii="Arial" w:hAnsi="Arial"/>
                <w:b w:val="0"/>
                <w:sz w:val="14"/>
              </w:rPr>
              <w:t>Role-responsibility map binding human role IDs, agent role IDs, delegated scopes, evidence obligations</w:t>
            </w:r>
          </w:p>
        </w:tc>
      </w:tr>
      <w:tr>
        <w:tc>
          <w:tcPr>
            <w:tcW w:type="dxa" w:w="2045"/>
          </w:tcPr>
          <w:p>
            <w:pPr>
              <w:spacing w:after="0"/>
            </w:pPr>
            <w:r>
              <w:rPr>
                <w:rFonts w:ascii="Arial" w:hAnsi="Arial"/>
                <w:b w:val="0"/>
                <w:sz w:val="14"/>
              </w:rPr>
              <w:t>ALCS-02: Delegated Authority Boundary</w:t>
            </w:r>
          </w:p>
        </w:tc>
        <w:tc>
          <w:tcPr>
            <w:tcW w:type="dxa" w:w="2045"/>
          </w:tcPr>
          <w:p>
            <w:pPr>
              <w:spacing w:after="0"/>
            </w:pPr>
            <w:r>
              <w:rPr>
                <w:rFonts w:ascii="Arial" w:hAnsi="Arial"/>
                <w:b w:val="0"/>
                <w:sz w:val="14"/>
              </w:rPr>
              <w:t>MRO-02</w:t>
            </w:r>
          </w:p>
        </w:tc>
        <w:tc>
          <w:tcPr>
            <w:tcW w:type="dxa" w:w="2045"/>
          </w:tcPr>
          <w:p>
            <w:pPr>
              <w:spacing w:after="0"/>
            </w:pPr>
            <w:r>
              <w:rPr>
                <w:rFonts w:ascii="Arial" w:hAnsi="Arial"/>
                <w:b w:val="0"/>
                <w:sz w:val="14"/>
              </w:rPr>
              <w:t>MRO-07</w:t>
            </w:r>
          </w:p>
        </w:tc>
        <w:tc>
          <w:tcPr>
            <w:tcW w:type="dxa" w:w="2045"/>
          </w:tcPr>
          <w:p>
            <w:pPr>
              <w:spacing w:after="0"/>
            </w:pPr>
            <w:r>
              <w:rPr>
                <w:rFonts w:ascii="Arial" w:hAnsi="Arial"/>
                <w:b w:val="0"/>
                <w:sz w:val="14"/>
              </w:rPr>
              <w:t>Delegation, execution, monitoring</w:t>
            </w:r>
          </w:p>
        </w:tc>
        <w:tc>
          <w:tcPr>
            <w:tcW w:type="dxa" w:w="2045"/>
          </w:tcPr>
          <w:p>
            <w:pPr>
              <w:spacing w:after="0"/>
            </w:pPr>
            <w:r>
              <w:rPr>
                <w:rFonts w:ascii="Arial" w:hAnsi="Arial"/>
                <w:b w:val="0"/>
                <w:sz w:val="14"/>
              </w:rPr>
              <w:t>Authority boundary object binding role, action, scope, condition, risk class, expiry, escalation path</w:t>
            </w:r>
          </w:p>
        </w:tc>
      </w:tr>
      <w:tr>
        <w:tc>
          <w:tcPr>
            <w:tcW w:type="dxa" w:w="2045"/>
          </w:tcPr>
          <w:p>
            <w:pPr>
              <w:spacing w:after="0"/>
            </w:pPr>
            <w:r>
              <w:rPr>
                <w:rFonts w:ascii="Arial" w:hAnsi="Arial"/>
                <w:b w:val="0"/>
                <w:sz w:val="14"/>
              </w:rPr>
              <w:t>ALCS-03: Agent Role vs Human Role Distinction</w:t>
            </w:r>
          </w:p>
        </w:tc>
        <w:tc>
          <w:tcPr>
            <w:tcW w:type="dxa" w:w="2045"/>
          </w:tcPr>
          <w:p>
            <w:pPr>
              <w:spacing w:after="0"/>
            </w:pPr>
            <w:r>
              <w:rPr>
                <w:rFonts w:ascii="Arial" w:hAnsi="Arial"/>
                <w:b w:val="0"/>
                <w:sz w:val="14"/>
              </w:rPr>
              <w:t>MRO-03</w:t>
            </w:r>
          </w:p>
        </w:tc>
        <w:tc>
          <w:tcPr>
            <w:tcW w:type="dxa" w:w="2045"/>
          </w:tcPr>
          <w:p>
            <w:pPr>
              <w:spacing w:after="0"/>
            </w:pPr>
            <w:r>
              <w:rPr>
                <w:rFonts w:ascii="Arial" w:hAnsi="Arial"/>
                <w:b w:val="0"/>
                <w:sz w:val="14"/>
              </w:rPr>
              <w:t>MRO-01</w:t>
            </w:r>
          </w:p>
        </w:tc>
        <w:tc>
          <w:tcPr>
            <w:tcW w:type="dxa" w:w="2045"/>
          </w:tcPr>
          <w:p>
            <w:pPr>
              <w:spacing w:after="0"/>
            </w:pPr>
            <w:r>
              <w:rPr>
                <w:rFonts w:ascii="Arial" w:hAnsi="Arial"/>
                <w:b w:val="0"/>
                <w:sz w:val="14"/>
              </w:rPr>
              <w:t>Role definition, delegation</w:t>
            </w:r>
          </w:p>
        </w:tc>
        <w:tc>
          <w:tcPr>
            <w:tcW w:type="dxa" w:w="2045"/>
          </w:tcPr>
          <w:p>
            <w:pPr>
              <w:spacing w:after="0"/>
            </w:pPr>
            <w:r>
              <w:rPr>
                <w:rFonts w:ascii="Arial" w:hAnsi="Arial"/>
                <w:b w:val="0"/>
                <w:sz w:val="14"/>
              </w:rPr>
              <w:t>Agent responsibility boundary declaring duties, non-duties, allowed tools, inherited constraints, human accountability linkage</w:t>
            </w:r>
          </w:p>
        </w:tc>
      </w:tr>
      <w:tr>
        <w:tc>
          <w:tcPr>
            <w:tcW w:type="dxa" w:w="2045"/>
          </w:tcPr>
          <w:p>
            <w:pPr>
              <w:spacing w:after="0"/>
            </w:pPr>
            <w:r>
              <w:rPr>
                <w:rFonts w:ascii="Arial" w:hAnsi="Arial"/>
                <w:b w:val="0"/>
                <w:sz w:val="14"/>
              </w:rPr>
              <w:t>ALCS-04: Accepted Outcome Compliance</w:t>
            </w:r>
          </w:p>
        </w:tc>
        <w:tc>
          <w:tcPr>
            <w:tcW w:type="dxa" w:w="2045"/>
          </w:tcPr>
          <w:p>
            <w:pPr>
              <w:spacing w:after="0"/>
            </w:pPr>
            <w:r>
              <w:rPr>
                <w:rFonts w:ascii="Arial" w:hAnsi="Arial"/>
                <w:b w:val="0"/>
                <w:sz w:val="14"/>
              </w:rPr>
              <w:t>MRO-04</w:t>
            </w:r>
          </w:p>
        </w:tc>
        <w:tc>
          <w:tcPr>
            <w:tcW w:type="dxa" w:w="2045"/>
          </w:tcPr>
          <w:p>
            <w:pPr>
              <w:spacing w:after="0"/>
            </w:pPr>
            <w:r>
              <w:rPr>
                <w:rFonts w:ascii="Arial" w:hAnsi="Arial"/>
                <w:b w:val="0"/>
                <w:sz w:val="14"/>
              </w:rPr>
              <w:t>MRO-01, MRO-08</w:t>
            </w:r>
          </w:p>
        </w:tc>
        <w:tc>
          <w:tcPr>
            <w:tcW w:type="dxa" w:w="2045"/>
          </w:tcPr>
          <w:p>
            <w:pPr>
              <w:spacing w:after="0"/>
            </w:pPr>
            <w:r>
              <w:rPr>
                <w:rFonts w:ascii="Arial" w:hAnsi="Arial"/>
                <w:b w:val="0"/>
                <w:sz w:val="14"/>
              </w:rPr>
              <w:t>Review, acceptance, dispute</w:t>
            </w:r>
          </w:p>
        </w:tc>
        <w:tc>
          <w:tcPr>
            <w:tcW w:type="dxa" w:w="2045"/>
          </w:tcPr>
          <w:p>
            <w:pPr>
              <w:spacing w:after="0"/>
            </w:pPr>
            <w:r>
              <w:rPr>
                <w:rFonts w:ascii="Arial" w:hAnsi="Arial"/>
                <w:b w:val="0"/>
                <w:sz w:val="14"/>
              </w:rPr>
              <w:t>Accepted outcome state linking intent, plan, trace, reviewer, acceptance status, dispute window, remediation route</w:t>
            </w:r>
          </w:p>
        </w:tc>
      </w:tr>
      <w:tr>
        <w:tc>
          <w:tcPr>
            <w:tcW w:type="dxa" w:w="2045"/>
          </w:tcPr>
          <w:p>
            <w:pPr>
              <w:spacing w:after="0"/>
            </w:pPr>
            <w:r>
              <w:rPr>
                <w:rFonts w:ascii="Arial" w:hAnsi="Arial"/>
                <w:b w:val="0"/>
                <w:sz w:val="14"/>
              </w:rPr>
              <w:t>ALCS-05: Tool-Action Liability Boundary</w:t>
            </w:r>
          </w:p>
        </w:tc>
        <w:tc>
          <w:tcPr>
            <w:tcW w:type="dxa" w:w="2045"/>
          </w:tcPr>
          <w:p>
            <w:pPr>
              <w:spacing w:after="0"/>
            </w:pPr>
            <w:r>
              <w:rPr>
                <w:rFonts w:ascii="Arial" w:hAnsi="Arial"/>
                <w:b w:val="0"/>
                <w:sz w:val="14"/>
              </w:rPr>
              <w:t>MRO-05</w:t>
            </w:r>
          </w:p>
        </w:tc>
        <w:tc>
          <w:tcPr>
            <w:tcW w:type="dxa" w:w="2045"/>
          </w:tcPr>
          <w:p>
            <w:pPr>
              <w:spacing w:after="0"/>
            </w:pPr>
            <w:r>
              <w:rPr>
                <w:rFonts w:ascii="Arial" w:hAnsi="Arial"/>
                <w:b w:val="0"/>
                <w:sz w:val="14"/>
              </w:rPr>
              <w:t>MRO-02, MRO-08</w:t>
            </w:r>
          </w:p>
        </w:tc>
        <w:tc>
          <w:tcPr>
            <w:tcW w:type="dxa" w:w="2045"/>
          </w:tcPr>
          <w:p>
            <w:pPr>
              <w:spacing w:after="0"/>
            </w:pPr>
            <w:r>
              <w:rPr>
                <w:rFonts w:ascii="Arial" w:hAnsi="Arial"/>
                <w:b w:val="0"/>
                <w:sz w:val="14"/>
              </w:rPr>
              <w:t>Execution, external action</w:t>
            </w:r>
          </w:p>
        </w:tc>
        <w:tc>
          <w:tcPr>
            <w:tcW w:type="dxa" w:w="2045"/>
          </w:tcPr>
          <w:p>
            <w:pPr>
              <w:spacing w:after="0"/>
            </w:pPr>
            <w:r>
              <w:rPr>
                <w:rFonts w:ascii="Arial" w:hAnsi="Arial"/>
                <w:b w:val="0"/>
                <w:sz w:val="14"/>
              </w:rPr>
              <w:t>Tool-action liability object recording initiator, tool identity, external system, authority credential, reversibility, rollback plan</w:t>
            </w:r>
          </w:p>
        </w:tc>
      </w:tr>
      <w:tr>
        <w:tc>
          <w:tcPr>
            <w:tcW w:type="dxa" w:w="2045"/>
          </w:tcPr>
          <w:p>
            <w:pPr>
              <w:spacing w:after="0"/>
            </w:pPr>
            <w:r>
              <w:rPr>
                <w:rFonts w:ascii="Arial" w:hAnsi="Arial"/>
                <w:b w:val="0"/>
                <w:sz w:val="14"/>
              </w:rPr>
              <w:t>ALCS-06: Responsibility Transfer Across Agents</w:t>
            </w:r>
          </w:p>
        </w:tc>
        <w:tc>
          <w:tcPr>
            <w:tcW w:type="dxa" w:w="2045"/>
          </w:tcPr>
          <w:p>
            <w:pPr>
              <w:spacing w:after="0"/>
            </w:pPr>
            <w:r>
              <w:rPr>
                <w:rFonts w:ascii="Arial" w:hAnsi="Arial"/>
                <w:b w:val="0"/>
                <w:sz w:val="14"/>
              </w:rPr>
              <w:t>MRO-06</w:t>
            </w:r>
          </w:p>
        </w:tc>
        <w:tc>
          <w:tcPr>
            <w:tcW w:type="dxa" w:w="2045"/>
          </w:tcPr>
          <w:p>
            <w:pPr>
              <w:spacing w:after="0"/>
            </w:pPr>
            <w:r>
              <w:rPr>
                <w:rFonts w:ascii="Arial" w:hAnsi="Arial"/>
                <w:b w:val="0"/>
                <w:sz w:val="14"/>
              </w:rPr>
              <w:t>MRO-01, MRO-08</w:t>
            </w:r>
          </w:p>
        </w:tc>
        <w:tc>
          <w:tcPr>
            <w:tcW w:type="dxa" w:w="2045"/>
          </w:tcPr>
          <w:p>
            <w:pPr>
              <w:spacing w:after="0"/>
            </w:pPr>
            <w:r>
              <w:rPr>
                <w:rFonts w:ascii="Arial" w:hAnsi="Arial"/>
                <w:b w:val="0"/>
                <w:sz w:val="14"/>
              </w:rPr>
              <w:t>Agent handoff, delegation</w:t>
            </w:r>
          </w:p>
        </w:tc>
        <w:tc>
          <w:tcPr>
            <w:tcW w:type="dxa" w:w="2045"/>
          </w:tcPr>
          <w:p>
            <w:pPr>
              <w:spacing w:after="0"/>
            </w:pPr>
            <w:r>
              <w:rPr>
                <w:rFonts w:ascii="Arial" w:hAnsi="Arial"/>
                <w:b w:val="0"/>
                <w:sz w:val="14"/>
              </w:rPr>
              <w:t>Transfer object declaring transferred scope, source role, receiving role, retained responsibilities, inherited constraints</w:t>
            </w:r>
          </w:p>
        </w:tc>
      </w:tr>
      <w:tr>
        <w:tc>
          <w:tcPr>
            <w:tcW w:type="dxa" w:w="2045"/>
          </w:tcPr>
          <w:p>
            <w:pPr>
              <w:spacing w:after="0"/>
            </w:pPr>
            <w:r>
              <w:rPr>
                <w:rFonts w:ascii="Arial" w:hAnsi="Arial"/>
                <w:b w:val="0"/>
                <w:sz w:val="14"/>
              </w:rPr>
              <w:t>ALCS-07: Authority Drift Detection</w:t>
            </w:r>
          </w:p>
        </w:tc>
        <w:tc>
          <w:tcPr>
            <w:tcW w:type="dxa" w:w="2045"/>
          </w:tcPr>
          <w:p>
            <w:pPr>
              <w:spacing w:after="0"/>
            </w:pPr>
            <w:r>
              <w:rPr>
                <w:rFonts w:ascii="Arial" w:hAnsi="Arial"/>
                <w:b w:val="0"/>
                <w:sz w:val="14"/>
              </w:rPr>
              <w:t>MRO-07</w:t>
            </w:r>
          </w:p>
        </w:tc>
        <w:tc>
          <w:tcPr>
            <w:tcW w:type="dxa" w:w="2045"/>
          </w:tcPr>
          <w:p>
            <w:pPr>
              <w:spacing w:after="0"/>
            </w:pPr>
            <w:r>
              <w:rPr>
                <w:rFonts w:ascii="Arial" w:hAnsi="Arial"/>
                <w:b w:val="0"/>
                <w:sz w:val="14"/>
              </w:rPr>
              <w:t>MRO-02</w:t>
            </w:r>
          </w:p>
        </w:tc>
        <w:tc>
          <w:tcPr>
            <w:tcW w:type="dxa" w:w="2045"/>
          </w:tcPr>
          <w:p>
            <w:pPr>
              <w:spacing w:after="0"/>
            </w:pPr>
            <w:r>
              <w:rPr>
                <w:rFonts w:ascii="Arial" w:hAnsi="Arial"/>
                <w:b w:val="0"/>
                <w:sz w:val="14"/>
              </w:rPr>
              <w:t>Monitoring, drift detection</w:t>
            </w:r>
          </w:p>
        </w:tc>
        <w:tc>
          <w:tcPr>
            <w:tcW w:type="dxa" w:w="2045"/>
          </w:tcPr>
          <w:p>
            <w:pPr>
              <w:spacing w:after="0"/>
            </w:pPr>
            <w:r>
              <w:rPr>
                <w:rFonts w:ascii="Arial" w:hAnsi="Arial"/>
                <w:b w:val="0"/>
                <w:sz w:val="14"/>
              </w:rPr>
              <w:t>Drift event model comparing observed behavior against original authority boundary, risk class, tool scope</w:t>
            </w:r>
          </w:p>
        </w:tc>
      </w:tr>
      <w:tr>
        <w:tc>
          <w:tcPr>
            <w:tcW w:type="dxa" w:w="2045"/>
          </w:tcPr>
          <w:p>
            <w:pPr>
              <w:spacing w:after="0"/>
            </w:pPr>
            <w:r>
              <w:rPr>
                <w:rFonts w:ascii="Arial" w:hAnsi="Arial"/>
                <w:b w:val="0"/>
                <w:sz w:val="14"/>
              </w:rPr>
              <w:t>ALCS-08: MAS Evidence Partitioning</w:t>
            </w:r>
          </w:p>
        </w:tc>
        <w:tc>
          <w:tcPr>
            <w:tcW w:type="dxa" w:w="2045"/>
          </w:tcPr>
          <w:p>
            <w:pPr>
              <w:spacing w:after="0"/>
            </w:pPr>
            <w:r>
              <w:rPr>
                <w:rFonts w:ascii="Arial" w:hAnsi="Arial"/>
                <w:b w:val="0"/>
                <w:sz w:val="14"/>
              </w:rPr>
              <w:t>MRO-08</w:t>
            </w:r>
          </w:p>
        </w:tc>
        <w:tc>
          <w:tcPr>
            <w:tcW w:type="dxa" w:w="2045"/>
          </w:tcPr>
          <w:p>
            <w:pPr>
              <w:spacing w:after="0"/>
            </w:pPr>
            <w:r>
              <w:rPr>
                <w:rFonts w:ascii="Arial" w:hAnsi="Arial"/>
                <w:b w:val="0"/>
                <w:sz w:val="14"/>
              </w:rPr>
              <w:t>MRO-01, MRO-04, MRO-10</w:t>
            </w:r>
          </w:p>
        </w:tc>
        <w:tc>
          <w:tcPr>
            <w:tcW w:type="dxa" w:w="2045"/>
          </w:tcPr>
          <w:p>
            <w:pPr>
              <w:spacing w:after="0"/>
            </w:pPr>
            <w:r>
              <w:rPr>
                <w:rFonts w:ascii="Arial" w:hAnsi="Arial"/>
                <w:b w:val="0"/>
                <w:sz w:val="14"/>
              </w:rPr>
              <w:t>Evidence collection, audit</w:t>
            </w:r>
          </w:p>
        </w:tc>
        <w:tc>
          <w:tcPr>
            <w:tcW w:type="dxa" w:w="2045"/>
          </w:tcPr>
          <w:p>
            <w:pPr>
              <w:spacing w:after="0"/>
            </w:pPr>
            <w:r>
              <w:rPr>
                <w:rFonts w:ascii="Arial" w:hAnsi="Arial"/>
                <w:b w:val="0"/>
                <w:sz w:val="14"/>
              </w:rPr>
              <w:t>Partitioned evidence by agent, tool, human confirmation, plan version, authority boundary, privacy boundary, accepted outcome</w:t>
            </w:r>
          </w:p>
        </w:tc>
      </w:tr>
      <w:tr>
        <w:tc>
          <w:tcPr>
            <w:tcW w:type="dxa" w:w="2045"/>
          </w:tcPr>
          <w:p>
            <w:pPr>
              <w:spacing w:after="0"/>
            </w:pPr>
            <w:r>
              <w:rPr>
                <w:rFonts w:ascii="Arial" w:hAnsi="Arial"/>
                <w:b w:val="0"/>
                <w:sz w:val="14"/>
              </w:rPr>
              <w:t>ALCS-09: Cross-Project Reuse Compliance</w:t>
            </w:r>
          </w:p>
        </w:tc>
        <w:tc>
          <w:tcPr>
            <w:tcW w:type="dxa" w:w="2045"/>
          </w:tcPr>
          <w:p>
            <w:pPr>
              <w:spacing w:after="0"/>
            </w:pPr>
            <w:r>
              <w:rPr>
                <w:rFonts w:ascii="Arial" w:hAnsi="Arial"/>
                <w:b w:val="0"/>
                <w:sz w:val="14"/>
              </w:rPr>
              <w:t>MRO-09</w:t>
            </w:r>
          </w:p>
        </w:tc>
        <w:tc>
          <w:tcPr>
            <w:tcW w:type="dxa" w:w="2045"/>
          </w:tcPr>
          <w:p>
            <w:pPr>
              <w:spacing w:after="0"/>
            </w:pPr>
            <w:r>
              <w:rPr>
                <w:rFonts w:ascii="Arial" w:hAnsi="Arial"/>
                <w:b w:val="0"/>
                <w:sz w:val="14"/>
              </w:rPr>
              <w:t>MRO-02, MRO-10</w:t>
            </w:r>
          </w:p>
        </w:tc>
        <w:tc>
          <w:tcPr>
            <w:tcW w:type="dxa" w:w="2045"/>
          </w:tcPr>
          <w:p>
            <w:pPr>
              <w:spacing w:after="0"/>
            </w:pPr>
            <w:r>
              <w:rPr>
                <w:rFonts w:ascii="Arial" w:hAnsi="Arial"/>
                <w:b w:val="0"/>
                <w:sz w:val="14"/>
              </w:rPr>
              <w:t>Reuse, revalidation</w:t>
            </w:r>
          </w:p>
        </w:tc>
        <w:tc>
          <w:tcPr>
            <w:tcW w:type="dxa" w:w="2045"/>
          </w:tcPr>
          <w:p>
            <w:pPr>
              <w:spacing w:after="0"/>
            </w:pPr>
            <w:r>
              <w:rPr>
                <w:rFonts w:ascii="Arial" w:hAnsi="Arial"/>
                <w:b w:val="0"/>
                <w:sz w:val="14"/>
              </w:rPr>
              <w:t>Reuse compliance record linking original validation context to new deployment context, authority reset, privacy review</w:t>
            </w:r>
          </w:p>
        </w:tc>
      </w:tr>
      <w:tr>
        <w:tc>
          <w:tcPr>
            <w:tcW w:type="dxa" w:w="2045"/>
          </w:tcPr>
          <w:p>
            <w:pPr>
              <w:spacing w:after="0"/>
            </w:pPr>
            <w:r>
              <w:rPr>
                <w:rFonts w:ascii="Arial" w:hAnsi="Arial"/>
                <w:b w:val="0"/>
                <w:sz w:val="14"/>
              </w:rPr>
              <w:t>ALCS-10: Privacy/GDPR Lifecycle Mapping</w:t>
            </w:r>
          </w:p>
        </w:tc>
        <w:tc>
          <w:tcPr>
            <w:tcW w:type="dxa" w:w="2045"/>
          </w:tcPr>
          <w:p>
            <w:pPr>
              <w:spacing w:after="0"/>
            </w:pPr>
            <w:r>
              <w:rPr>
                <w:rFonts w:ascii="Arial" w:hAnsi="Arial"/>
                <w:b w:val="0"/>
                <w:sz w:val="14"/>
              </w:rPr>
              <w:t>MRO-10</w:t>
            </w:r>
          </w:p>
        </w:tc>
        <w:tc>
          <w:tcPr>
            <w:tcW w:type="dxa" w:w="2045"/>
          </w:tcPr>
          <w:p>
            <w:pPr>
              <w:spacing w:after="0"/>
            </w:pPr>
            <w:r>
              <w:rPr>
                <w:rFonts w:ascii="Arial" w:hAnsi="Arial"/>
                <w:b w:val="0"/>
                <w:sz w:val="14"/>
              </w:rPr>
              <w:t>MRO-08, MRO-12</w:t>
            </w:r>
          </w:p>
        </w:tc>
        <w:tc>
          <w:tcPr>
            <w:tcW w:type="dxa" w:w="2045"/>
          </w:tcPr>
          <w:p>
            <w:pPr>
              <w:spacing w:after="0"/>
            </w:pPr>
            <w:r>
              <w:rPr>
                <w:rFonts w:ascii="Arial" w:hAnsi="Arial"/>
                <w:b w:val="0"/>
                <w:sz w:val="14"/>
              </w:rPr>
              <w:t>All phases involving personal data</w:t>
            </w:r>
          </w:p>
        </w:tc>
        <w:tc>
          <w:tcPr>
            <w:tcW w:type="dxa" w:w="2045"/>
          </w:tcPr>
          <w:p>
            <w:pPr>
              <w:spacing w:after="0"/>
            </w:pPr>
            <w:r>
              <w:rPr>
                <w:rFonts w:ascii="Arial" w:hAnsi="Arial"/>
                <w:b w:val="0"/>
                <w:sz w:val="14"/>
              </w:rPr>
              <w:t>Lifecycle data-flow map showing personal data entry, flow, exit across agents, tools, memory, handoffs</w:t>
            </w:r>
          </w:p>
        </w:tc>
      </w:tr>
      <w:tr>
        <w:tc>
          <w:tcPr>
            <w:tcW w:type="dxa" w:w="2045"/>
          </w:tcPr>
          <w:p>
            <w:pPr>
              <w:spacing w:after="0"/>
            </w:pPr>
            <w:r>
              <w:rPr>
                <w:rFonts w:ascii="Arial" w:hAnsi="Arial"/>
                <w:b w:val="0"/>
                <w:sz w:val="14"/>
              </w:rPr>
              <w:t>ALCS-11: Privacy-Preserving Third-Party Validation</w:t>
            </w:r>
          </w:p>
        </w:tc>
        <w:tc>
          <w:tcPr>
            <w:tcW w:type="dxa" w:w="2045"/>
          </w:tcPr>
          <w:p>
            <w:pPr>
              <w:spacing w:after="0"/>
            </w:pPr>
            <w:r>
              <w:rPr>
                <w:rFonts w:ascii="Arial" w:hAnsi="Arial"/>
                <w:b w:val="0"/>
                <w:sz w:val="14"/>
              </w:rPr>
              <w:t>MRO-11</w:t>
            </w:r>
          </w:p>
        </w:tc>
        <w:tc>
          <w:tcPr>
            <w:tcW w:type="dxa" w:w="2045"/>
          </w:tcPr>
          <w:p>
            <w:pPr>
              <w:spacing w:after="0"/>
            </w:pPr>
            <w:r>
              <w:rPr>
                <w:rFonts w:ascii="Arial" w:hAnsi="Arial"/>
                <w:b w:val="0"/>
                <w:sz w:val="14"/>
              </w:rPr>
              <w:t>MRO-08, MRO-12</w:t>
            </w:r>
          </w:p>
        </w:tc>
        <w:tc>
          <w:tcPr>
            <w:tcW w:type="dxa" w:w="2045"/>
          </w:tcPr>
          <w:p>
            <w:pPr>
              <w:spacing w:after="0"/>
            </w:pPr>
            <w:r>
              <w:rPr>
                <w:rFonts w:ascii="Arial" w:hAnsi="Arial"/>
                <w:b w:val="0"/>
                <w:sz w:val="14"/>
              </w:rPr>
              <w:t>External validation, audit</w:t>
            </w:r>
          </w:p>
        </w:tc>
        <w:tc>
          <w:tcPr>
            <w:tcW w:type="dxa" w:w="2045"/>
          </w:tcPr>
          <w:p>
            <w:pPr>
              <w:spacing w:after="0"/>
            </w:pPr>
            <w:r>
              <w:rPr>
                <w:rFonts w:ascii="Arial" w:hAnsi="Arial"/>
                <w:b w:val="0"/>
                <w:sz w:val="14"/>
              </w:rPr>
              <w:t>Privacy-preserving validation protocol allowing selective disclosure and zero-knowledge proofs</w:t>
            </w:r>
          </w:p>
        </w:tc>
      </w:tr>
      <w:tr>
        <w:tc>
          <w:tcPr>
            <w:tcW w:type="dxa" w:w="2045"/>
          </w:tcPr>
          <w:p>
            <w:pPr>
              <w:spacing w:after="0"/>
            </w:pPr>
            <w:r>
              <w:rPr>
                <w:rFonts w:ascii="Arial" w:hAnsi="Arial"/>
                <w:b w:val="0"/>
                <w:sz w:val="14"/>
              </w:rPr>
              <w:t>ALCS-12: Evidence Minimization and Selective Disclosure</w:t>
            </w:r>
          </w:p>
        </w:tc>
        <w:tc>
          <w:tcPr>
            <w:tcW w:type="dxa" w:w="2045"/>
          </w:tcPr>
          <w:p>
            <w:pPr>
              <w:spacing w:after="0"/>
            </w:pPr>
            <w:r>
              <w:rPr>
                <w:rFonts w:ascii="Arial" w:hAnsi="Arial"/>
                <w:b w:val="0"/>
                <w:sz w:val="14"/>
              </w:rPr>
              <w:t>MRO-12</w:t>
            </w:r>
          </w:p>
        </w:tc>
        <w:tc>
          <w:tcPr>
            <w:tcW w:type="dxa" w:w="2045"/>
          </w:tcPr>
          <w:p>
            <w:pPr>
              <w:spacing w:after="0"/>
            </w:pPr>
            <w:r>
              <w:rPr>
                <w:rFonts w:ascii="Arial" w:hAnsi="Arial"/>
                <w:b w:val="0"/>
                <w:sz w:val="14"/>
              </w:rPr>
              <w:t>MRO-08, MRO-10</w:t>
            </w:r>
          </w:p>
        </w:tc>
        <w:tc>
          <w:tcPr>
            <w:tcW w:type="dxa" w:w="2045"/>
          </w:tcPr>
          <w:p>
            <w:pPr>
              <w:spacing w:after="0"/>
            </w:pPr>
            <w:r>
              <w:rPr>
                <w:rFonts w:ascii="Arial" w:hAnsi="Arial"/>
                <w:b w:val="0"/>
                <w:sz w:val="14"/>
              </w:rPr>
              <w:t>Evidence retention, disclosure</w:t>
            </w:r>
          </w:p>
        </w:tc>
        <w:tc>
          <w:tcPr>
            <w:tcW w:type="dxa" w:w="2045"/>
          </w:tcPr>
          <w:p>
            <w:pPr>
              <w:spacing w:after="0"/>
            </w:pPr>
            <w:r>
              <w:rPr>
                <w:rFonts w:ascii="Arial" w:hAnsi="Arial"/>
                <w:b w:val="0"/>
                <w:sz w:val="14"/>
              </w:rPr>
              <w:t>Evidence minimization policy defining retention periods, redaction rules, disclosure boundaries</w:t>
            </w:r>
          </w:p>
        </w:tc>
      </w:tr>
      <w:tr>
        <w:tc>
          <w:tcPr>
            <w:tcW w:type="dxa" w:w="2045"/>
          </w:tcPr>
          <w:p>
            <w:pPr>
              <w:spacing w:after="0"/>
            </w:pPr>
            <w:r>
              <w:rPr>
                <w:rFonts w:ascii="Arial" w:hAnsi="Arial"/>
                <w:b w:val="0"/>
                <w:sz w:val="14"/>
              </w:rPr>
              <w:t>ALCS-13: Data Subject Rights vs Evidence Retention</w:t>
            </w:r>
          </w:p>
        </w:tc>
        <w:tc>
          <w:tcPr>
            <w:tcW w:type="dxa" w:w="2045"/>
          </w:tcPr>
          <w:p>
            <w:pPr>
              <w:spacing w:after="0"/>
            </w:pPr>
            <w:r>
              <w:rPr>
                <w:rFonts w:ascii="Arial" w:hAnsi="Arial"/>
                <w:b w:val="0"/>
                <w:sz w:val="14"/>
              </w:rPr>
              <w:t>MRO-13</w:t>
            </w:r>
          </w:p>
        </w:tc>
        <w:tc>
          <w:tcPr>
            <w:tcW w:type="dxa" w:w="2045"/>
          </w:tcPr>
          <w:p>
            <w:pPr>
              <w:spacing w:after="0"/>
            </w:pPr>
            <w:r>
              <w:rPr>
                <w:rFonts w:ascii="Arial" w:hAnsi="Arial"/>
                <w:b w:val="0"/>
                <w:sz w:val="14"/>
              </w:rPr>
              <w:t>MRO-10, MRO-12</w:t>
            </w:r>
          </w:p>
        </w:tc>
        <w:tc>
          <w:tcPr>
            <w:tcW w:type="dxa" w:w="2045"/>
          </w:tcPr>
          <w:p>
            <w:pPr>
              <w:spacing w:after="0"/>
            </w:pPr>
            <w:r>
              <w:rPr>
                <w:rFonts w:ascii="Arial" w:hAnsi="Arial"/>
                <w:b w:val="0"/>
                <w:sz w:val="14"/>
              </w:rPr>
              <w:t>Data subject request handling</w:t>
            </w:r>
          </w:p>
        </w:tc>
        <w:tc>
          <w:tcPr>
            <w:tcW w:type="dxa" w:w="2045"/>
          </w:tcPr>
          <w:p>
            <w:pPr>
              <w:spacing w:after="0"/>
            </w:pPr>
            <w:r>
              <w:rPr>
                <w:rFonts w:ascii="Arial" w:hAnsi="Arial"/>
                <w:b w:val="0"/>
                <w:sz w:val="14"/>
              </w:rPr>
              <w:t>Data subject rights policy defining retention periods, anonymization rules, legal basis for retention override</w:t>
            </w:r>
          </w:p>
        </w:tc>
      </w:tr>
      <w:tr>
        <w:tc>
          <w:tcPr>
            <w:tcW w:type="dxa" w:w="2045"/>
          </w:tcPr>
          <w:p>
            <w:pPr>
              <w:spacing w:after="0"/>
            </w:pPr>
            <w:r>
              <w:rPr>
                <w:rFonts w:ascii="Arial" w:hAnsi="Arial"/>
                <w:b w:val="0"/>
                <w:sz w:val="14"/>
              </w:rPr>
              <w:t>ALCS-14: Third-Party Processor/Subprocessor Chain</w:t>
            </w:r>
          </w:p>
        </w:tc>
        <w:tc>
          <w:tcPr>
            <w:tcW w:type="dxa" w:w="2045"/>
          </w:tcPr>
          <w:p>
            <w:pPr>
              <w:spacing w:after="0"/>
            </w:pPr>
            <w:r>
              <w:rPr>
                <w:rFonts w:ascii="Arial" w:hAnsi="Arial"/>
                <w:b w:val="0"/>
                <w:sz w:val="14"/>
              </w:rPr>
              <w:t>MRO-14</w:t>
            </w:r>
          </w:p>
        </w:tc>
        <w:tc>
          <w:tcPr>
            <w:tcW w:type="dxa" w:w="2045"/>
          </w:tcPr>
          <w:p>
            <w:pPr>
              <w:spacing w:after="0"/>
            </w:pPr>
            <w:r>
              <w:rPr>
                <w:rFonts w:ascii="Arial" w:hAnsi="Arial"/>
                <w:b w:val="0"/>
                <w:sz w:val="14"/>
              </w:rPr>
              <w:t>MRO-10</w:t>
            </w:r>
          </w:p>
        </w:tc>
        <w:tc>
          <w:tcPr>
            <w:tcW w:type="dxa" w:w="2045"/>
          </w:tcPr>
          <w:p>
            <w:pPr>
              <w:spacing w:after="0"/>
            </w:pPr>
            <w:r>
              <w:rPr>
                <w:rFonts w:ascii="Arial" w:hAnsi="Arial"/>
                <w:b w:val="0"/>
                <w:sz w:val="14"/>
              </w:rPr>
              <w:t>All phases involving third-party processing</w:t>
            </w:r>
          </w:p>
        </w:tc>
        <w:tc>
          <w:tcPr>
            <w:tcW w:type="dxa" w:w="2045"/>
          </w:tcPr>
          <w:p>
            <w:pPr>
              <w:spacing w:after="0"/>
            </w:pPr>
            <w:r>
              <w:rPr>
                <w:rFonts w:ascii="Arial" w:hAnsi="Arial"/>
                <w:b w:val="0"/>
                <w:sz w:val="14"/>
              </w:rPr>
              <w:t>Dynamic processor chain record tracking processor identity, data categories, processing purpose, legal basis</w:t>
            </w:r>
          </w:p>
        </w:tc>
      </w:tr>
      <w:tr>
        <w:tc>
          <w:tcPr>
            <w:tcW w:type="dxa" w:w="2045"/>
          </w:tcPr>
          <w:p>
            <w:pPr>
              <w:spacing w:after="0"/>
            </w:pPr>
            <w:r>
              <w:rPr>
                <w:rFonts w:ascii="Arial" w:hAnsi="Arial"/>
                <w:b w:val="0"/>
                <w:sz w:val="14"/>
              </w:rPr>
              <w:t>ALCS-15: Vendor/Model/Runtime Substitution Conformance</w:t>
            </w:r>
          </w:p>
        </w:tc>
        <w:tc>
          <w:tcPr>
            <w:tcW w:type="dxa" w:w="2045"/>
          </w:tcPr>
          <w:p>
            <w:pPr>
              <w:spacing w:after="0"/>
            </w:pPr>
            <w:r>
              <w:rPr>
                <w:rFonts w:ascii="Arial" w:hAnsi="Arial"/>
                <w:b w:val="0"/>
                <w:sz w:val="14"/>
              </w:rPr>
              <w:t>MRO-15</w:t>
            </w:r>
          </w:p>
        </w:tc>
        <w:tc>
          <w:tcPr>
            <w:tcW w:type="dxa" w:w="2045"/>
          </w:tcPr>
          <w:p>
            <w:pPr>
              <w:spacing w:after="0"/>
            </w:pPr>
            <w:r>
              <w:rPr>
                <w:rFonts w:ascii="Arial" w:hAnsi="Arial"/>
                <w:b w:val="0"/>
                <w:sz w:val="14"/>
              </w:rPr>
              <w:t>MRO-02, MRO-09</w:t>
            </w:r>
          </w:p>
        </w:tc>
        <w:tc>
          <w:tcPr>
            <w:tcW w:type="dxa" w:w="2045"/>
          </w:tcPr>
          <w:p>
            <w:pPr>
              <w:spacing w:after="0"/>
            </w:pPr>
            <w:r>
              <w:rPr>
                <w:rFonts w:ascii="Arial" w:hAnsi="Arial"/>
                <w:b w:val="0"/>
                <w:sz w:val="14"/>
              </w:rPr>
              <w:t>Vendor substitution, revalidation</w:t>
            </w:r>
          </w:p>
        </w:tc>
        <w:tc>
          <w:tcPr>
            <w:tcW w:type="dxa" w:w="2045"/>
          </w:tcPr>
          <w:p>
            <w:pPr>
              <w:spacing w:after="0"/>
            </w:pPr>
            <w:r>
              <w:rPr>
                <w:rFonts w:ascii="Arial" w:hAnsi="Arial"/>
                <w:b w:val="0"/>
                <w:sz w:val="14"/>
              </w:rPr>
              <w:t>Vendor substitution conformance record proving substitution preserved lifecycle responsibility properties</w:t>
            </w:r>
          </w:p>
        </w:tc>
      </w:tr>
    </w:tbl>
    <w:p>
      <w:pPr>
        <w:spacing w:after="56"/>
      </w:pPr>
      <w:r>
        <w:t>This mapping demonstrates that ALCS dimensions are operationalized versions of MRO requirements. Each dimension translates an MRO into a measurable system capability. The mapping also shows that lifecycle responsibility objects are interconnected: responsibility mapping relates to role distinction and transfer semantics; authority boundaries relate to drift detection; evidence partitioning relates to privacy mapping and selective disclosure; reuse compliance relates to authority reset and privacy review.</w:t>
      </w:r>
    </w:p>
    <w:p>
      <w:pPr>
        <w:pStyle w:val="Heading2"/>
      </w:pPr>
      <w:r>
        <w:t>8.3.1 Treatment of MRO-16 as a Cross-Cutting Closure Requirement</w:t>
      </w:r>
    </w:p>
    <w:p>
      <w:pPr>
        <w:spacing w:after="56"/>
      </w:pPr>
      <w:r>
        <w:t>MRO-16 (Incident, Dispute, and Remediation Closure) is not directly mapped to a single ALCS dimension. Instead, it is treated as a cross-cutting lifecycle capability that is evaluated through multiple dimensions and scoring logic across both RCCS and ALCS.</w:t>
      </w:r>
    </w:p>
    <w:p>
      <w:pPr>
        <w:spacing w:after="56"/>
      </w:pPr>
      <w:r>
        <w:t>ALCS directly operationalizes fifteen dimension-level MROs (MRO-01 through MRO-15). MRO-16 is cross-cutting rather than omitted. It is evaluated through contestability, monitoring, accepted outcome, evidence partitioning, evidence minimization, and remediation-related scoring logic. This prevents incident, dispute, and remediation closure from being treated as a narrow isolated dimension and instead recognizes it as a lifecycle-wide capability.</w:t>
      </w:r>
    </w:p>
    <w:p>
      <w:pPr>
        <w:spacing w:after="56"/>
      </w:pPr>
      <w:r>
        <w:t>The following table shows how MRO-16 is evaluated across multiple dimensions:</w:t>
      </w:r>
    </w:p>
    <w:p>
      <w:pPr>
        <w:keepNext/>
      </w:pPr>
      <w:r>
        <w:rPr>
          <w:b/>
          <w:sz w:val="16"/>
        </w:rPr>
        <w:t>Table T-08-02A: MRO-16 Evaluation Path</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MRO-16 Evaluation Path</w:t>
            </w:r>
          </w:p>
        </w:tc>
        <w:tc>
          <w:tcPr>
            <w:tcW w:type="dxa" w:w="3408"/>
          </w:tcPr>
          <w:p>
            <w:pPr>
              <w:spacing w:after="0"/>
            </w:pPr>
            <w:r>
              <w:rPr>
                <w:rFonts w:ascii="Arial" w:hAnsi="Arial"/>
                <w:b/>
                <w:sz w:val="14"/>
              </w:rPr>
              <w:t>Relevant Dimension / Chapter</w:t>
            </w:r>
          </w:p>
        </w:tc>
        <w:tc>
          <w:tcPr>
            <w:tcW w:type="dxa" w:w="3408"/>
          </w:tcPr>
          <w:p>
            <w:pPr>
              <w:spacing w:after="0"/>
            </w:pPr>
            <w:r>
              <w:rPr>
                <w:rFonts w:ascii="Arial" w:hAnsi="Arial"/>
                <w:b/>
                <w:sz w:val="14"/>
              </w:rPr>
              <w:t>Reason</w:t>
            </w:r>
          </w:p>
        </w:tc>
      </w:tr>
      <w:tr>
        <w:tc>
          <w:tcPr>
            <w:tcW w:type="dxa" w:w="3408"/>
          </w:tcPr>
          <w:p>
            <w:pPr>
              <w:spacing w:after="0"/>
            </w:pPr>
            <w:r>
              <w:rPr>
                <w:rFonts w:ascii="Arial" w:hAnsi="Arial"/>
                <w:b w:val="0"/>
                <w:sz w:val="14"/>
              </w:rPr>
              <w:t>Contestability</w:t>
            </w:r>
          </w:p>
        </w:tc>
        <w:tc>
          <w:tcPr>
            <w:tcW w:type="dxa" w:w="3408"/>
          </w:tcPr>
          <w:p>
            <w:pPr>
              <w:spacing w:after="0"/>
            </w:pPr>
            <w:r>
              <w:rPr>
                <w:rFonts w:ascii="Arial" w:hAnsi="Arial"/>
                <w:b w:val="0"/>
                <w:sz w:val="14"/>
              </w:rPr>
              <w:t>RCCS-09 (Chapter 7)</w:t>
            </w:r>
          </w:p>
        </w:tc>
        <w:tc>
          <w:tcPr>
            <w:tcW w:type="dxa" w:w="3408"/>
          </w:tcPr>
          <w:p>
            <w:pPr>
              <w:spacing w:after="0"/>
            </w:pPr>
            <w:r>
              <w:rPr>
                <w:rFonts w:ascii="Arial" w:hAnsi="Arial"/>
                <w:b w:val="0"/>
                <w:sz w:val="14"/>
              </w:rPr>
              <w:t>Disputes require challenge and review paths. Incident closure depends on dispute resolution mechanisms.</w:t>
            </w:r>
          </w:p>
        </w:tc>
      </w:tr>
      <w:tr>
        <w:tc>
          <w:tcPr>
            <w:tcW w:type="dxa" w:w="3408"/>
          </w:tcPr>
          <w:p>
            <w:pPr>
              <w:spacing w:after="0"/>
            </w:pPr>
            <w:r>
              <w:rPr>
                <w:rFonts w:ascii="Arial" w:hAnsi="Arial"/>
                <w:b w:val="0"/>
                <w:sz w:val="14"/>
              </w:rPr>
              <w:t>Monitoring</w:t>
            </w:r>
          </w:p>
        </w:tc>
        <w:tc>
          <w:tcPr>
            <w:tcW w:type="dxa" w:w="3408"/>
          </w:tcPr>
          <w:p>
            <w:pPr>
              <w:spacing w:after="0"/>
            </w:pPr>
            <w:r>
              <w:rPr>
                <w:rFonts w:ascii="Arial" w:hAnsi="Arial"/>
                <w:b w:val="0"/>
                <w:sz w:val="14"/>
              </w:rPr>
              <w:t>RCCS-10 (Chapter 7)</w:t>
            </w:r>
          </w:p>
        </w:tc>
        <w:tc>
          <w:tcPr>
            <w:tcW w:type="dxa" w:w="3408"/>
          </w:tcPr>
          <w:p>
            <w:pPr>
              <w:spacing w:after="0"/>
            </w:pPr>
            <w:r>
              <w:rPr>
                <w:rFonts w:ascii="Arial" w:hAnsi="Arial"/>
                <w:b w:val="0"/>
                <w:sz w:val="14"/>
              </w:rPr>
              <w:t>Incidents require detection and recurrence monitoring. Continuous improvement depends on monitoring capability.</w:t>
            </w:r>
          </w:p>
        </w:tc>
      </w:tr>
      <w:tr>
        <w:tc>
          <w:tcPr>
            <w:tcW w:type="dxa" w:w="3408"/>
          </w:tcPr>
          <w:p>
            <w:pPr>
              <w:spacing w:after="0"/>
            </w:pPr>
            <w:r>
              <w:rPr>
                <w:rFonts w:ascii="Arial" w:hAnsi="Arial"/>
                <w:b w:val="0"/>
                <w:sz w:val="14"/>
              </w:rPr>
              <w:t>Accepted Outcome</w:t>
            </w:r>
          </w:p>
        </w:tc>
        <w:tc>
          <w:tcPr>
            <w:tcW w:type="dxa" w:w="3408"/>
          </w:tcPr>
          <w:p>
            <w:pPr>
              <w:spacing w:after="0"/>
            </w:pPr>
            <w:r>
              <w:rPr>
                <w:rFonts w:ascii="Arial" w:hAnsi="Arial"/>
                <w:b w:val="0"/>
                <w:sz w:val="14"/>
              </w:rPr>
              <w:t>ALCS-04 (Chapter 8)</w:t>
            </w:r>
          </w:p>
        </w:tc>
        <w:tc>
          <w:tcPr>
            <w:tcW w:type="dxa" w:w="3408"/>
          </w:tcPr>
          <w:p>
            <w:pPr>
              <w:spacing w:after="0"/>
            </w:pPr>
            <w:r>
              <w:rPr>
                <w:rFonts w:ascii="Arial" w:hAnsi="Arial"/>
                <w:b w:val="0"/>
                <w:sz w:val="14"/>
              </w:rPr>
              <w:t>Closure requires knowing whether the outcome was accepted, rejected, or remediated. Dispute resolution affects acceptance state.</w:t>
            </w:r>
          </w:p>
        </w:tc>
      </w:tr>
      <w:tr>
        <w:tc>
          <w:tcPr>
            <w:tcW w:type="dxa" w:w="3408"/>
          </w:tcPr>
          <w:p>
            <w:pPr>
              <w:spacing w:after="0"/>
            </w:pPr>
            <w:r>
              <w:rPr>
                <w:rFonts w:ascii="Arial" w:hAnsi="Arial"/>
                <w:b w:val="0"/>
                <w:sz w:val="14"/>
              </w:rPr>
              <w:t>Evidence Partitioning</w:t>
            </w:r>
          </w:p>
        </w:tc>
        <w:tc>
          <w:tcPr>
            <w:tcW w:type="dxa" w:w="3408"/>
          </w:tcPr>
          <w:p>
            <w:pPr>
              <w:spacing w:after="0"/>
            </w:pPr>
            <w:r>
              <w:rPr>
                <w:rFonts w:ascii="Arial" w:hAnsi="Arial"/>
                <w:b w:val="0"/>
                <w:sz w:val="14"/>
              </w:rPr>
              <w:t>ALCS-08 (Chapter 8)</w:t>
            </w:r>
          </w:p>
        </w:tc>
        <w:tc>
          <w:tcPr>
            <w:tcW w:type="dxa" w:w="3408"/>
          </w:tcPr>
          <w:p>
            <w:pPr>
              <w:spacing w:after="0"/>
            </w:pPr>
            <w:r>
              <w:rPr>
                <w:rFonts w:ascii="Arial" w:hAnsi="Arial"/>
                <w:b w:val="0"/>
                <w:sz w:val="14"/>
              </w:rPr>
              <w:t>Closure requires reconstructable evidence linking incident detection to root cause, remediation, and resolution.</w:t>
            </w:r>
          </w:p>
        </w:tc>
      </w:tr>
      <w:tr>
        <w:tc>
          <w:tcPr>
            <w:tcW w:type="dxa" w:w="3408"/>
          </w:tcPr>
          <w:p>
            <w:pPr>
              <w:spacing w:after="0"/>
            </w:pPr>
            <w:r>
              <w:rPr>
                <w:rFonts w:ascii="Arial" w:hAnsi="Arial"/>
                <w:b w:val="0"/>
                <w:sz w:val="14"/>
              </w:rPr>
              <w:t>Evidence Minimization</w:t>
            </w:r>
          </w:p>
        </w:tc>
        <w:tc>
          <w:tcPr>
            <w:tcW w:type="dxa" w:w="3408"/>
          </w:tcPr>
          <w:p>
            <w:pPr>
              <w:spacing w:after="0"/>
            </w:pPr>
            <w:r>
              <w:rPr>
                <w:rFonts w:ascii="Arial" w:hAnsi="Arial"/>
                <w:b w:val="0"/>
                <w:sz w:val="14"/>
              </w:rPr>
              <w:t>ALCS-12 (Chapter 8)</w:t>
            </w:r>
          </w:p>
        </w:tc>
        <w:tc>
          <w:tcPr>
            <w:tcW w:type="dxa" w:w="3408"/>
          </w:tcPr>
          <w:p>
            <w:pPr>
              <w:spacing w:after="0"/>
            </w:pPr>
            <w:r>
              <w:rPr>
                <w:rFonts w:ascii="Arial" w:hAnsi="Arial"/>
                <w:b w:val="0"/>
                <w:sz w:val="14"/>
              </w:rPr>
              <w:t>Closure evidence must preserve accountability without unnecessary disclosure. Incident investigation must respect privacy boundaries.</w:t>
            </w:r>
          </w:p>
        </w:tc>
      </w:tr>
      <w:tr>
        <w:tc>
          <w:tcPr>
            <w:tcW w:type="dxa" w:w="3408"/>
          </w:tcPr>
          <w:p>
            <w:pPr>
              <w:spacing w:after="0"/>
            </w:pPr>
            <w:r>
              <w:rPr>
                <w:rFonts w:ascii="Arial" w:hAnsi="Arial"/>
                <w:b w:val="0"/>
                <w:sz w:val="14"/>
              </w:rPr>
              <w:t>Composite interpretation</w:t>
            </w:r>
          </w:p>
        </w:tc>
        <w:tc>
          <w:tcPr>
            <w:tcW w:type="dxa" w:w="3408"/>
          </w:tcPr>
          <w:p>
            <w:pPr>
              <w:spacing w:after="0"/>
            </w:pPr>
            <w:r>
              <w:rPr>
                <w:rFonts w:ascii="Arial" w:hAnsi="Arial"/>
                <w:b w:val="0"/>
                <w:sz w:val="14"/>
              </w:rPr>
              <w:t>Chapter 9</w:t>
            </w:r>
          </w:p>
        </w:tc>
        <w:tc>
          <w:tcPr>
            <w:tcW w:type="dxa" w:w="3408"/>
          </w:tcPr>
          <w:p>
            <w:pPr>
              <w:spacing w:after="0"/>
            </w:pPr>
            <w:r>
              <w:rPr>
                <w:rFonts w:ascii="Arial" w:hAnsi="Arial"/>
                <w:b w:val="0"/>
                <w:sz w:val="14"/>
              </w:rPr>
              <w:t>Incident closure affects final system readiness interpretation. Systems with strong incident closure capability score higher on contestability, monitoring, and evidence dimensions.</w:t>
            </w:r>
          </w:p>
        </w:tc>
      </w:tr>
    </w:tbl>
    <w:p>
      <w:pPr>
        <w:spacing w:after="56"/>
      </w:pPr>
      <w:r>
        <w:t>This cross-cutting treatment ensures that incident, dispute, and remediation closure is evaluated as a lifecycle-wide capability rather than as a single isolated dimension. Systems that provide strong contestability, monitoring, accepted outcome tracking, evidence partitioning, and evidence minimization capabilities will naturally support incident closure. Systems that lack these capabilities will struggle to close incidents in an auditable, privacy-preserving, and accountability-preserving manner.</w:t>
      </w:r>
    </w:p>
    <w:p>
      <w:pPr>
        <w:pStyle w:val="Heading2"/>
      </w:pPr>
      <w:r>
        <w:t>8.4 Shared Scoring Procedure (Reference to Chapter 7)</w:t>
      </w:r>
    </w:p>
    <w:p>
      <w:pPr>
        <w:spacing w:after="56"/>
      </w:pPr>
      <w:r>
        <w:t>ALCS uses the same scoring procedure as RCCS. This ensures consistency and comparability across both scoring frameworks. The shared scoring procedure was defined in Chapter 7.3 and includes the raw scoring scale, evidence confidence multiplier, dimension score formula, and cross-framework composite score.</w:t>
      </w:r>
    </w:p>
    <w:p>
      <w:pPr>
        <w:spacing w:after="56"/>
      </w:pPr>
      <w:r>
        <w:t>Raw scoring scale (0-5): Each ALCS dimension is scored on a 0-5 raw scale based on the strength of system support:</w:t>
      </w:r>
    </w:p>
    <w:p>
      <w:pPr>
        <w:pStyle w:val="ListBullet"/>
        <w:spacing w:after="56"/>
      </w:pPr>
      <w:r>
        <w:t>0 = No capability; no evidence</w:t>
      </w:r>
    </w:p>
    <w:p>
      <w:pPr>
        <w:pStyle w:val="ListBullet"/>
        <w:spacing w:after="56"/>
      </w:pPr>
      <w:r>
        <w:t>1 = Minimal capability; weak evidence</w:t>
      </w:r>
    </w:p>
    <w:p>
      <w:pPr>
        <w:pStyle w:val="ListBullet"/>
        <w:spacing w:after="56"/>
      </w:pPr>
      <w:r>
        <w:t>2 = Partial capability; some evidence</w:t>
      </w:r>
    </w:p>
    <w:p>
      <w:pPr>
        <w:pStyle w:val="ListBullet"/>
        <w:spacing w:after="56"/>
      </w:pPr>
      <w:r>
        <w:t>3 = Moderate capability; documented evidence</w:t>
      </w:r>
    </w:p>
    <w:p>
      <w:pPr>
        <w:pStyle w:val="ListBullet"/>
        <w:spacing w:after="56"/>
      </w:pPr>
      <w:r>
        <w:t>4 = Strong capability; validated evidence</w:t>
      </w:r>
    </w:p>
    <w:p>
      <w:pPr>
        <w:pStyle w:val="ListBullet"/>
        <w:spacing w:after="56"/>
      </w:pPr>
      <w:r>
        <w:t>5 = Complete capability demonstrated by implementation evidence, formal audit evidence, protocol-level evidence, or validated operational artifacts. Legal text may establish a regulatory baseline but does not by itself prove implementation.</w:t>
      </w:r>
    </w:p>
    <w:p>
      <w:pPr>
        <w:spacing w:after="56"/>
      </w:pPr>
      <w:r>
        <w:t>Evidence confidence multiplier: The evidence multiplier adjusts the dimension score based on the quality and verifiability of evidence used to evaluate the system:</w:t>
      </w:r>
    </w:p>
    <w:p>
      <w:pPr>
        <w:pStyle w:val="ListBullet"/>
        <w:spacing w:after="56"/>
      </w:pPr>
      <w:r>
        <w:t>L1: 1.00</w:t>
      </w:r>
    </w:p>
    <w:p>
      <w:pPr>
        <w:pStyle w:val="ListBullet"/>
        <w:spacing w:after="56"/>
      </w:pPr>
      <w:r>
        <w:t>L2: 0.85</w:t>
      </w:r>
    </w:p>
    <w:p>
      <w:pPr>
        <w:pStyle w:val="ListBullet"/>
        <w:spacing w:after="56"/>
      </w:pPr>
      <w:r>
        <w:t>L3: 0.75</w:t>
      </w:r>
    </w:p>
    <w:p>
      <w:pPr>
        <w:pStyle w:val="ListBullet"/>
        <w:spacing w:after="56"/>
      </w:pPr>
      <w:r>
        <w:t>L4: 0.55</w:t>
      </w:r>
    </w:p>
    <w:p>
      <w:pPr>
        <w:pStyle w:val="ListBullet"/>
        <w:spacing w:after="56"/>
      </w:pPr>
      <w:r>
        <w:t>L5: 0.35</w:t>
      </w:r>
    </w:p>
    <w:p>
      <w:pPr>
        <w:spacing w:after="56"/>
      </w:pPr>
      <w:r>
        <w:t>Dimension score formula: Each ALCS dimension is normalized using:</w:t>
      </w:r>
    </w:p>
    <w:p>
      <w:pPr>
        <w:spacing w:after="56"/>
      </w:pPr>
      <w:r>
        <w:t>Dimension Score = (Raw Score / 5) × 100 × Evidence Confidence Multiplier</w:t>
      </w:r>
    </w:p>
    <w:p>
      <w:pPr>
        <w:spacing w:after="56"/>
      </w:pPr>
      <w:r>
        <w:t>Composite score formula: RCCS and ALCS are combined only at the cross-framework layer:</w:t>
      </w:r>
    </w:p>
    <w:p>
      <w:pPr>
        <w:spacing w:after="56"/>
      </w:pPr>
      <w:r>
        <w:t>Composite Score = 0.40 × RCCS + 0.60 × ALCS</w:t>
      </w:r>
    </w:p>
    <w:p>
      <w:pPr>
        <w:spacing w:after="56"/>
      </w:pPr>
      <w:r>
        <w:t>For complete details on the scoring procedure, including scoring rationale, evidence hierarchy, and calculation examples, see Chapter 7.3.</w:t>
      </w:r>
    </w:p>
    <w:p>
      <w:pPr>
        <w:pStyle w:val="Heading2"/>
      </w:pPr>
      <w:r>
        <w:t>8.5 ALCS Boundary Statement</w:t>
      </w:r>
    </w:p>
    <w:p>
      <w:pPr>
        <w:spacing w:after="56"/>
      </w:pPr>
      <w:r>
        <w:t>ALCS is an analytical scoring framework, not a legal compliance score. This boundary must be understood clearly to avoid misinterpretation and over-claiming.</w:t>
      </w:r>
    </w:p>
    <w:p>
      <w:pPr>
        <w:spacing w:after="56"/>
      </w:pPr>
      <w:r>
        <w:t>What ALCS is:</w:t>
      </w:r>
    </w:p>
    <w:p>
      <w:pPr>
        <w:pStyle w:val="ListBullet"/>
        <w:spacing w:after="56"/>
      </w:pPr>
      <w:r>
        <w:t>An analytical framework for comparing system capabilities against lifecycle responsibility requirements</w:t>
      </w:r>
    </w:p>
    <w:p>
      <w:pPr>
        <w:pStyle w:val="ListBullet"/>
        <w:spacing w:after="56"/>
      </w:pPr>
      <w:r>
        <w:t>A structured method for evaluating whether a system provides lifecycle objects required to prove agentic responsibility</w:t>
      </w:r>
    </w:p>
    <w:p>
      <w:pPr>
        <w:pStyle w:val="ListBullet"/>
        <w:spacing w:after="56"/>
      </w:pPr>
      <w:r>
        <w:t>A tool for buyers, auditors, and governance teams to assess system readiness for multi-agent execution</w:t>
      </w:r>
    </w:p>
    <w:p>
      <w:pPr>
        <w:pStyle w:val="ListBullet"/>
        <w:spacing w:after="56"/>
      </w:pPr>
      <w:r>
        <w:t>A bridge between regulatory abstractions and lifecycle implementation</w:t>
      </w:r>
    </w:p>
    <w:p>
      <w:pPr>
        <w:spacing w:after="56"/>
      </w:pPr>
      <w:r>
        <w:t>What ALCS is not:</w:t>
      </w:r>
    </w:p>
    <w:p>
      <w:pPr>
        <w:pStyle w:val="ListBullet"/>
        <w:spacing w:after="56"/>
      </w:pPr>
      <w:r>
        <w:t>A legal compliance certification or conformity assessment</w:t>
      </w:r>
    </w:p>
    <w:p>
      <w:pPr>
        <w:pStyle w:val="ListBullet"/>
        <w:spacing w:after="56"/>
      </w:pPr>
      <w:r>
        <w:t>A regulatory approval or endorsement</w:t>
      </w:r>
    </w:p>
    <w:p>
      <w:pPr>
        <w:pStyle w:val="ListBullet"/>
        <w:spacing w:after="56"/>
      </w:pPr>
      <w:r>
        <w:t>A guarantee that a system meets all legal obligations</w:t>
      </w:r>
    </w:p>
    <w:p>
      <w:pPr>
        <w:pStyle w:val="ListBullet"/>
        <w:spacing w:after="56"/>
      </w:pPr>
      <w:r>
        <w:t>A substitute for legal counsel, compliance review, or risk assessment</w:t>
      </w:r>
    </w:p>
    <w:p>
      <w:pPr>
        <w:spacing w:after="56"/>
      </w:pPr>
      <w:r>
        <w:t>Key boundary principles:</w:t>
      </w:r>
    </w:p>
    <w:p>
      <w:pPr>
        <w:pStyle w:val="ListNumber"/>
        <w:spacing w:after="56"/>
      </w:pPr>
      <w:r>
        <w:t>High ALCS score does NOT mean legal compliance. A system may score well on ALCS while the organization using it fails to comply with legal obligations due to deployment gaps, policy weaknesses, incomplete adoption, or jurisdictional differences. ALCS measures system capability to express lifecycle objects, not organizational conformance to legal requirements.</w:t>
      </w:r>
    </w:p>
    <w:p>
      <w:pPr>
        <w:pStyle w:val="ListNumber"/>
        <w:spacing w:after="56"/>
      </w:pPr>
      <w:r>
        <w:t>Low ALCS score does NOT mean non-compliance. A system may score lower on ALCS while the organization achieves compliance through compensating controls, manual processes, or alternative governance mechanisms. ALCS measures lifecycle object support, not all possible paths to compliance.</w:t>
      </w:r>
    </w:p>
    <w:p>
      <w:pPr>
        <w:pStyle w:val="ListNumber"/>
        <w:spacing w:after="56"/>
      </w:pPr>
      <w:r>
        <w:t>ALCS measures system capability, not organizational practice. A system may provide strong lifecycle objects while the organization fails to use them. Conversely, an organization may achieve strong lifecycle governance through processes that are not reflected in system capabilities. ALCS evaluates what the system can express, not what the organization actually does.</w:t>
      </w:r>
    </w:p>
    <w:p>
      <w:pPr>
        <w:pStyle w:val="ListNumber"/>
        <w:spacing w:after="56"/>
      </w:pPr>
      <w:r>
        <w:t>ALCS is context-independent, but compliance is context-dependent. ALCS evaluates system capabilities without regard to deployment context, risk class, jurisdiction, or use case. Legal compliance depends on all of these factors. A system with a high ALCS score may still be non-compliant in specific contexts, and a system with a low ALCS score may be compliant in other contexts.</w:t>
      </w:r>
    </w:p>
    <w:p>
      <w:pPr>
        <w:spacing w:after="56"/>
      </w:pPr>
      <w:r>
        <w:t>Relationship between RCCS and ALCS:</w:t>
      </w:r>
    </w:p>
    <w:p>
      <w:pPr>
        <w:spacing w:after="56"/>
      </w:pPr>
      <w:r>
        <w:t>RCCS and ALCS measure different layers. RCCS measures regulatory compliance coverage: whether a system provides the governance primitives that existing regulation requires. ALCS measures agentic lifecycle conformance: whether a system provides the lifecycle objects that make agentic responsibility auditable, provable, and transferable.</w:t>
      </w:r>
    </w:p>
    <w:p>
      <w:pPr>
        <w:spacing w:after="56"/>
      </w:pPr>
      <w:r>
        <w:t>A system can have strong RCCS and weak ALCS. This means the system provides strong regulatory compliance coverage through risk management, documentation, record-keeping, transparency, human oversight, security, accountability, contestability, and monitoring capabilities while lacking deeper lifecycle responsibility objects for multi-agent execution. This is not a contradiction. It reflects the reality that existing regulation focuses on model governance and platform controls while lifecycle responsibility semantics for multi-agent systems are still emerging.</w:t>
      </w:r>
    </w:p>
    <w:p>
      <w:pPr>
        <w:spacing w:after="56"/>
      </w:pPr>
      <w:r>
        <w:t>A system can have weak RCCS and strong ALCS. This means the system provides strong lifecycle objects for expressing agentic responsibility while lacking broader regulatory compliance coverage. This is less common but possible for specialized lifecycle protocols or agent frameworks that focus on responsibility semantics without providing full governance platform capabilities.</w:t>
      </w:r>
    </w:p>
    <w:p>
      <w:pPr>
        <w:spacing w:after="56"/>
      </w:pPr>
      <w:r>
        <w:t>Both RCCS and ALCS are necessary. Neither alone is sufficient. RCCS ensures that systems meet existing regulatory requirements. ALCS ensures that systems can prove lifecycle responsibility in multi-agent execution. Together, they provide a dual-layer assessment of system governance capability.</w:t>
      </w:r>
    </w:p>
    <w:p>
      <w:pPr>
        <w:spacing w:after="56"/>
      </w:pPr>
      <w:r>
        <w:t>The purpose of this boundary statement is to prevent over-claiming. ALCS is a useful analytical tool, but it is not a compliance certification. Organizations must not rely on ALCS scores as proof of legal compliance. Buyers must not treat high ALCS scores as a substitute for due diligence, legal review, or risk assessment. ALCS measures system capability to express lifecycle objects. Legal compliance requires organizational practice, deployment context, and jurisdictional analysis.</w:t>
      </w:r>
    </w:p>
    <w:p>
      <w:pPr>
        <w:pStyle w:val="Heading2"/>
      </w:pPr>
      <w:r>
        <w:t>8.6 Bridge to Dimension Sections</w:t>
      </w:r>
    </w:p>
    <w:p>
      <w:pPr>
        <w:spacing w:after="56"/>
      </w:pPr>
      <w:r>
        <w:t>The following sections (8.7 through 8.21) detail each ALCS dimension. Each dimension section includes:</w:t>
      </w:r>
    </w:p>
    <w:p>
      <w:pPr>
        <w:pStyle w:val="ListBullet"/>
        <w:spacing w:after="56"/>
      </w:pPr>
      <w:r>
        <w:t>MRO mapping - Which Missing Regulatory Objects inform the dimension</w:t>
      </w:r>
    </w:p>
    <w:p>
      <w:pPr>
        <w:pStyle w:val="ListBullet"/>
        <w:spacing w:after="56"/>
      </w:pPr>
      <w:r>
        <w:t>Core question - What the dimension evaluates</w:t>
      </w:r>
    </w:p>
    <w:p>
      <w:pPr>
        <w:pStyle w:val="ListBullet"/>
        <w:spacing w:after="56"/>
      </w:pPr>
      <w:r>
        <w:t>Scoring criteria - How to apply the 0-5 raw scale to system capabilities</w:t>
      </w:r>
    </w:p>
    <w:p>
      <w:pPr>
        <w:pStyle w:val="ListBullet"/>
        <w:spacing w:after="56"/>
      </w:pPr>
      <w:r>
        <w:t>System mapping guidance - How to evaluate whether a system supports the dimension</w:t>
      </w:r>
    </w:p>
    <w:p>
      <w:pPr>
        <w:spacing w:after="56"/>
      </w:pPr>
      <w:r>
        <w:t>The dimension sections provide the detailed rubrics required to score systems consistently and reproducibly. They translate lifecycle responsibility abstractions into concrete system features that can be evaluated through documentation review, API inspection, and evidence analysis.</w:t>
      </w:r>
    </w:p>
    <w:p>
      <w:pPr>
        <w:spacing w:after="56"/>
      </w:pPr>
      <w:r>
        <w:t>The body chapter includes compact dimension rubrics for reader continuity; Appendix F provides the reusable detailed ALCS scoring reference.</w:t>
      </w:r>
    </w:p>
    <w:p>
      <w:pPr>
        <w:pStyle w:val="Heading2"/>
      </w:pPr>
      <w:r>
        <w:t>8.7 ALCS-01: Human-Role-to-MAS Responsibility Mapping</w:t>
      </w:r>
    </w:p>
    <w:p>
      <w:pPr>
        <w:pStyle w:val="Heading3"/>
      </w:pPr>
      <w:r>
        <w:t>MRO Mapping</w:t>
      </w:r>
    </w:p>
    <w:p>
      <w:pPr>
        <w:spacing w:after="56"/>
      </w:pPr>
      <w:r>
        <w:t>This dimension primarily maps to MRO-01 (Human Role to MAS Responsibility Mapping) with secondary relationships to MRO-03 (Agent Role vs Human Role) and MRO-06 (Responsibility Transfer Across Agents). The core requirement is that human organizational accountability must be explicitly mapped to agent execution responsibilities.</w:t>
      </w:r>
    </w:p>
    <w:p>
      <w:pPr>
        <w:pStyle w:val="Heading3"/>
      </w:pPr>
      <w:r>
        <w:t>Core Question</w:t>
      </w:r>
    </w:p>
    <w:p>
      <w:pPr>
        <w:spacing w:after="56"/>
      </w:pPr>
      <w:r>
        <w:t>Does the system map human roles to agent roles, delegated scopes, evidence obligations, and acceptance authority?</w:t>
      </w:r>
    </w:p>
    <w:p>
      <w:pPr>
        <w:pStyle w:val="Heading3"/>
      </w:pPr>
      <w:r>
        <w:t>Scoring Rubric</w:t>
      </w:r>
    </w:p>
    <w:p>
      <w:pPr>
        <w:keepNext/>
      </w:pPr>
      <w:r>
        <w:rPr>
          <w:b/>
          <w:sz w:val="16"/>
        </w:rPr>
        <w:t>Table T-08-03: ALCS-01 Human-Role-to-MAS Responsibility Mapping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role-to-responsibility mapping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human oversight or role mapping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Human roles and agent roles exist but are not explicitly mapped; no evidence obligations or acceptance authority tracking</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Role-to-responsibility mappings exist for most workflows; some gaps in evidence obligation tracking, acceptance authority, or cross-project mapping</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role-responsibility graph linking human role IDs, agent role IDs, delegated scopes, reserved decisions, review duties, evidence obligations, and accepted-outcome authority</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When evaluating a system for human-role-to-MAS responsibility mapping, examine whether the system maintains explicit bindings between human organizational roles and agent execution responsibilities. Look for role definition objects that specify not only who can initiate or approve agent work, but also who owns intent, who approves risk, who reviews evidence, and who accepts outcomes.</w:t>
      </w:r>
    </w:p>
    <w:p>
      <w:pPr>
        <w:spacing w:after="56"/>
      </w:pPr>
      <w:r>
        <w:t>Strong systems provide role-responsibility graphs where each human role is linked to specific agent roles, with clear documentation of what responsibilities are delegated, what responsibilities are retained, and what evidence obligations apply. The mapping should be durable and auditable: given a completed workflow, the system should be able to reconstruct which human role held which responsibility at each lifecycle phase.</w:t>
      </w:r>
    </w:p>
    <w:p>
      <w:pPr>
        <w:spacing w:after="56"/>
      </w:pPr>
      <w:r>
        <w:t>Weak systems may have user accounts, approval buttons, or workflow assignments without explicit responsibility semantics. A user may be listed as an approver without clarity about whether they own business acceptance, risk approval, or evidence review. The test is whether the system can answer: for this completed run, who owned intent, who approved risk, who executed each step, who reviewed evidence, and who accepted the outcome?</w:t>
      </w:r>
    </w:p>
    <w:p>
      <w:pPr>
        <w:pStyle w:val="Heading3"/>
      </w:pPr>
      <w:r>
        <w:t>Common Gaps</w:t>
      </w:r>
    </w:p>
    <w:p>
      <w:pPr>
        <w:spacing w:after="56"/>
      </w:pPr>
      <w:r>
        <w:t>The most common gap is human oversight that exists at the UI level without responsibility mapping at the lifecycle level. Organizations may have approval workflows where humans click buttons, but the system cannot prove which human role held which responsibility. Another common gap is responsibility mappings that apply to initial delegation but do not track responsibility changes during multi-agent handoffs or cross-project reuse.</w:t>
      </w:r>
    </w:p>
    <w:p>
      <w:pPr>
        <w:pStyle w:val="Heading2"/>
      </w:pPr>
      <w:r>
        <w:t>8.8 ALCS-02: Delegated Authority Boundary</w:t>
      </w:r>
    </w:p>
    <w:p>
      <w:pPr>
        <w:pStyle w:val="Heading3"/>
      </w:pPr>
      <w:r>
        <w:t>MRO Mapping</w:t>
      </w:r>
    </w:p>
    <w:p>
      <w:pPr>
        <w:spacing w:after="56"/>
      </w:pPr>
      <w:r>
        <w:t>This dimension primarily maps to MRO-02 (Delegated Authority Boundary) with secondary relationships to MRO-07 (Authority Drift). The core requirement is that technical permission must be distinguished from business authority, and authority boundaries must be enforced at execution time.</w:t>
      </w:r>
    </w:p>
    <w:p>
      <w:pPr>
        <w:pStyle w:val="Heading3"/>
      </w:pPr>
      <w:r>
        <w:t>Core Question</w:t>
      </w:r>
    </w:p>
    <w:p>
      <w:pPr>
        <w:spacing w:after="56"/>
      </w:pPr>
      <w:r>
        <w:t>Does the system define and enforce delegated authority boundaries for agent actions?</w:t>
      </w:r>
    </w:p>
    <w:p>
      <w:pPr>
        <w:pStyle w:val="Heading3"/>
      </w:pPr>
      <w:r>
        <w:t>Scoring Rubric</w:t>
      </w:r>
    </w:p>
    <w:p>
      <w:pPr>
        <w:keepNext/>
      </w:pPr>
      <w:r>
        <w:rPr>
          <w:b/>
          <w:sz w:val="16"/>
        </w:rPr>
        <w:t>Table T-08-04: ALCS-02 Delegated Authority Boundary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authority boundary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authority or delegation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Tool permissions exist but are not mapped to business authority; no scope, condition, or risk class enforcement</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Authority boundaries exist for most high-impact actions; some gaps in condition enforcement, expiry tracking, or escalation paths</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authority boundary objects binding role, action, scope, condition, risk class, evidence requirement, expiry, revocation, and escalation path with runtime enforcement</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delegated authority requires distinguishing between access control and authority control. A system may grant an agent technical permission to call a tool while lacking business authority to use that tool for a particular action. Look for authority boundary objects that specify not only what an agent can do, but under what conditions, for what scope, at what risk level, and with what escalation requirements.</w:t>
      </w:r>
    </w:p>
    <w:p>
      <w:pPr>
        <w:spacing w:after="56"/>
      </w:pPr>
      <w:r>
        <w:t>Strong systems check authority boundaries before high-impact tool calls and enforce scope limitations, condition requirements, and expiry rules. Authority should be evaluated against intent and plan state, not only against static credentials. The system should fail closed when authority cannot be reconstructed, and should escalate when observed actions exceed delegated authority.</w:t>
      </w:r>
    </w:p>
    <w:p>
      <w:pPr>
        <w:spacing w:after="56"/>
      </w:pPr>
      <w:r>
        <w:t>Weak systems may rely on IAM permissions, API keys, or tool availability without authority semantics. The same tool call may be authorized in one context and unauthorized in another, but the system treats all calls with valid credentials as authorized. The test is whether the system can show the exact authority basis and escalation rule for a high-impact tool call before it executes.</w:t>
      </w:r>
    </w:p>
    <w:p>
      <w:pPr>
        <w:pStyle w:val="Heading3"/>
      </w:pPr>
      <w:r>
        <w:t>Common Gaps</w:t>
      </w:r>
    </w:p>
    <w:p>
      <w:pPr>
        <w:spacing w:after="56"/>
      </w:pPr>
      <w:r>
        <w:t>The most common gap is authority boundaries that are documented in policies but not enforced at runtime. Organizations may define authority scopes in documentation while allowing agents to execute any action for which they have technical permission. Another common gap is authority boundaries that apply to initial delegation but do not detect authority drift during long-running workflows or autonomous retries.</w:t>
      </w:r>
    </w:p>
    <w:p>
      <w:pPr>
        <w:pStyle w:val="Heading2"/>
      </w:pPr>
      <w:r>
        <w:t>8.9 ALCS-03: Agent Role vs Human Role Distinction</w:t>
      </w:r>
    </w:p>
    <w:p>
      <w:pPr>
        <w:pStyle w:val="Heading3"/>
      </w:pPr>
      <w:r>
        <w:t>MRO Mapping</w:t>
      </w:r>
    </w:p>
    <w:p>
      <w:pPr>
        <w:spacing w:after="56"/>
      </w:pPr>
      <w:r>
        <w:t>This dimension primarily maps to MRO-03 (Agent Role is not Human Role) with secondary relationships to MRO-01 (Human Role to MAS Responsibility Mapping). The core requirement is that agent roles must be governance identities with bounded responsibility surfaces, not merely persuasive persona labels.</w:t>
      </w:r>
    </w:p>
    <w:p>
      <w:pPr>
        <w:pStyle w:val="Heading3"/>
      </w:pPr>
      <w:r>
        <w:t>Core Question</w:t>
      </w:r>
    </w:p>
    <w:p>
      <w:pPr>
        <w:spacing w:after="56"/>
      </w:pPr>
      <w:r>
        <w:t>Does the system distinguish agent roles from human roles with clear responsibility semantics?</w:t>
      </w:r>
    </w:p>
    <w:p>
      <w:pPr>
        <w:pStyle w:val="Heading3"/>
      </w:pPr>
      <w:r>
        <w:t>Scoring Rubric</w:t>
      </w:r>
    </w:p>
    <w:p>
      <w:pPr>
        <w:keepNext/>
      </w:pPr>
      <w:r>
        <w:rPr>
          <w:b/>
          <w:sz w:val="16"/>
        </w:rPr>
        <w:t>Table T-08-05: ALCS-03 Agent Role vs Human Role Distinction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role distinction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agent roles but provides no responsibility semantics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Agent roles exist as execution personas but lack responsibility boundaries, evidence duties, or human accountability linkage</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Agent roles include responsibility boundaries and capability definitions; some gaps in evidence duties, escalation requirements, or human accountability linkage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agent responsibility boundaries declaring duties, non-duties, allowed tools, inherited constraints, verification expectations, evidence obligations, and human accountability linkage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agent role distinction requires examining whether agent roles carry governance semantics beyond execution personas. Look for role objects that define not only what an agent can do, but what it must prove, what it must escalate, and which human role remains accountable for acceptance or rejection.</w:t>
      </w:r>
    </w:p>
    <w:p>
      <w:pPr>
        <w:spacing w:after="56"/>
      </w:pPr>
      <w:r>
        <w:t>Strong systems separate UX persona labels from governance role definitions. An agent labeled "reviewer" should have a role object that specifies review duties, review criteria, evidence requirements, escalation conditions, and the human role accountable for final acceptance. The role definition should survive if the persona label is replaced with a neutral identifier.</w:t>
      </w:r>
    </w:p>
    <w:p>
      <w:pPr>
        <w:spacing w:after="56"/>
      </w:pPr>
      <w:r>
        <w:t>Weak systems may use human-like role labels such as researcher, writer, analyst, or manager without defining responsibility boundaries. These labels are useful for UI and collaboration metaphors, but they can obscure the fact that legal and business accountability remains with humans and organizations. The test is whether the governance meaning remains intact if the agent name is replaced with a neutral identifier.</w:t>
      </w:r>
    </w:p>
    <w:p>
      <w:pPr>
        <w:pStyle w:val="Heading3"/>
      </w:pPr>
      <w:r>
        <w:t>Common Gaps</w:t>
      </w:r>
    </w:p>
    <w:p>
      <w:pPr>
        <w:spacing w:after="56"/>
      </w:pPr>
      <w:r>
        <w:t>The most common gap is agent roles that exist as execution personas without responsibility semantics. Organizations may define agents with human-like job titles while lacking clarity about what responsibilities those agents carry, what evidence they must produce, or which human roles remain accountable. Another common gap is role definitions that specify capabilities without specifying non-delegable human responsibilities or escalation duties.</w:t>
      </w:r>
    </w:p>
    <w:p>
      <w:pPr>
        <w:pStyle w:val="Heading2"/>
      </w:pPr>
      <w:r>
        <w:t>8.10 ALCS-04: Accepted Outcome Compliance</w:t>
      </w:r>
    </w:p>
    <w:p>
      <w:pPr>
        <w:pStyle w:val="Heading3"/>
      </w:pPr>
      <w:r>
        <w:t>MRO Mapping</w:t>
      </w:r>
    </w:p>
    <w:p>
      <w:pPr>
        <w:spacing w:after="56"/>
      </w:pPr>
      <w:r>
        <w:t>This dimension primarily maps to MRO-04 (Accepted Outcome Compliance) with secondary relationships to MRO-01 (Human Role to MAS Responsibility Mapping) and MRO-08 (MAS Evidence Partitioning). The core requirement is that execution completion must be separated from outcome acceptance.</w:t>
      </w:r>
    </w:p>
    <w:p>
      <w:pPr>
        <w:pStyle w:val="Heading3"/>
      </w:pPr>
      <w:r>
        <w:t>Core Question</w:t>
      </w:r>
    </w:p>
    <w:p>
      <w:pPr>
        <w:spacing w:after="56"/>
      </w:pPr>
      <w:r>
        <w:t>Does the system separate execution completion from outcome acceptance and track acceptance authority?</w:t>
      </w:r>
    </w:p>
    <w:p>
      <w:pPr>
        <w:pStyle w:val="Heading3"/>
      </w:pPr>
      <w:r>
        <w:t>Scoring Rubric</w:t>
      </w:r>
    </w:p>
    <w:p>
      <w:pPr>
        <w:keepNext/>
      </w:pPr>
      <w:r>
        <w:rPr>
          <w:b/>
          <w:sz w:val="16"/>
        </w:rPr>
        <w:t>Table T-08-06: ALCS-04 Accepted Outcome Compliance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acceptance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review or acceptance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Execution completion states exist but are not distinguished from acceptance states; no acceptance criteria or reviewer tracking</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Acceptance workflows exist for most deliverables; some gaps in acceptance criteria definition, dispute windows, or remediation routes</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accepted outcome states linking source intent, plan, trace, reviewer identity, acceptance criteria, acceptance status, acceptance timestamp, dispute window, and remediation route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accepted outcome compliance requires examining whether the system distinguishes between completed execution and accepted delivery. Look for acceptance state objects that bind deliverable ID, plan version, trace reference, reviewer role, acceptance criteria, acceptance decision, and dispute window.</w:t>
      </w:r>
    </w:p>
    <w:p>
      <w:pPr>
        <w:spacing w:after="56"/>
      </w:pPr>
      <w:r>
        <w:t>Strong systems enforce a two-state transition: from completed output to accepted outcome. Completion means execution reached a terminal state. Acceptance means the output was reviewed against intent, evidence, risk, and acceptance criteria by an authorized reviewer. The system should track who accepted, against what criteria, with what evidence, and what the dispute window is.</w:t>
      </w:r>
    </w:p>
    <w:p>
      <w:pPr>
        <w:spacing w:after="56"/>
      </w:pPr>
      <w:r>
        <w:t>Weak systems may mark work as complete when execution terminates without requiring explicit acceptance. Downstream business processes may rely on unaccepted output. In disputes, the organization cannot distinguish whether the problem was execution quality, review failure, or missing acceptance policy. The test is whether the system can identify acceptance criteria, evidence reviewed, reviewer role, decision timestamp, and dispute window for any completed task.</w:t>
      </w:r>
    </w:p>
    <w:p>
      <w:pPr>
        <w:pStyle w:val="Heading3"/>
      </w:pPr>
      <w:r>
        <w:t>Common Gaps</w:t>
      </w:r>
    </w:p>
    <w:p>
      <w:pPr>
        <w:spacing w:after="56"/>
      </w:pPr>
      <w:r>
        <w:t>The most common gap is execution completion being treated as outcome acceptance. Organizations may have reliable execution engines while lacking explicit acceptance workflows, acceptance criteria, or acceptance authority tracking. Another common gap is acceptance workflows that exist for final deliverables but not for intermediate agent outputs, allowing unaccepted work to propagate through multi-agent workflows.</w:t>
      </w:r>
    </w:p>
    <w:p>
      <w:pPr>
        <w:pStyle w:val="Heading2"/>
      </w:pPr>
      <w:r>
        <w:t>8.11 ALCS-05: Tool-Action Liability Boundary</w:t>
      </w:r>
    </w:p>
    <w:p>
      <w:pPr>
        <w:pStyle w:val="Heading3"/>
      </w:pPr>
      <w:r>
        <w:t>MRO Mapping</w:t>
      </w:r>
    </w:p>
    <w:p>
      <w:pPr>
        <w:spacing w:after="56"/>
      </w:pPr>
      <w:r>
        <w:t>This dimension primarily maps to MRO-05 (Tool-Action Liability Boundary) with secondary relationships to MRO-02 (Delegated Authority Boundary) and MRO-08 (MAS Evidence Partitioning). The core requirement is that consequential tool actions must record liability boundaries including initiator, authority source, affected system, reversibility, and accountable owner.</w:t>
      </w:r>
    </w:p>
    <w:p>
      <w:pPr>
        <w:pStyle w:val="Heading3"/>
      </w:pPr>
      <w:r>
        <w:t>Core Question</w:t>
      </w:r>
    </w:p>
    <w:p>
      <w:pPr>
        <w:spacing w:after="56"/>
      </w:pPr>
      <w:r>
        <w:t>Does the system record liability boundaries for consequential tool actions?</w:t>
      </w:r>
    </w:p>
    <w:p>
      <w:pPr>
        <w:pStyle w:val="Heading3"/>
      </w:pPr>
      <w:r>
        <w:t>Scoring Rubric</w:t>
      </w:r>
    </w:p>
    <w:p>
      <w:pPr>
        <w:keepNext/>
      </w:pPr>
      <w:r>
        <w:rPr>
          <w:b/>
          <w:sz w:val="16"/>
        </w:rPr>
        <w:t>Table T-08-07: ALCS-05 Tool-Action Liability Boundary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tool-action liability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tool use or external actions but provides no liability tracking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Tool call logs exist but do not record authority source, affected systems, reversibility, or accountable owner</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Tool-action records exist for most consequential actions; some gaps in reversibility tracking, rollback plans, or liability assignment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tool-action liability objects recording initiator, tool identity, external system, authority credential, reversibility status, rollback plan, affected data categories, evidence pointer, and accountable owner</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tool-action liability requires examining whether the system records the full liability context for consequential tool actions. Look for tool-action records that capture not only what action was performed, but who initiated it, under what authority, affecting which external system, with what reversibility, and who owns the resulting consequence.</w:t>
      </w:r>
    </w:p>
    <w:p>
      <w:pPr>
        <w:spacing w:after="56"/>
      </w:pPr>
      <w:r>
        <w:t>Strong systems distinguish between low-risk tool calls and consequential actions that affect external systems, records, customers, code, money, permissions, communications, or regulated data. Consequential actions should produce liability boundary records before execution. The system should be able to reconstruct the initiator, authority source, affected system, reversibility status, rollback path, and accountable owner for any high-impact tool action.</w:t>
      </w:r>
    </w:p>
    <w:p>
      <w:pPr>
        <w:spacing w:after="56"/>
      </w:pPr>
      <w:r>
        <w:t>Weak systems may log tool calls without liability context. A tool log may show that an action happened, but not whether the agent had authority, whether the action was reversible, which system was affected, or who owns the consequence. The test is whether the system can reconstruct the full liability context for any consequential tool action without requiring tribal memory or manual investigation.</w:t>
      </w:r>
    </w:p>
    <w:p>
      <w:pPr>
        <w:pStyle w:val="Heading3"/>
      </w:pPr>
      <w:r>
        <w:t>Common Gaps</w:t>
      </w:r>
    </w:p>
    <w:p>
      <w:pPr>
        <w:spacing w:after="56"/>
      </w:pPr>
      <w:r>
        <w:t>The most common gap is tool call logging that captures execution events without liability semantics. Organizations may have extensive tool usage logs while lacking visibility into authority sources, affected systems, reversibility status, or accountability assignments. Another common gap is liability boundaries that apply to some tool categories but not others, leaving gaps in coverage for newly added tools or third-party integrations.</w:t>
      </w:r>
    </w:p>
    <w:p>
      <w:pPr>
        <w:pStyle w:val="Heading2"/>
      </w:pPr>
      <w:r>
        <w:t>8.12 ALCS-06: Responsibility Transfer Across Agents</w:t>
      </w:r>
    </w:p>
    <w:p>
      <w:pPr>
        <w:pStyle w:val="Heading3"/>
      </w:pPr>
      <w:r>
        <w:t>MRO Mapping</w:t>
      </w:r>
    </w:p>
    <w:p>
      <w:pPr>
        <w:spacing w:after="56"/>
      </w:pPr>
      <w:r>
        <w:t>This dimension primarily maps to MRO-06 (Responsibility Transfer Across Agents) with secondary relationships to MRO-01 (Human Role to MAS Responsibility Mapping) and MRO-08 (MAS Evidence Partitioning). The core requirement is that agent handoffs must include explicit responsibility transfer semantics, not merely task routing.</w:t>
      </w:r>
    </w:p>
    <w:p>
      <w:pPr>
        <w:pStyle w:val="Heading3"/>
      </w:pPr>
      <w:r>
        <w:t>Core Question</w:t>
      </w:r>
    </w:p>
    <w:p>
      <w:pPr>
        <w:spacing w:after="56"/>
      </w:pPr>
      <w:r>
        <w:t>Does the system track responsibility transfer during agent handoffs?</w:t>
      </w:r>
    </w:p>
    <w:p>
      <w:pPr>
        <w:pStyle w:val="Heading3"/>
      </w:pPr>
      <w:r>
        <w:t>Scoring Rubric</w:t>
      </w:r>
    </w:p>
    <w:p>
      <w:pPr>
        <w:keepNext/>
      </w:pPr>
      <w:r>
        <w:rPr>
          <w:b/>
          <w:sz w:val="16"/>
        </w:rPr>
        <w:t>Table T-08-08: ALCS-06 Responsibility Transfer Across Agents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responsibility transfer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agent handoffs or delegation but provides no responsibility transfer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Agent handoff routing exists but does not track responsibility transfer; no inherited constraints or receiving-role acceptance</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Responsibility transfer records exist for most handoffs; some gaps in inherited constraints, retained responsibilities, or transfer acceptance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transfer objects declaring transferred scope, source role, receiving role, retained responsibilities, inherited constraints, evidence obligations, receiving-role acceptance, and rejection/escalation behavior</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responsibility transfer requires distinguishing between workflow routing and governance transfer. Look for transfer objects that specify what responsibility was transferred, what was retained, what constraints were inherited, and whether the receiving agent accepted the transfer.</w:t>
      </w:r>
    </w:p>
    <w:p>
      <w:pPr>
        <w:spacing w:after="56"/>
      </w:pPr>
      <w:r>
        <w:t>Strong systems enforce explicit responsibility transfer at agent handoffs. A receiving agent must inherit constraints, evidence duties, privacy restrictions, and escalation conditions rather than merely receiving a prompt or task payload. Upstream and downstream responsibility must remain reconstructable. The system should be able to answer: at each handoff, what responsibility was transferred, what was retained, what constraints were inherited, and did the receiving agent accept?</w:t>
      </w:r>
    </w:p>
    <w:p>
      <w:pPr>
        <w:spacing w:after="56"/>
      </w:pPr>
      <w:r>
        <w:t>Weak systems may route tasks between agents without responsibility semantics. A downstream agent can claim it only followed instructions while the upstream agent no longer controls execution, leaving a gap in audit and remediation. The test is whether the system can reconstruct responsibility continuity across agent handoffs without relying on execution flow alone.</w:t>
      </w:r>
    </w:p>
    <w:p>
      <w:pPr>
        <w:pStyle w:val="Heading3"/>
      </w:pPr>
      <w:r>
        <w:t>Common Gaps</w:t>
      </w:r>
    </w:p>
    <w:p>
      <w:pPr>
        <w:spacing w:after="56"/>
      </w:pPr>
      <w:r>
        <w:t>The most common gap is agent handoffs that exist as workflow routing without responsibility transfer semantics. Organizations may have sophisticated multi-agent orchestration while lacking explicit tracking of what responsibilities moved between agents. Another common gap is responsibility transfer that happens implicitly through task delegation without recording transferred scope, retained scope, or inherited constraints.</w:t>
      </w:r>
    </w:p>
    <w:p>
      <w:pPr>
        <w:pStyle w:val="Heading2"/>
      </w:pPr>
      <w:r>
        <w:t>8.13 ALCS-07: Authority Drift Detection</w:t>
      </w:r>
    </w:p>
    <w:p>
      <w:pPr>
        <w:pStyle w:val="Heading3"/>
      </w:pPr>
      <w:r>
        <w:t>MRO Mapping</w:t>
      </w:r>
    </w:p>
    <w:p>
      <w:pPr>
        <w:spacing w:after="56"/>
      </w:pPr>
      <w:r>
        <w:t>This dimension primarily maps to MRO-07 (Authority Drift) with secondary relationships to MRO-02 (Delegated Authority Boundary). The core requirement is that the system must detect when agents transition from their original authority boundaries without explicit authorization.</w:t>
      </w:r>
    </w:p>
    <w:p>
      <w:pPr>
        <w:pStyle w:val="Heading3"/>
      </w:pPr>
      <w:r>
        <w:t>Core Question</w:t>
      </w:r>
    </w:p>
    <w:p>
      <w:pPr>
        <w:spacing w:after="56"/>
      </w:pPr>
      <w:r>
        <w:t>Does the system detect and alert on unauthorized authority transitions?</w:t>
      </w:r>
    </w:p>
    <w:p>
      <w:pPr>
        <w:pStyle w:val="Heading3"/>
      </w:pPr>
      <w:r>
        <w:t>Scoring Rubric</w:t>
      </w:r>
    </w:p>
    <w:p>
      <w:pPr>
        <w:keepNext/>
      </w:pPr>
      <w:r>
        <w:rPr>
          <w:b/>
          <w:sz w:val="16"/>
        </w:rPr>
        <w:t>Table T-08-09: ALCS-07 Authority Drift Detection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authority drift detection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authority monitoring but provides no drift detection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Authority boundaries are defined but not monitored for drift; no drift detection rules or alerts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Authority drift detection exists for most high-risk transitions; some gaps in drift alert routing, remediation workflows, or long-running workflow monitoring</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authority drift monitoring comparing observed behavior against original authority boundaries with drift detection rules, drift alerts, automatic stop/downgrade, and drift remediation workflows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authority drift detection requires examining whether the system monitors for unauthorized authority transitions during execution. Look for drift detection mechanisms that compare observed agent behavior against original authority boundaries and plan state.</w:t>
      </w:r>
    </w:p>
    <w:p>
      <w:pPr>
        <w:spacing w:after="56"/>
      </w:pPr>
      <w:r>
        <w:t>Strong systems detect when agents move from advice to execution, draft to send, read-only to write, or internal recommendation to external commitment without a new authority boundary or confirmation event. Drift detection should trigger stop, downgrade, or human confirmation rather than being treated as ordinary execution variance. The system should be particularly vigilant in long-running workflows, autonomous retries, or agent loops where cumulative drift can occur.</w:t>
      </w:r>
    </w:p>
    <w:p>
      <w:pPr>
        <w:spacing w:after="56"/>
      </w:pPr>
      <w:r>
        <w:t>Weak systems may define authority boundaries at delegation time but not monitor for drift during execution. Each local step may appear reasonable while the cumulative lifecycle state exceeds the original delegation. The test is whether the system can detect when an agent's observed behavior exceeds its original authority boundary and halt or escalate before external consequence.</w:t>
      </w:r>
    </w:p>
    <w:p>
      <w:pPr>
        <w:pStyle w:val="Heading3"/>
      </w:pPr>
      <w:r>
        <w:t>Common Gaps</w:t>
      </w:r>
    </w:p>
    <w:p>
      <w:pPr>
        <w:spacing w:after="56"/>
      </w:pPr>
      <w:r>
        <w:t>The most common gap is authority boundaries that are enforced at delegation time but not monitored during execution. Organizations may have clear authority definitions while lacking runtime detection of authority transitions. Another common gap is drift detection that applies to individual tool calls but not to cumulative authority escalation across multiple steps in long-running workflows.</w:t>
      </w:r>
    </w:p>
    <w:p>
      <w:pPr>
        <w:pStyle w:val="Heading2"/>
      </w:pPr>
      <w:r>
        <w:t>8.14 ALCS-08: MAS Evidence Partitioning</w:t>
      </w:r>
    </w:p>
    <w:p>
      <w:pPr>
        <w:pStyle w:val="Heading3"/>
      </w:pPr>
      <w:r>
        <w:t>MRO Mapping</w:t>
      </w:r>
    </w:p>
    <w:p>
      <w:pPr>
        <w:spacing w:after="56"/>
      </w:pPr>
      <w:r>
        <w:t>This dimension primarily maps to MRO-08 (MAS Evidence Partitioning) with secondary relationships to MRO-01 (Human Role to MAS Responsibility Mapping), MRO-04 (Accepted Outcome Compliance), and MRO-10 (Privacy/GDPR Lifecycle Mapping). The core requirement is that multi-agent evidence must be partitioned, linked, and reconstructable for different audit purposes.</w:t>
      </w:r>
    </w:p>
    <w:p>
      <w:pPr>
        <w:pStyle w:val="Heading3"/>
      </w:pPr>
      <w:r>
        <w:t>Core Question</w:t>
      </w:r>
    </w:p>
    <w:p>
      <w:pPr>
        <w:spacing w:after="56"/>
      </w:pPr>
      <w:r>
        <w:t>Does the system partition evidence by agent, tool, authority boundary, privacy class, and lifecycle phase?</w:t>
      </w:r>
    </w:p>
    <w:p>
      <w:pPr>
        <w:pStyle w:val="Heading3"/>
      </w:pPr>
      <w:r>
        <w:t>Scoring Rubric</w:t>
      </w:r>
    </w:p>
    <w:p>
      <w:pPr>
        <w:keepNext/>
      </w:pPr>
      <w:r>
        <w:rPr>
          <w:b/>
          <w:sz w:val="16"/>
        </w:rPr>
        <w:t>Table T-08-10: ALCS-08 MAS Evidence Partitioning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evidence partitioning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evidence or audit trails but provides no partitioning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Flat chronological logs exist but are not partitioned by agent, tool, authority, or privacy boundaries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Evidence partitioning exists for most governance boundaries; some gaps in cross-partition linking, privacy class partitioning, or reconstruction capability</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evidence partitioning by agent, tool, human confirmation, plan version, authority boundary, privacy boundary, and accepted outcome with stable identifiers, integrity hashes, cross-partition linking, and evidence reconstruction capability</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evidence partitioning requires examining whether the system can partition, link, and reconstruct evidence for different audit purposes. Look for evidence partitions organized by agent, role, tool, plan version, authority boundary, privacy class, confirmation event, and accepted outcome.</w:t>
      </w:r>
    </w:p>
    <w:p>
      <w:pPr>
        <w:spacing w:after="56"/>
      </w:pPr>
      <w:r>
        <w:t>Strong systems maintain evidence partitions that can be selectively disclosed without exposing the full raw log. Different auditors may need different partitions: a privacy regulator may need data-flow evidence, a financial auditor may need transaction evidence, a customer dispute may require specific agent evidence. Partitions should be linked by stable identifiers and integrity hashes to enable reconstruction while supporting selective disclosure.</w:t>
      </w:r>
    </w:p>
    <w:p>
      <w:pPr>
        <w:spacing w:after="56"/>
      </w:pPr>
      <w:r>
        <w:t>Weak systems may maintain flat chronological logs that mix irrelevant telemetry with critical proof. Flat logs are difficult to use in disputes because they require exposing unnecessary sensitive data to extract relevant evidence. The test is whether the system can reconstruct evidence partitions for specific agents, tools, privacy classes, and accepted outcomes without exposing the full raw log.</w:t>
      </w:r>
    </w:p>
    <w:p>
      <w:pPr>
        <w:pStyle w:val="Heading3"/>
      </w:pPr>
      <w:r>
        <w:t>Common Gaps</w:t>
      </w:r>
    </w:p>
    <w:p>
      <w:pPr>
        <w:spacing w:after="56"/>
      </w:pPr>
      <w:r>
        <w:t>The most common gap is evidence that exists as flat execution logs without governance partitioning. Organizations may have comprehensive observability while lacking the ability to partition evidence by agent, authority boundary, or privacy class. Another common gap is evidence partitions that exist but are not linked by stable identifiers, making it difficult to reconstruct cross-agent workflows or trace responsibility chains.</w:t>
      </w:r>
    </w:p>
    <w:p>
      <w:pPr>
        <w:pStyle w:val="Heading2"/>
      </w:pPr>
      <w:r>
        <w:t>8.15 ALCS-09: Cross-Project Reuse Compliance</w:t>
      </w:r>
    </w:p>
    <w:p>
      <w:pPr>
        <w:pStyle w:val="Heading3"/>
      </w:pPr>
      <w:r>
        <w:t>MRO Mapping</w:t>
      </w:r>
    </w:p>
    <w:p>
      <w:pPr>
        <w:spacing w:after="56"/>
      </w:pPr>
      <w:r>
        <w:t>This dimension primarily maps to MRO-09 (Cross-Project Reuse Compliance) with secondary relationships to MRO-02 (Delegated Authority Boundary) and MRO-10 (Privacy/GDPR Lifecycle Mapping). The core requirement is that workflows validated in one project context must be revalidated when reused in different project contexts.</w:t>
      </w:r>
    </w:p>
    <w:p>
      <w:pPr>
        <w:pStyle w:val="Heading3"/>
      </w:pPr>
      <w:r>
        <w:t>Core Question</w:t>
      </w:r>
    </w:p>
    <w:p>
      <w:pPr>
        <w:spacing w:after="56"/>
      </w:pPr>
      <w:r>
        <w:t>Does the system enforce revalidation when workflows are reused across projects?</w:t>
      </w:r>
    </w:p>
    <w:p>
      <w:pPr>
        <w:pStyle w:val="Heading3"/>
      </w:pPr>
      <w:r>
        <w:t>Scoring Rubric</w:t>
      </w:r>
    </w:p>
    <w:p>
      <w:pPr>
        <w:keepNext/>
      </w:pPr>
      <w:r>
        <w:rPr>
          <w:b/>
          <w:sz w:val="16"/>
        </w:rPr>
        <w:t>Table T-08-11: ALCS-09 Cross-Project Reuse Compliance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reuse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workflow reuse but provides no revalidation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Workflow templates or reuse mechanisms exist but do not track original validation context or enforce revalidation</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Reuse compliance records exist for most cross-project reuse; some gaps in authority reset, privacy review, or revalidation enforcement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reuse compliance records linking original validation context, new deployment context, authority reset, privacy review, revalidation decision, and revalidation evidence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cross-project reuse compliance requires examining whether the system tracks workflow provenance and enforces revalidation when workflows move between project contexts. Look for reuse compliance records that bind original workflow ID, original validation record, original project context, new project context, authority reset decision, privacy review, and revalidation approval.</w:t>
      </w:r>
    </w:p>
    <w:p>
      <w:pPr>
        <w:spacing w:after="56"/>
      </w:pPr>
      <w:r>
        <w:t>Strong systems treat cross-project reuse as a governance event rather than a convenience feature. When a workflow validated for one customer, risk class, data category, or authority boundary is reused in a different context, the system should require explicit revalidation. The original validation may not apply: the new project may have different privacy constraints, different authority boundaries, different acceptance criteria, or different risk exposure. Reuse without revalidation creates hidden governance debt.</w:t>
      </w:r>
    </w:p>
    <w:p>
      <w:pPr>
        <w:spacing w:after="56"/>
      </w:pPr>
      <w:r>
        <w:t>Weak systems may provide workflow templates, agent libraries, or reusable components without tracking where they came from, what validation they received, or whether that validation applies to the new context. Developers may copy workflows across projects assuming that prior validation transfers automatically. The test is whether the system can identify the original validation context for any reused workflow and prove that revalidation occurred before deployment in the new context.</w:t>
      </w:r>
    </w:p>
    <w:p>
      <w:pPr>
        <w:pStyle w:val="Heading3"/>
      </w:pPr>
      <w:r>
        <w:t>Common Gaps</w:t>
      </w:r>
    </w:p>
    <w:p>
      <w:pPr>
        <w:spacing w:after="56"/>
      </w:pPr>
      <w:r>
        <w:t>The most common gap is workflow reuse treated as a productivity feature without governance controls. Organizations may have extensive workflow libraries while lacking visibility into original validation contexts or revalidation requirements. Another common gap is revalidation policies that apply to major version changes but not to cross-project reuse, allowing workflows to migrate between contexts without authority reset or privacy review.</w:t>
      </w:r>
    </w:p>
    <w:p>
      <w:pPr>
        <w:pStyle w:val="Heading2"/>
      </w:pPr>
      <w:r>
        <w:t>8.16 ALCS-10: Privacy/GDPR Lifecycle Mapping</w:t>
      </w:r>
    </w:p>
    <w:p>
      <w:pPr>
        <w:pStyle w:val="Heading3"/>
      </w:pPr>
      <w:r>
        <w:t>MRO Mapping</w:t>
      </w:r>
    </w:p>
    <w:p>
      <w:pPr>
        <w:spacing w:after="56"/>
      </w:pPr>
      <w:r>
        <w:t>This dimension primarily maps to MRO-10 (Privacy/GDPR Lifecycle Mapping) with secondary relationships to MRO-08 (MAS Evidence Partitioning) and MRO-12 (Evidence Minimization and Selective Disclosure). The core requirement is that personal data flows must be mapped across the entire agent lifecycle, not only at training or input boundaries.</w:t>
      </w:r>
    </w:p>
    <w:p>
      <w:pPr>
        <w:pStyle w:val="Heading3"/>
      </w:pPr>
      <w:r>
        <w:t>Core Question</w:t>
      </w:r>
    </w:p>
    <w:p>
      <w:pPr>
        <w:spacing w:after="56"/>
      </w:pPr>
      <w:r>
        <w:t>Does the system map personal data flows across the agent lifecycle?</w:t>
      </w:r>
    </w:p>
    <w:p>
      <w:pPr>
        <w:pStyle w:val="Heading3"/>
      </w:pPr>
      <w:r>
        <w:t>Scoring Rubric</w:t>
      </w:r>
    </w:p>
    <w:p>
      <w:pPr>
        <w:keepNext/>
      </w:pPr>
      <w:r>
        <w:rPr>
          <w:b/>
          <w:sz w:val="16"/>
        </w:rPr>
        <w:t>Table T-08-12: ALCS-10 Privacy/GDPR Lifecycle Mapping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privacy lifecycle mapping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privacy or data protection but provides no lifecycle mapping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Privacy controls exist for training data or input data but do not map personal data flows across agents, tools, memory, or handoffs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Privacy lifecycle mapping exists for most personal data flows; some gaps in cross-agent flows, tool-level tracking, or memory retention mapping</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lifecycle data-flow maps showing personal data entry, flow, transformation, storage, cross-agent transfer, tool disclosure, memory retention, and exit with data category labels, legal basis, retention periods, and processor tracking</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privacy lifecycle mapping requires examining whether the system tracks personal data flows throughout multi-agent execution. Look for data-flow maps that show where personal data enters the system, which agents process it, which tools receive it, where it is stored in memory, how it moves during agent handoffs, and where it exits the system.</w:t>
      </w:r>
    </w:p>
    <w:p>
      <w:pPr>
        <w:spacing w:after="56"/>
      </w:pPr>
      <w:r>
        <w:t>Strong systems maintain dynamic data-flow maps that update as workflows execute. Each agent, tool, memory store, and handoff should be labeled with data categories processed, legal basis for processing, retention period, and processor identity. The system should be able to answer: for any completed workflow, what personal data was processed, by which agents, using which tools, stored in which memory locations, transferred to which processors, and retained for how long?</w:t>
      </w:r>
    </w:p>
    <w:p>
      <w:pPr>
        <w:spacing w:after="56"/>
      </w:pPr>
      <w:r>
        <w:t>Weak systems may have privacy controls at the platform level without lifecycle-level data-flow visibility. Privacy policies may specify general data handling practices while the system cannot reconstruct actual data flows for specific workflow executions. The test is whether the system can generate a data-flow map for any completed workflow showing personal data movement across agents, tools, memory, and external processors.</w:t>
      </w:r>
    </w:p>
    <w:p>
      <w:pPr>
        <w:pStyle w:val="Heading3"/>
      </w:pPr>
      <w:r>
        <w:t>Common Gaps</w:t>
      </w:r>
    </w:p>
    <w:p>
      <w:pPr>
        <w:spacing w:after="56"/>
      </w:pPr>
      <w:r>
        <w:t>The most common gap is privacy controls that apply to training data or input validation but do not track personal data flows during agent execution. Organizations may have strong data governance for model training while lacking visibility into how personal data moves through multi-agent workflows, tool calls, memory stores, and agent handoffs. Another common gap is data-flow mapping that exists at the platform level but cannot be reconstructed for individual workflow executions.</w:t>
      </w:r>
    </w:p>
    <w:p>
      <w:pPr>
        <w:pStyle w:val="Heading2"/>
      </w:pPr>
      <w:r>
        <w:t>8.17 ALCS-11: Privacy-Preserving Third-Party Validation</w:t>
      </w:r>
    </w:p>
    <w:p>
      <w:pPr>
        <w:pStyle w:val="Heading3"/>
      </w:pPr>
      <w:r>
        <w:t>MRO Mapping</w:t>
      </w:r>
    </w:p>
    <w:p>
      <w:pPr>
        <w:spacing w:after="56"/>
      </w:pPr>
      <w:r>
        <w:t>This dimension primarily maps to MRO-11 (Privacy-Preserving Third-Party Validation) with secondary relationships to MRO-08 (MAS Evidence Partitioning) and MRO-12 (Evidence Minimization and Selective Disclosure). The core requirement is that external validators must be able to verify compliance without requiring full disclosure of raw evidence, personal data, or trade secrets.</w:t>
      </w:r>
    </w:p>
    <w:p>
      <w:pPr>
        <w:pStyle w:val="Heading3"/>
      </w:pPr>
      <w:r>
        <w:t>Core Question</w:t>
      </w:r>
    </w:p>
    <w:p>
      <w:pPr>
        <w:spacing w:after="56"/>
      </w:pPr>
      <w:r>
        <w:t>Does the system support validation without raw data disclosure?</w:t>
      </w:r>
    </w:p>
    <w:p>
      <w:pPr>
        <w:pStyle w:val="Heading3"/>
      </w:pPr>
      <w:r>
        <w:t>Scoring Rubric</w:t>
      </w:r>
    </w:p>
    <w:p>
      <w:pPr>
        <w:keepNext/>
      </w:pPr>
      <w:r>
        <w:rPr>
          <w:b/>
          <w:sz w:val="16"/>
        </w:rPr>
        <w:t>Table T-08-13: ALCS-11 Privacy-Preserving Third-Party Validation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privacy-preserving validation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external validation or audit but provides no privacy-preserving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External validation is supported but requires full evidence disclosure; no selective disclosure or privacy-preserving protocols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Selective disclosure mechanisms exist for most validation scenarios; some gaps in zero-knowledge proofs, cryptographic commitments, or cross-validator consistency</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privacy-preserving validation protocols supporting selective disclosure, redacted evidence, cryptographic commitments, zero-knowledge proofs, and validator-specific evidence views without raw data exposure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privacy-preserving validation requires examining whether the system provides mechanisms for external validators to verify compliance without accessing raw evidence. Look for selective disclosure protocols, redaction capabilities, cryptographic commitments, zero-knowledge proofs, or validator-specific evidence views.</w:t>
      </w:r>
    </w:p>
    <w:p>
      <w:pPr>
        <w:spacing w:after="56"/>
      </w:pPr>
      <w:r>
        <w:t>Strong systems allow validators to verify that specific properties hold without exposing the underlying data. A privacy regulator may verify that personal data was processed under valid legal basis without seeing the actual data. A customer may verify that their request was handled correctly without exposing other customers' data. An auditor may verify that authority boundaries were enforced without accessing trade secret workflows. The system should support multiple validation protocols appropriate for different validator types and verification requirements.</w:t>
      </w:r>
    </w:p>
    <w:p>
      <w:pPr>
        <w:spacing w:after="56"/>
      </w:pPr>
      <w:r>
        <w:t>Weak systems may require full evidence disclosure for any external validation. Validators must choose between accepting unverified claims or demanding access to raw logs, personal data, and trade secrets. This creates a false choice between privacy and accountability. The test is whether the system can prove specific compliance properties to external validators without exposing raw evidence that contains personal data or trade secrets.</w:t>
      </w:r>
    </w:p>
    <w:p>
      <w:pPr>
        <w:pStyle w:val="Heading3"/>
      </w:pPr>
      <w:r>
        <w:t>Common Gaps</w:t>
      </w:r>
    </w:p>
    <w:p>
      <w:pPr>
        <w:spacing w:after="56"/>
      </w:pPr>
      <w:r>
        <w:t>The most common gap is validation protocols that require full evidence disclosure. Organizations may have comprehensive evidence collection while lacking mechanisms for selective disclosure or privacy-preserving verification. Another common gap is privacy-preserving validation that works for specific use cases but lacks general protocols for different validator types, verification requirements, or evidence categories.</w:t>
      </w:r>
    </w:p>
    <w:p>
      <w:pPr>
        <w:pStyle w:val="Heading2"/>
      </w:pPr>
      <w:r>
        <w:t>8.18 ALCS-12: Evidence Minimization and Selective Disclosure</w:t>
      </w:r>
    </w:p>
    <w:p>
      <w:pPr>
        <w:pStyle w:val="Heading3"/>
      </w:pPr>
      <w:r>
        <w:t>MRO Mapping</w:t>
      </w:r>
    </w:p>
    <w:p>
      <w:pPr>
        <w:spacing w:after="56"/>
      </w:pPr>
      <w:r>
        <w:t>This dimension primarily maps to MRO-12 (Evidence Minimization and Selective Disclosure) with secondary relationships to MRO-08 (MAS Evidence Partitioning) and MRO-10 (Privacy/GDPR Lifecycle Mapping). The core requirement is that evidence retention must be minimized to what is necessary for governance purposes, and disclosure must be limited to what is required for specific validation contexts.</w:t>
      </w:r>
    </w:p>
    <w:p>
      <w:pPr>
        <w:pStyle w:val="Heading3"/>
      </w:pPr>
      <w:r>
        <w:t>Core Question</w:t>
      </w:r>
    </w:p>
    <w:p>
      <w:pPr>
        <w:spacing w:after="56"/>
      </w:pPr>
      <w:r>
        <w:t>Does the system minimize evidence retention and support selective disclosure?</w:t>
      </w:r>
    </w:p>
    <w:p>
      <w:pPr>
        <w:pStyle w:val="Heading3"/>
      </w:pPr>
      <w:r>
        <w:t>Scoring Rubric</w:t>
      </w:r>
    </w:p>
    <w:p>
      <w:pPr>
        <w:keepNext/>
      </w:pPr>
      <w:r>
        <w:rPr>
          <w:b/>
          <w:sz w:val="16"/>
        </w:rPr>
        <w:t>Table T-08-14: ALCS-12 Evidence Minimization and Selective Disclosure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evidence minimization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evidence retention or disclosure but provides no minimization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Evidence retention exists but lacks minimization policies; no retention periods, redaction rules, or disclosure boundaries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Evidence minimization policies exist for most evidence categories; some gaps in automated retention enforcement, redaction rules, or disclosure boundary controls</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evidence minimization policies defining retention periods by evidence category, automated retention enforcement, redaction rules, disclosure boundaries, and purpose-specific evidence views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evidence minimization requires examining whether the system defines and enforces retention limits and disclosure boundaries. Look for evidence minimization policies that specify retention periods by evidence category, automated deletion or anonymization rules, redaction protocols, and disclosure boundary controls.</w:t>
      </w:r>
    </w:p>
    <w:p>
      <w:pPr>
        <w:spacing w:after="56"/>
      </w:pPr>
      <w:r>
        <w:t>Strong systems distinguish between evidence required for immediate governance, evidence required for dispute resolution, and evidence required for long-term compliance. Retention periods should vary by evidence category and purpose. Personal data in evidence should be minimized, anonymized, or deleted when no longer necessary. Disclosure should be limited to what is required for specific validation contexts rather than exposing full raw logs.</w:t>
      </w:r>
    </w:p>
    <w:p>
      <w:pPr>
        <w:spacing w:after="56"/>
      </w:pPr>
      <w:r>
        <w:t>Weak systems may retain all evidence indefinitely without minimization policies or may delete evidence too aggressively, creating gaps in audit capability. The balance is between retaining sufficient evidence for governance purposes and minimizing retention to reduce privacy risk, storage cost, and disclosure exposure. The test is whether the system can define retention periods by evidence category, enforce automated retention limits, and support selective disclosure without exposing unnecessary evidence.</w:t>
      </w:r>
    </w:p>
    <w:p>
      <w:pPr>
        <w:pStyle w:val="Heading3"/>
      </w:pPr>
      <w:r>
        <w:t>Common Gaps</w:t>
      </w:r>
    </w:p>
    <w:p>
      <w:pPr>
        <w:spacing w:after="56"/>
      </w:pPr>
      <w:r>
        <w:t>The most common gap is evidence retention without minimization policies. Organizations may collect comprehensive evidence while lacking clarity about retention periods, deletion rules, or disclosure boundaries. Another common gap is minimization policies that exist in documentation but are not enforced automatically, requiring manual review and deletion processes that are rarely executed.</w:t>
      </w:r>
    </w:p>
    <w:p>
      <w:pPr>
        <w:pStyle w:val="Heading2"/>
      </w:pPr>
      <w:r>
        <w:t>8.19 ALCS-13: Data Subject Rights vs Evidence Retention</w:t>
      </w:r>
    </w:p>
    <w:p>
      <w:pPr>
        <w:pStyle w:val="Heading3"/>
      </w:pPr>
      <w:r>
        <w:t>MRO Mapping</w:t>
      </w:r>
    </w:p>
    <w:p>
      <w:pPr>
        <w:spacing w:after="56"/>
      </w:pPr>
      <w:r>
        <w:t>This dimension primarily maps to MRO-13 (Data Subject Rights vs Evidence Retention) with secondary relationships to MRO-10 (Privacy/GDPR Lifecycle Mapping) and MRO-12 (Evidence Minimization and Selective Disclosure). The core requirement is that data subject rights must be reconciled with evidence retention obligations, not treated as separate concerns.</w:t>
      </w:r>
    </w:p>
    <w:p>
      <w:pPr>
        <w:pStyle w:val="Heading3"/>
      </w:pPr>
      <w:r>
        <w:t>Core Question</w:t>
      </w:r>
    </w:p>
    <w:p>
      <w:pPr>
        <w:spacing w:after="56"/>
      </w:pPr>
      <w:r>
        <w:t>Does the system reconcile data subject rights with evidence retention obligations?</w:t>
      </w:r>
    </w:p>
    <w:p>
      <w:pPr>
        <w:pStyle w:val="Heading3"/>
      </w:pPr>
      <w:r>
        <w:t>Scoring Rubric</w:t>
      </w:r>
    </w:p>
    <w:p>
      <w:pPr>
        <w:keepNext/>
      </w:pPr>
      <w:r>
        <w:rPr>
          <w:b/>
          <w:sz w:val="16"/>
        </w:rPr>
        <w:t>Table T-08-15: ALCS-13 Data Subject Rights vs Evidence Retention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data subject rights reconciliation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data subject rights or evidence retention but provides no reconciliation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Data subject rights mechanisms exist but do not account for evidence retention obligations; no retention override rules or anonymization protocols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Data subject rights policies exist with some retention reconciliation; some gaps in legal basis documentation, anonymization rules, or dispute-window protection</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data subject rights policies defining retention periods, anonymization rules, legal basis for retention override, dispute-window protection, and reconciliation procedures for erasure requests vs evidence obligations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data subject rights reconciliation requires examining whether the system handles conflicts between erasure requests and evidence retention obligations. Look for data subject rights policies that define retention periods, anonymization protocols, legal basis for retention override, and dispute-window protection.</w:t>
      </w:r>
    </w:p>
    <w:p>
      <w:pPr>
        <w:spacing w:after="56"/>
      </w:pPr>
      <w:r>
        <w:t>Strong systems recognize that data subject rights are not absolute when evidence retention is required for legal compliance, dispute resolution, or regulatory obligations. When a data subject requests erasure, the system should evaluate whether evidence retention obligations apply, whether anonymization can satisfy both requirements, and whether retention override is legally justified. The system should document the legal basis for any retention override and implement anonymization where possible.</w:t>
      </w:r>
    </w:p>
    <w:p>
      <w:pPr>
        <w:spacing w:after="56"/>
      </w:pPr>
      <w:r>
        <w:t>Weak systems may treat data subject rights and evidence retention as separate concerns. Privacy teams may implement erasure without consulting governance teams about evidence obligations, or governance teams may retain evidence without considering data subject rights. The test is whether the system can handle erasure requests while preserving evidence required for governance purposes, documenting the legal basis for retention, and implementing anonymization where appropriate.</w:t>
      </w:r>
    </w:p>
    <w:p>
      <w:pPr>
        <w:pStyle w:val="Heading3"/>
      </w:pPr>
      <w:r>
        <w:t>Common Gaps</w:t>
      </w:r>
    </w:p>
    <w:p>
      <w:pPr>
        <w:spacing w:after="56"/>
      </w:pPr>
      <w:r>
        <w:t>The most common gap is data subject rights and evidence retention treated as separate concerns without reconciliation procedures. Organizations may have privacy teams handling erasure requests and governance teams managing evidence retention without coordination. Another common gap is retention override decisions made without documented legal basis or anonymization analysis, creating compliance risk when erasure requests are denied.</w:t>
      </w:r>
    </w:p>
    <w:p>
      <w:pPr>
        <w:pStyle w:val="Heading2"/>
      </w:pPr>
      <w:r>
        <w:t>8.20 ALCS-14: Third-Party Processor/Subprocessor Chain</w:t>
      </w:r>
    </w:p>
    <w:p>
      <w:pPr>
        <w:pStyle w:val="Heading3"/>
      </w:pPr>
      <w:r>
        <w:t>MRO Mapping</w:t>
      </w:r>
    </w:p>
    <w:p>
      <w:pPr>
        <w:spacing w:after="56"/>
      </w:pPr>
      <w:r>
        <w:t>This dimension primarily maps to MRO-14 (Third-Party Processor/Subprocessor Chain) with secondary relationships to MRO-10 (Privacy/GDPR Lifecycle Mapping). The core requirement is that processor and subprocessor usage must be tracked at lifecycle granularity, not only at contract level.</w:t>
      </w:r>
    </w:p>
    <w:p>
      <w:pPr>
        <w:pStyle w:val="Heading3"/>
      </w:pPr>
      <w:r>
        <w:t>Core Question</w:t>
      </w:r>
    </w:p>
    <w:p>
      <w:pPr>
        <w:spacing w:after="56"/>
      </w:pPr>
      <w:r>
        <w:t>Does the system track processor and subprocessor usage at lifecycle granularity?</w:t>
      </w:r>
    </w:p>
    <w:p>
      <w:pPr>
        <w:pStyle w:val="Heading3"/>
      </w:pPr>
      <w:r>
        <w:t>Scoring Rubric</w:t>
      </w:r>
    </w:p>
    <w:p>
      <w:pPr>
        <w:keepNext/>
      </w:pPr>
      <w:r>
        <w:rPr>
          <w:b/>
          <w:sz w:val="16"/>
        </w:rPr>
        <w:t>Table T-08-16: ALCS-14 Third-Party Processor/Subprocessor Chain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processor chain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third-party processors but provides no lifecycle tracking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Processor agreements exist but processor usage is not tracked at lifecycle granularity; no dynamic processor chain records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Processor chain tracking exists for most workflows; some gaps in subprocessor tracking, data category mapping, or legal basis documentation</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dynamic processor chain records tracking processor identity, subprocessor identity, data categories processed, processing purpose, legal basis, retention period, and processor location for each workflow execution</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processor chain tracking requires examining whether the system records which processors and subprocessors were used during specific workflow executions. Look for processor chain records that bind workflow ID, processor identity, subprocessor identity, data categories processed, processing purpose, legal basis, and processor location.</w:t>
      </w:r>
    </w:p>
    <w:p>
      <w:pPr>
        <w:spacing w:after="56"/>
      </w:pPr>
      <w:r>
        <w:t>Strong systems maintain dynamic processor chain records that update as workflows execute. When an agent calls a tool that uses a third-party API, the system should record the processor identity, what data was sent, for what purpose, under what legal basis, and where the processor is located. The system should track subprocessor chains when processors use their own subprocessors. The processor chain should be reconstructable for any completed workflow.</w:t>
      </w:r>
    </w:p>
    <w:p>
      <w:pPr>
        <w:spacing w:after="56"/>
      </w:pPr>
      <w:r>
        <w:t>Weak systems may have processor agreements at the contract level without tracking which processors were actually used during specific workflow executions. Privacy teams may maintain processor lists while the system cannot prove which processors handled which data for which workflows. The test is whether the system can reconstruct the processor chain for any completed workflow showing which processors and subprocessors handled personal data.</w:t>
      </w:r>
    </w:p>
    <w:p>
      <w:pPr>
        <w:pStyle w:val="Heading3"/>
      </w:pPr>
      <w:r>
        <w:t>Common Gaps</w:t>
      </w:r>
    </w:p>
    <w:p>
      <w:pPr>
        <w:spacing w:after="56"/>
      </w:pPr>
      <w:r>
        <w:t>The most common gap is processor agreements that exist at the contract level without lifecycle-level tracking. Organizations may have comprehensive processor agreements while lacking visibility into which processors were used during specific workflow executions. Another common gap is processor tracking that covers primary processors but not subprocessor chains, creating blind spots when processors use their own subprocessors.</w:t>
      </w:r>
    </w:p>
    <w:p>
      <w:pPr>
        <w:pStyle w:val="Heading2"/>
      </w:pPr>
      <w:r>
        <w:t>8.21 ALCS-15: Vendor/Model/Runtime Substitution Conformance</w:t>
      </w:r>
    </w:p>
    <w:p>
      <w:pPr>
        <w:pStyle w:val="Heading3"/>
      </w:pPr>
      <w:r>
        <w:t>MRO Mapping</w:t>
      </w:r>
    </w:p>
    <w:p>
      <w:pPr>
        <w:spacing w:after="56"/>
      </w:pPr>
      <w:r>
        <w:t>This dimension primarily maps to MRO-15 (Vendor/Model/Runtime Substitution Conformance) with secondary relationships to MRO-02 (Delegated Authority Boundary) and MRO-09 (Cross-Project Reuse Compliance). The core requirement is that vendor, model, or runtime substitutions must trigger conformance revalidation rather than being treated as transparent configuration changes.</w:t>
      </w:r>
    </w:p>
    <w:p>
      <w:pPr>
        <w:pStyle w:val="Heading3"/>
      </w:pPr>
      <w:r>
        <w:t>Core Question</w:t>
      </w:r>
    </w:p>
    <w:p>
      <w:pPr>
        <w:spacing w:after="56"/>
      </w:pPr>
      <w:r>
        <w:t>Does the system enforce conformance revalidation when vendors are substituted?</w:t>
      </w:r>
    </w:p>
    <w:p>
      <w:pPr>
        <w:pStyle w:val="Heading3"/>
      </w:pPr>
      <w:r>
        <w:t>Scoring Rubric</w:t>
      </w:r>
    </w:p>
    <w:p>
      <w:pPr>
        <w:keepNext/>
      </w:pPr>
      <w:r>
        <w:rPr>
          <w:b/>
          <w:sz w:val="16"/>
        </w:rPr>
        <w:t>Table T-08-17: ALCS-15 Vendor/Model/Runtime Substitution Conformance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vendor substitution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vendor optionality or model substitution but provides no conformance revalidation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Vendor or model substitution is supported but does not trigger conformance revalidation; no substitution records or delta analysis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Vendor substitution conformance records exist for most substitutions; some gaps in delta analysis, conformance testing, or revalidation enforcement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vendor substitution conformance records linking original validation, substitution authorization, conformance test results, delta analysis, revalidation decision, and deployment approval</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vendor substitution conformance requires examining whether the system treats substitutions as governance events requiring revalidation. Look for substitution conformance records that bind original workflow ID, original vendor/model/runtime, new vendor/model/runtime, substitution authorization, conformance test results, delta analysis, and revalidation decision.</w:t>
      </w:r>
    </w:p>
    <w:p>
      <w:pPr>
        <w:spacing w:after="56"/>
      </w:pPr>
      <w:r>
        <w:t>Strong systems recognize that vendor substitution can change behavior in ways that break lifecycle conformance. Swapping one model for another may change output quality, reasoning patterns, or tool-calling behavior. Swapping one runtime for another may change how authority boundaries are enforced or how evidence is collected. The system should require conformance testing and revalidation before substituted configurations are deployed. The substitution record should document what changed, what was tested, and whether lifecycle responsibility properties were preserved.</w:t>
      </w:r>
    </w:p>
    <w:p>
      <w:pPr>
        <w:spacing w:after="56"/>
      </w:pPr>
      <w:r>
        <w:t>Weak systems may treat vendor substitution as a configuration change that does not require revalidation. Developers may swap model providers, update API endpoints, or switch agent frameworks without triggering any governance checkpoint. The organization discovers conformance drift only when disputes arise. The test is whether the system can identify vendor substitutions, prove that conformance was revalidated, and document that lifecycle responsibility properties were preserved.</w:t>
      </w:r>
    </w:p>
    <w:p>
      <w:pPr>
        <w:pStyle w:val="Heading3"/>
      </w:pPr>
      <w:r>
        <w:t>Common Gaps</w:t>
      </w:r>
    </w:p>
    <w:p>
      <w:pPr>
        <w:spacing w:after="56"/>
      </w:pPr>
      <w:r>
        <w:t>The most common gap is vendor substitution treated as a configuration change without conformance revalidation. Organizations may value vendor optionality while lacking governance controls that ensure substitution preserves lifecycle responsibility properties. Another common gap is substitution conformance that applies to major vendor changes but not to model version updates, runtime patches, or tool vendor switches, creating gaps in coverage.</w:t>
      </w:r>
    </w:p>
    <w:p>
      <w:pPr>
        <w:pStyle w:val="Heading2"/>
      </w:pPr>
      <w:r>
        <w:t>8.22 Chapter Summary</w:t>
      </w:r>
    </w:p>
    <w:p>
      <w:pPr>
        <w:spacing w:after="56"/>
      </w:pPr>
      <w:r>
        <w:t>This chapter introduced the Agentic Lifecycle Conformance Score (ALCS), a framework for measuring whether systems define the lifecycle objects required for agentic responsibility compliance. ALCS evaluates whether a system can express the sixteen Missing Regulatory Objects introduced in Chapter 6, translating regulatory abstractions into measurable system capabilities. ALCS is not a legal compliance certification. It is an analytical framework for comparing system capabilities against lifecycle responsibility requirements.</w:t>
      </w:r>
    </w:p>
    <w:p>
      <w:pPr>
        <w:spacing w:after="56"/>
      </w:pPr>
      <w:r>
        <w:t>The fifteen ALCS dimensions operationalize the sixteen MROs into system features that can be evaluated, scored, and improved. Human-role-to-MAS responsibility mapping ensures that human organizational accountability is explicitly linked to agent execution responsibilities. Delegated authority boundaries distinguish technical permission from business authority. Agent role definitions carry governance semantics beyond execution personas. Accepted outcome compliance separates execution completion from outcome acceptance. Tool-action liability boundaries record accountability for consequential actions. Responsibility transfer semantics make agent handoffs auditable. Authority drift detection prevents unauthorized authority transitions. MAS evidence partitioning enables selective disclosure and reconstruction. Cross-project reuse compliance enforces revalidation when workflows move between contexts. Privacy lifecycle mapping tracks personal data flows across agents, tools, and memory. Privacy-preserving validation supports external verification without raw data disclosure. Evidence minimization limits retention to governance purposes. Data subject rights reconciliation balances erasure requests with evidence obligations. Processor chain tracking maintains visibility into third-party data handling. Vendor substitution conformance ensures that optionality does not become governance drift.</w:t>
      </w:r>
    </w:p>
    <w:p>
      <w:pPr>
        <w:spacing w:after="56"/>
      </w:pPr>
      <w:r>
        <w:t>ALCS complements RCCS by measuring a different layer. RCCS evaluates regulatory compliance coverage: whether a system provides the governance primitives that existing regulation requires. ALCS evaluates agentic lifecycle conformance: whether a system provides the lifecycle objects that make agentic responsibility auditable, provable, and transferable across agents, humans, tools, projects, vendors, and organizational boundaries. A system can have strong RCCS and weak ALCS, meaning it provides strong regulatory compliance coverage while lacking deeper lifecycle responsibility semantics for multi-agent work. Both layers are necessary. Neither alone is sufficient. Chapter 9 introduces composite scoring, which combines RCCS and ALCS into system-level assessments that reflect both regulatory compliance coverage and agentic lifecycle conformance.</w:t>
      </w:r>
    </w:p>
    <w:p>
      <w:pPr>
        <w:pStyle w:val="Heading1"/>
      </w:pPr>
      <w:r>
        <w:t>Chapter 9: Composite Scoring Method and Evidence Confidence</w:t>
      </w:r>
    </w:p>
    <w:p>
      <w:pPr>
        <w:spacing w:after="56"/>
      </w:pPr>
      <w:r>
        <w:t>Version: v0.3.2-FRC-R3</w:t>
      </w:r>
    </w:p>
    <w:p>
      <w:pPr>
        <w:pStyle w:val="Heading2"/>
      </w:pPr>
      <w:r>
        <w:t>9.0 Chapter Overview</w:t>
      </w:r>
    </w:p>
    <w:p>
      <w:pPr>
        <w:spacing w:after="56"/>
      </w:pPr>
      <w:r>
        <w:t>This chapter introduces the Composite Scoring Method, which combines RCCS and ALCS into system-level assessments. In this paper, composite scoring means a dual-layer scoring profile consisting of separate RCCS and ALCS scores. It does not collapse both scores into a single legal compliance number. Composite scoring provides a dual-layer view of system governance capability: regulatory compliance coverage and agentic lifecycle conformance. It is an analytical framework for comparing systems, not a legal compliance certification.</w:t>
      </w:r>
    </w:p>
    <w:p>
      <w:pPr>
        <w:spacing w:after="56"/>
      </w:pPr>
      <w:r>
        <w:t>The chapter explains the composite score formula, evidence multiplier application, interpretation guidance for RCCS and ALCS together, reproducibility requirements, and boundary statements. It establishes clear expectations about what composite scoring measures and what it does not measure, and bridges to the system mapping chapters that follow.</w:t>
      </w:r>
    </w:p>
    <w:p>
      <w:pPr>
        <w:spacing w:after="56"/>
      </w:pPr>
      <w:r>
        <w:t>Figure F-04 - RCCS/ALCS Dual Scoring Model</w:t>
      </w:r>
    </w:p>
    <w:p>
      <w:pPr>
        <w:spacing w:after="56"/>
      </w:pPr>
      <w:r>
        <w:t>RCCS Regulatory Coverage + ALCS Lifecycle Conformance -&gt; Evidence-Adjusted Analytical Composite</w:t>
      </w:r>
    </w:p>
    <w:p>
      <w:pPr>
        <w:spacing w:after="56"/>
      </w:pPr>
      <w:r>
        <w:t>Figure F-04 shows how RCCS and ALCS combine into an evidence-adjusted analytical profile. It is not a legal compliance score, certification, regulatory approval signal, product ranking, or procurement recommendation.</w:t>
      </w:r>
    </w:p>
    <w:p>
      <w:pPr>
        <w:pStyle w:val="Heading2"/>
      </w:pPr>
      <w:r>
        <w:t>9.1 Purpose of Composite Scoring</w:t>
      </w:r>
    </w:p>
    <w:p>
      <w:pPr>
        <w:spacing w:after="56"/>
      </w:pPr>
      <w:r>
        <w:t>Composite scoring combines RCCS and ALCS into system-level assessments that reflect both regulatory compliance coverage and agentic lifecycle conformance. It provides a structured method for evaluating whether systems provide the governance primitives that existing regulation requires and the lifecycle objects that make agentic responsibility auditable, provable, and transferable.</w:t>
      </w:r>
    </w:p>
    <w:p>
      <w:pPr>
        <w:spacing w:after="56"/>
      </w:pPr>
      <w:r>
        <w:t>The purpose of composite scoring is to make visible the difference between systems that provide regulatory compliance coverage, systems that provide lifecycle responsibility semantics, and systems that provide both. A system can have a strong RCCS score and a weak ALCS score. This is not a contradiction. It means the system may provide strong regulatory compliance coverage through risk management, documentation, record-keeping, transparency, human oversight, security, accountability, contestability, and monitoring capabilities while lacking the deeper lifecycle responsibility objects required to prove authority boundaries, responsibility transfer, evidence partitioning, privacy lifecycle mapping, and vendor substitution conformance in multi-agent execution.</w:t>
      </w:r>
    </w:p>
    <w:p>
      <w:pPr>
        <w:spacing w:after="56"/>
      </w:pPr>
      <w:r>
        <w:t>Composite scoring is an analytical framework, not a certification program. It does not certify that a system is compliant with any specific regulation. It does not guarantee that a system meets all legal obligations. It does not substitute for legal counsel, compliance review, or risk assessment. It measures system capability to express governance primitives and lifecycle objects, not organizational conformance to legal requirements.</w:t>
      </w:r>
    </w:p>
    <w:p>
      <w:pPr>
        <w:spacing w:after="56"/>
      </w:pPr>
      <w:r>
        <w:t>The value of composite scoring is comparative analysis. Buyers can compare systems to understand which provide stronger governance primitives or lifecycle objects. Auditors can evaluate whether deployed systems provide the capabilities required to support organizational compliance programs. Governance teams can identify gaps in system capabilities and prioritize improvements. Protocol designers can evaluate whether their designs provide the primitives and objects that regulation and lifecycle responsibility require.</w:t>
      </w:r>
    </w:p>
    <w:p>
      <w:pPr>
        <w:pStyle w:val="Heading2"/>
      </w:pPr>
      <w:r>
        <w:t>9.2 Composite Score Formula</w:t>
      </w:r>
    </w:p>
    <w:p>
      <w:pPr>
        <w:spacing w:after="56"/>
      </w:pPr>
      <w:r>
        <w:t>Composite scoring calculates adjusted RCCS and ALCS framework scores and then combines them using the canonical cross-framework weight. RCCS measures regulatory compliance coverage. ALCS measures agentic lifecycle conformance. Both scores are needed for full assessment.</w:t>
      </w:r>
    </w:p>
    <w:p>
      <w:pPr>
        <w:spacing w:after="56"/>
      </w:pPr>
      <w:r>
        <w:t>Each dimension is first normalized using the canonical dimension formula:</w:t>
      </w:r>
    </w:p>
    <w:p>
      <w:pPr>
        <w:spacing w:after="56"/>
      </w:pPr>
      <w:r>
        <w:t>Dimension Score = (Raw Score / 5) × 100 × Evidence Confidence Multiplier</w:t>
      </w:r>
    </w:p>
    <w:p>
      <w:pPr>
        <w:spacing w:after="56"/>
      </w:pPr>
      <w:r>
        <w:t>Where:</w:t>
      </w:r>
    </w:p>
    <w:p>
      <w:pPr>
        <w:pStyle w:val="ListBullet"/>
        <w:spacing w:after="56"/>
      </w:pPr>
      <w:r>
        <w:t>Raw Score is the 0-5 score for each dimension based on system capability strength</w:t>
      </w:r>
    </w:p>
    <w:p>
      <w:pPr>
        <w:pStyle w:val="ListBullet"/>
        <w:spacing w:after="56"/>
      </w:pPr>
      <w:r>
        <w:t>Evidence Confidence Multiplier is L1 = 1.00, L2 = 0.85, L3 = 0.75, L4 = 0.55, or L5 = 0.35</w:t>
      </w:r>
    </w:p>
    <w:p>
      <w:pPr>
        <w:spacing w:after="56"/>
      </w:pPr>
      <w:r>
        <w:t>The cross-framework composite score is:</w:t>
      </w:r>
    </w:p>
    <w:p>
      <w:pPr>
        <w:spacing w:after="56"/>
      </w:pPr>
      <w:r>
        <w:t>Composite Score = 0.40 × RCCS + 0.60 × ALCS</w:t>
      </w:r>
    </w:p>
    <w:p>
      <w:pPr>
        <w:spacing w:after="56"/>
      </w:pPr>
      <w:r>
        <w:t>RCCS and ALCS are expressed on a 0-100 scale after evidence adjustment. The composite score is also expressed on a 0-100 scale.</w:t>
      </w:r>
    </w:p>
    <w:p>
      <w:pPr>
        <w:spacing w:after="56"/>
      </w:pPr>
      <w:r>
        <w:t>The following table illustrates the composite score calculation with an example.</w:t>
      </w:r>
    </w:p>
    <w:p>
      <w:pPr>
        <w:keepNext/>
      </w:pPr>
      <w:r>
        <w:rPr>
          <w:b/>
          <w:sz w:val="16"/>
        </w:rPr>
        <w:t>Table T-09-01: Composite Score Calculation Example</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Component</w:t>
            </w:r>
          </w:p>
        </w:tc>
        <w:tc>
          <w:tcPr>
            <w:tcW w:type="dxa" w:w="3408"/>
          </w:tcPr>
          <w:p>
            <w:pPr>
              <w:spacing w:after="0"/>
            </w:pPr>
            <w:r>
              <w:rPr>
                <w:rFonts w:ascii="Arial" w:hAnsi="Arial"/>
                <w:b/>
                <w:sz w:val="14"/>
              </w:rPr>
              <w:t>Description</w:t>
            </w:r>
          </w:p>
        </w:tc>
        <w:tc>
          <w:tcPr>
            <w:tcW w:type="dxa" w:w="3408"/>
          </w:tcPr>
          <w:p>
            <w:pPr>
              <w:spacing w:after="0"/>
            </w:pPr>
            <w:r>
              <w:rPr>
                <w:rFonts w:ascii="Arial" w:hAnsi="Arial"/>
                <w:b/>
                <w:sz w:val="14"/>
              </w:rPr>
              <w:t>Example Calculation</w:t>
            </w:r>
          </w:p>
        </w:tc>
      </w:tr>
      <w:tr>
        <w:tc>
          <w:tcPr>
            <w:tcW w:type="dxa" w:w="3408"/>
          </w:tcPr>
          <w:p>
            <w:pPr>
              <w:spacing w:after="0"/>
            </w:pPr>
            <w:r>
              <w:rPr>
                <w:rFonts w:ascii="Arial" w:hAnsi="Arial"/>
                <w:b w:val="0"/>
                <w:sz w:val="14"/>
              </w:rPr>
              <w:t>Raw Score</w:t>
            </w:r>
          </w:p>
        </w:tc>
        <w:tc>
          <w:tcPr>
            <w:tcW w:type="dxa" w:w="3408"/>
          </w:tcPr>
          <w:p>
            <w:pPr>
              <w:spacing w:after="0"/>
            </w:pPr>
            <w:r>
              <w:rPr>
                <w:rFonts w:ascii="Arial" w:hAnsi="Arial"/>
                <w:b w:val="0"/>
                <w:sz w:val="14"/>
              </w:rPr>
              <w:t>0-5 scale based on capability strength</w:t>
            </w:r>
          </w:p>
        </w:tc>
        <w:tc>
          <w:tcPr>
            <w:tcW w:type="dxa" w:w="3408"/>
          </w:tcPr>
          <w:p>
            <w:pPr>
              <w:spacing w:after="0"/>
            </w:pPr>
            <w:r>
              <w:rPr>
                <w:rFonts w:ascii="Arial" w:hAnsi="Arial"/>
                <w:b w:val="0"/>
                <w:sz w:val="14"/>
              </w:rPr>
              <w:t>Risk Management = 4</w:t>
            </w:r>
          </w:p>
        </w:tc>
      </w:tr>
      <w:tr>
        <w:tc>
          <w:tcPr>
            <w:tcW w:type="dxa" w:w="3408"/>
          </w:tcPr>
          <w:p>
            <w:pPr>
              <w:spacing w:after="0"/>
            </w:pPr>
            <w:r>
              <w:rPr>
                <w:rFonts w:ascii="Arial" w:hAnsi="Arial"/>
                <w:b w:val="0"/>
                <w:sz w:val="14"/>
              </w:rPr>
              <w:t>Evidence Multiplier</w:t>
            </w:r>
          </w:p>
        </w:tc>
        <w:tc>
          <w:tcPr>
            <w:tcW w:type="dxa" w:w="3408"/>
          </w:tcPr>
          <w:p>
            <w:pPr>
              <w:spacing w:after="0"/>
            </w:pPr>
            <w:r>
              <w:rPr>
                <w:rFonts w:ascii="Arial" w:hAnsi="Arial"/>
                <w:b w:val="0"/>
                <w:sz w:val="14"/>
              </w:rPr>
              <w:t>L1-L5 confidence multiplier</w:t>
            </w:r>
          </w:p>
        </w:tc>
        <w:tc>
          <w:tcPr>
            <w:tcW w:type="dxa" w:w="3408"/>
          </w:tcPr>
          <w:p>
            <w:pPr>
              <w:spacing w:after="0"/>
            </w:pPr>
            <w:r>
              <w:rPr>
                <w:rFonts w:ascii="Arial" w:hAnsi="Arial"/>
                <w:b w:val="0"/>
                <w:sz w:val="14"/>
              </w:rPr>
              <w:t>L2 evidence = 0.85</w:t>
            </w:r>
          </w:p>
        </w:tc>
      </w:tr>
      <w:tr>
        <w:tc>
          <w:tcPr>
            <w:tcW w:type="dxa" w:w="3408"/>
          </w:tcPr>
          <w:p>
            <w:pPr>
              <w:spacing w:after="0"/>
            </w:pPr>
            <w:r>
              <w:rPr>
                <w:rFonts w:ascii="Arial" w:hAnsi="Arial"/>
                <w:b w:val="0"/>
                <w:sz w:val="14"/>
              </w:rPr>
              <w:t>Dimension Score</w:t>
            </w:r>
          </w:p>
        </w:tc>
        <w:tc>
          <w:tcPr>
            <w:tcW w:type="dxa" w:w="3408"/>
          </w:tcPr>
          <w:p>
            <w:pPr>
              <w:spacing w:after="0"/>
            </w:pPr>
            <w:r>
              <w:rPr>
                <w:rFonts w:ascii="Arial" w:hAnsi="Arial"/>
                <w:b w:val="0"/>
                <w:sz w:val="14"/>
              </w:rPr>
              <w:t>(Raw Score / 5) × 100 × Evidence Multiplier</w:t>
            </w:r>
          </w:p>
        </w:tc>
        <w:tc>
          <w:tcPr>
            <w:tcW w:type="dxa" w:w="3408"/>
          </w:tcPr>
          <w:p>
            <w:pPr>
              <w:spacing w:after="0"/>
            </w:pPr>
            <w:r>
              <w:rPr>
                <w:rFonts w:ascii="Arial" w:hAnsi="Arial"/>
                <w:b w:val="0"/>
                <w:sz w:val="14"/>
              </w:rPr>
              <w:t>(4 / 5) × 100 × 0.85 = 68.0</w:t>
            </w:r>
          </w:p>
        </w:tc>
      </w:tr>
      <w:tr>
        <w:tc>
          <w:tcPr>
            <w:tcW w:type="dxa" w:w="3408"/>
          </w:tcPr>
          <w:p>
            <w:pPr>
              <w:spacing w:after="0"/>
            </w:pPr>
            <w:r>
              <w:rPr>
                <w:rFonts w:ascii="Arial" w:hAnsi="Arial"/>
                <w:b w:val="0"/>
                <w:sz w:val="14"/>
              </w:rPr>
              <w:t>RCCS Score</w:t>
            </w:r>
          </w:p>
        </w:tc>
        <w:tc>
          <w:tcPr>
            <w:tcW w:type="dxa" w:w="3408"/>
          </w:tcPr>
          <w:p>
            <w:pPr>
              <w:spacing w:after="0"/>
            </w:pPr>
            <w:r>
              <w:rPr>
                <w:rFonts w:ascii="Arial" w:hAnsi="Arial"/>
                <w:b w:val="0"/>
                <w:sz w:val="14"/>
              </w:rPr>
              <w:t>Aggregated RCCS dimension score</w:t>
            </w:r>
          </w:p>
        </w:tc>
        <w:tc>
          <w:tcPr>
            <w:tcW w:type="dxa" w:w="3408"/>
          </w:tcPr>
          <w:p>
            <w:pPr>
              <w:spacing w:after="0"/>
            </w:pPr>
            <w:r>
              <w:rPr>
                <w:rFonts w:ascii="Arial" w:hAnsi="Arial"/>
                <w:b w:val="0"/>
                <w:sz w:val="14"/>
              </w:rPr>
              <w:t>RCCS = 65.0</w:t>
            </w:r>
          </w:p>
        </w:tc>
      </w:tr>
      <w:tr>
        <w:tc>
          <w:tcPr>
            <w:tcW w:type="dxa" w:w="3408"/>
          </w:tcPr>
          <w:p>
            <w:pPr>
              <w:spacing w:after="0"/>
            </w:pPr>
            <w:r>
              <w:rPr>
                <w:rFonts w:ascii="Arial" w:hAnsi="Arial"/>
                <w:b w:val="0"/>
                <w:sz w:val="14"/>
              </w:rPr>
              <w:t>ALCS Score</w:t>
            </w:r>
          </w:p>
        </w:tc>
        <w:tc>
          <w:tcPr>
            <w:tcW w:type="dxa" w:w="3408"/>
          </w:tcPr>
          <w:p>
            <w:pPr>
              <w:spacing w:after="0"/>
            </w:pPr>
            <w:r>
              <w:rPr>
                <w:rFonts w:ascii="Arial" w:hAnsi="Arial"/>
                <w:b w:val="0"/>
                <w:sz w:val="14"/>
              </w:rPr>
              <w:t>Aggregated ALCS dimension score</w:t>
            </w:r>
          </w:p>
        </w:tc>
        <w:tc>
          <w:tcPr>
            <w:tcW w:type="dxa" w:w="3408"/>
          </w:tcPr>
          <w:p>
            <w:pPr>
              <w:spacing w:after="0"/>
            </w:pPr>
            <w:r>
              <w:rPr>
                <w:rFonts w:ascii="Arial" w:hAnsi="Arial"/>
                <w:b w:val="0"/>
                <w:sz w:val="14"/>
              </w:rPr>
              <w:t>ALCS = 55.0</w:t>
            </w:r>
          </w:p>
        </w:tc>
      </w:tr>
      <w:tr>
        <w:tc>
          <w:tcPr>
            <w:tcW w:type="dxa" w:w="3408"/>
          </w:tcPr>
          <w:p>
            <w:pPr>
              <w:spacing w:after="0"/>
            </w:pPr>
            <w:r>
              <w:rPr>
                <w:rFonts w:ascii="Arial" w:hAnsi="Arial"/>
                <w:b w:val="0"/>
                <w:sz w:val="14"/>
              </w:rPr>
              <w:t>Composite Score</w:t>
            </w:r>
          </w:p>
        </w:tc>
        <w:tc>
          <w:tcPr>
            <w:tcW w:type="dxa" w:w="3408"/>
          </w:tcPr>
          <w:p>
            <w:pPr>
              <w:spacing w:after="0"/>
            </w:pPr>
            <w:r>
              <w:rPr>
                <w:rFonts w:ascii="Arial" w:hAnsi="Arial"/>
                <w:b w:val="0"/>
                <w:sz w:val="14"/>
              </w:rPr>
              <w:t>0.40 × RCCS + 0.60 × ALCS</w:t>
            </w:r>
          </w:p>
        </w:tc>
        <w:tc>
          <w:tcPr>
            <w:tcW w:type="dxa" w:w="3408"/>
          </w:tcPr>
          <w:p>
            <w:pPr>
              <w:spacing w:after="0"/>
            </w:pPr>
            <w:r>
              <w:rPr>
                <w:rFonts w:ascii="Arial" w:hAnsi="Arial"/>
                <w:b w:val="0"/>
                <w:sz w:val="14"/>
              </w:rPr>
              <w:t>0.40 × 65.0 + 0.60 × 55.0 = 59.0</w:t>
            </w:r>
          </w:p>
        </w:tc>
      </w:tr>
    </w:tbl>
    <w:p>
      <w:pPr>
        <w:spacing w:after="56"/>
      </w:pPr>
      <w:r>
        <w:t>This calculation preserves the distinction between RCCS and ALCS while still producing a single analytical composite score for high-level comparison.</w:t>
      </w:r>
    </w:p>
    <w:p>
      <w:pPr>
        <w:spacing w:after="56"/>
      </w:pPr>
      <w:r>
        <w:t>RCCS and ALCS are reported separately because they measure different layers. RCCS evaluates whether a system provides the governance primitives that existing regulation requires. ALCS evaluates whether a system provides the lifecycle objects that make agentic responsibility auditable and transferable. The composite score must therefore be read alongside the separate RCCS and ALCS scores.</w:t>
      </w:r>
    </w:p>
    <w:p>
      <w:pPr>
        <w:pStyle w:val="Heading2"/>
      </w:pPr>
      <w:r>
        <w:t>9.3 Evidence Multiplier Application</w:t>
      </w:r>
    </w:p>
    <w:p>
      <w:pPr>
        <w:spacing w:after="56"/>
      </w:pPr>
      <w:r>
        <w:t>Evidence quality affects composite scores through the evidence multiplier. The evidence multiplier adjusts dimension scores based on the quality and verifiability of evidence used to evaluate the system. It reflects the confidence level in the scoring assessment.</w:t>
      </w:r>
    </w:p>
    <w:p>
      <w:pPr>
        <w:spacing w:after="56"/>
      </w:pPr>
      <w:r>
        <w:t>The evidence hierarchy established in the front matter defines five evidence levels:</w:t>
      </w:r>
    </w:p>
    <w:p>
      <w:pPr>
        <w:pStyle w:val="ListBullet"/>
        <w:spacing w:after="56"/>
      </w:pPr>
      <w:r>
        <w:t>L1: Binding legal, regulatory, or formal standards text - Highest confidence for baseline obligations; does not prove system implementation</w:t>
      </w:r>
    </w:p>
    <w:p>
      <w:pPr>
        <w:pStyle w:val="ListBullet"/>
        <w:spacing w:after="56"/>
      </w:pPr>
      <w:r>
        <w:t>L2: Official product documentation, API docs, developer documentation, platform architecture docs - High confidence</w:t>
      </w:r>
    </w:p>
    <w:p>
      <w:pPr>
        <w:pStyle w:val="ListBullet"/>
        <w:spacing w:after="56"/>
      </w:pPr>
      <w:r>
        <w:t>L3: Independent audits, certifications, third-party evaluations, regulatory commentary - Medium confidence</w:t>
      </w:r>
    </w:p>
    <w:p>
      <w:pPr>
        <w:pStyle w:val="ListBullet"/>
        <w:spacing w:after="56"/>
      </w:pPr>
      <w:r>
        <w:t>L4: Vendor white papers, product pages, blog posts, marketing statements - Low confidence</w:t>
      </w:r>
    </w:p>
    <w:p>
      <w:pPr>
        <w:pStyle w:val="ListBullet"/>
        <w:spacing w:after="56"/>
      </w:pPr>
      <w:r>
        <w:t>L5: Author inference, conceptual analysis, strategic interpretation - Disclosed inference</w:t>
      </w:r>
    </w:p>
    <w:p>
      <w:pPr>
        <w:spacing w:after="56"/>
      </w:pPr>
      <w:r>
        <w:t>The evidence multiplier translates evidence levels into scoring adjustments:</w:t>
      </w:r>
    </w:p>
    <w:p>
      <w:pPr>
        <w:keepNext/>
      </w:pPr>
      <w:r>
        <w:rPr>
          <w:b/>
          <w:sz w:val="16"/>
        </w:rPr>
        <w:t>Table T-09-02: Evidence Multiplier Values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Evidence Type</w:t>
            </w:r>
          </w:p>
        </w:tc>
        <w:tc>
          <w:tcPr>
            <w:tcW w:type="dxa" w:w="2556"/>
          </w:tcPr>
          <w:p>
            <w:pPr>
              <w:spacing w:after="0"/>
            </w:pPr>
            <w:r>
              <w:rPr>
                <w:rFonts w:ascii="Arial" w:hAnsi="Arial"/>
                <w:b/>
                <w:sz w:val="14"/>
              </w:rPr>
              <w:t>Multiplier</w:t>
            </w:r>
          </w:p>
        </w:tc>
        <w:tc>
          <w:tcPr>
            <w:tcW w:type="dxa" w:w="2556"/>
          </w:tcPr>
          <w:p>
            <w:pPr>
              <w:spacing w:after="0"/>
            </w:pPr>
            <w:r>
              <w:rPr>
                <w:rFonts w:ascii="Arial" w:hAnsi="Arial"/>
                <w:b/>
                <w:sz w:val="14"/>
              </w:rPr>
              <w:t>Rationale</w:t>
            </w:r>
          </w:p>
        </w:tc>
      </w:tr>
      <w:tr>
        <w:tc>
          <w:tcPr>
            <w:tcW w:type="dxa" w:w="2556"/>
          </w:tcPr>
          <w:p>
            <w:pPr>
              <w:spacing w:after="0"/>
            </w:pPr>
            <w:r>
              <w:rPr>
                <w:rFonts w:ascii="Arial" w:hAnsi="Arial"/>
                <w:b w:val="0"/>
                <w:sz w:val="14"/>
              </w:rPr>
              <w:t>L1</w:t>
            </w:r>
          </w:p>
        </w:tc>
        <w:tc>
          <w:tcPr>
            <w:tcW w:type="dxa" w:w="2556"/>
          </w:tcPr>
          <w:p>
            <w:pPr>
              <w:spacing w:after="0"/>
            </w:pPr>
            <w:r>
              <w:rPr>
                <w:rFonts w:ascii="Arial" w:hAnsi="Arial"/>
                <w:b w:val="0"/>
                <w:sz w:val="14"/>
              </w:rPr>
              <w:t>Binding legal, regulatory, or formal standards text</w:t>
            </w:r>
          </w:p>
        </w:tc>
        <w:tc>
          <w:tcPr>
            <w:tcW w:type="dxa" w:w="2556"/>
          </w:tcPr>
          <w:p>
            <w:pPr>
              <w:spacing w:after="0"/>
            </w:pPr>
            <w:r>
              <w:rPr>
                <w:rFonts w:ascii="Arial" w:hAnsi="Arial"/>
                <w:b w:val="0"/>
                <w:sz w:val="14"/>
              </w:rPr>
              <w:t>1.00</w:t>
            </w:r>
          </w:p>
        </w:tc>
        <w:tc>
          <w:tcPr>
            <w:tcW w:type="dxa" w:w="2556"/>
          </w:tcPr>
          <w:p>
            <w:pPr>
              <w:spacing w:after="0"/>
            </w:pPr>
            <w:r>
              <w:rPr>
                <w:rFonts w:ascii="Arial" w:hAnsi="Arial"/>
                <w:b w:val="0"/>
                <w:sz w:val="14"/>
              </w:rPr>
              <w:t>Highest confidence for baseline obligations; does not prove system implementation</w:t>
            </w:r>
          </w:p>
        </w:tc>
      </w:tr>
      <w:tr>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Official product documentation, API docs, developer documentation, platform architecture docs</w:t>
            </w:r>
          </w:p>
        </w:tc>
        <w:tc>
          <w:tcPr>
            <w:tcW w:type="dxa" w:w="2556"/>
          </w:tcPr>
          <w:p>
            <w:pPr>
              <w:spacing w:after="0"/>
            </w:pPr>
            <w:r>
              <w:rPr>
                <w:rFonts w:ascii="Arial" w:hAnsi="Arial"/>
                <w:b w:val="0"/>
                <w:sz w:val="14"/>
              </w:rPr>
              <w:t>0.85</w:t>
            </w:r>
          </w:p>
        </w:tc>
        <w:tc>
          <w:tcPr>
            <w:tcW w:type="dxa" w:w="2556"/>
          </w:tcPr>
          <w:p>
            <w:pPr>
              <w:spacing w:after="0"/>
            </w:pPr>
            <w:r>
              <w:rPr>
                <w:rFonts w:ascii="Arial" w:hAnsi="Arial"/>
                <w:b w:val="0"/>
                <w:sz w:val="14"/>
              </w:rPr>
              <w:t>High confidence, but product capability claims still require current-source validation</w:t>
            </w:r>
          </w:p>
        </w:tc>
      </w:tr>
      <w:tr>
        <w:tc>
          <w:tcPr>
            <w:tcW w:type="dxa" w:w="2556"/>
          </w:tcPr>
          <w:p>
            <w:pPr>
              <w:spacing w:after="0"/>
            </w:pPr>
            <w:r>
              <w:rPr>
                <w:rFonts w:ascii="Arial" w:hAnsi="Arial"/>
                <w:b w:val="0"/>
                <w:sz w:val="14"/>
              </w:rPr>
              <w:t>L3</w:t>
            </w:r>
          </w:p>
        </w:tc>
        <w:tc>
          <w:tcPr>
            <w:tcW w:type="dxa" w:w="2556"/>
          </w:tcPr>
          <w:p>
            <w:pPr>
              <w:spacing w:after="0"/>
            </w:pPr>
            <w:r>
              <w:rPr>
                <w:rFonts w:ascii="Arial" w:hAnsi="Arial"/>
                <w:b w:val="0"/>
                <w:sz w:val="14"/>
              </w:rPr>
              <w:t>Independent audits, certifications, third-party evaluations, regulatory commentary</w:t>
            </w:r>
          </w:p>
        </w:tc>
        <w:tc>
          <w:tcPr>
            <w:tcW w:type="dxa" w:w="2556"/>
          </w:tcPr>
          <w:p>
            <w:pPr>
              <w:spacing w:after="0"/>
            </w:pPr>
            <w:r>
              <w:rPr>
                <w:rFonts w:ascii="Arial" w:hAnsi="Arial"/>
                <w:b w:val="0"/>
                <w:sz w:val="14"/>
              </w:rPr>
              <w:t>0.75</w:t>
            </w:r>
          </w:p>
        </w:tc>
        <w:tc>
          <w:tcPr>
            <w:tcW w:type="dxa" w:w="2556"/>
          </w:tcPr>
          <w:p>
            <w:pPr>
              <w:spacing w:after="0"/>
            </w:pPr>
            <w:r>
              <w:rPr>
                <w:rFonts w:ascii="Arial" w:hAnsi="Arial"/>
                <w:b w:val="0"/>
                <w:sz w:val="14"/>
              </w:rPr>
              <w:t>Medium confidence; independent but may lack technical depth</w:t>
            </w:r>
          </w:p>
        </w:tc>
      </w:tr>
      <w:tr>
        <w:tc>
          <w:tcPr>
            <w:tcW w:type="dxa" w:w="2556"/>
          </w:tcPr>
          <w:p>
            <w:pPr>
              <w:spacing w:after="0"/>
            </w:pPr>
            <w:r>
              <w:rPr>
                <w:rFonts w:ascii="Arial" w:hAnsi="Arial"/>
                <w:b w:val="0"/>
                <w:sz w:val="14"/>
              </w:rPr>
              <w:t>L4</w:t>
            </w:r>
          </w:p>
        </w:tc>
        <w:tc>
          <w:tcPr>
            <w:tcW w:type="dxa" w:w="2556"/>
          </w:tcPr>
          <w:p>
            <w:pPr>
              <w:spacing w:after="0"/>
            </w:pPr>
            <w:r>
              <w:rPr>
                <w:rFonts w:ascii="Arial" w:hAnsi="Arial"/>
                <w:b w:val="0"/>
                <w:sz w:val="14"/>
              </w:rPr>
              <w:t>Vendor white papers, product pages, blog posts, marketing statements</w:t>
            </w:r>
          </w:p>
        </w:tc>
        <w:tc>
          <w:tcPr>
            <w:tcW w:type="dxa" w:w="2556"/>
          </w:tcPr>
          <w:p>
            <w:pPr>
              <w:spacing w:after="0"/>
            </w:pPr>
            <w:r>
              <w:rPr>
                <w:rFonts w:ascii="Arial" w:hAnsi="Arial"/>
                <w:b w:val="0"/>
                <w:sz w:val="14"/>
              </w:rPr>
              <w:t>0.55</w:t>
            </w:r>
          </w:p>
        </w:tc>
        <w:tc>
          <w:tcPr>
            <w:tcW w:type="dxa" w:w="2556"/>
          </w:tcPr>
          <w:p>
            <w:pPr>
              <w:spacing w:after="0"/>
            </w:pPr>
            <w:r>
              <w:rPr>
                <w:rFonts w:ascii="Arial" w:hAnsi="Arial"/>
                <w:b w:val="0"/>
                <w:sz w:val="14"/>
              </w:rPr>
              <w:t>Low confidence; promotional and may lack implementation detail</w:t>
            </w:r>
          </w:p>
        </w:tc>
      </w:tr>
      <w:tr>
        <w:tc>
          <w:tcPr>
            <w:tcW w:type="dxa" w:w="2556"/>
          </w:tcPr>
          <w:p>
            <w:pPr>
              <w:spacing w:after="0"/>
            </w:pPr>
            <w:r>
              <w:rPr>
                <w:rFonts w:ascii="Arial" w:hAnsi="Arial"/>
                <w:b w:val="0"/>
                <w:sz w:val="14"/>
              </w:rPr>
              <w:t>L5</w:t>
            </w:r>
          </w:p>
        </w:tc>
        <w:tc>
          <w:tcPr>
            <w:tcW w:type="dxa" w:w="2556"/>
          </w:tcPr>
          <w:p>
            <w:pPr>
              <w:spacing w:after="0"/>
            </w:pPr>
            <w:r>
              <w:rPr>
                <w:rFonts w:ascii="Arial" w:hAnsi="Arial"/>
                <w:b w:val="0"/>
                <w:sz w:val="14"/>
              </w:rPr>
              <w:t>Author inference, conceptual analysis, strategic interpretation</w:t>
            </w:r>
          </w:p>
        </w:tc>
        <w:tc>
          <w:tcPr>
            <w:tcW w:type="dxa" w:w="2556"/>
          </w:tcPr>
          <w:p>
            <w:pPr>
              <w:spacing w:after="0"/>
            </w:pPr>
            <w:r>
              <w:rPr>
                <w:rFonts w:ascii="Arial" w:hAnsi="Arial"/>
                <w:b w:val="0"/>
                <w:sz w:val="14"/>
              </w:rPr>
              <w:t>0.35</w:t>
            </w:r>
          </w:p>
        </w:tc>
        <w:tc>
          <w:tcPr>
            <w:tcW w:type="dxa" w:w="2556"/>
          </w:tcPr>
          <w:p>
            <w:pPr>
              <w:spacing w:after="0"/>
            </w:pPr>
            <w:r>
              <w:rPr>
                <w:rFonts w:ascii="Arial" w:hAnsi="Arial"/>
                <w:b w:val="0"/>
                <w:sz w:val="14"/>
              </w:rPr>
              <w:t>Disclosed inference; useful for analysis but not verified implementation evidence</w:t>
            </w:r>
          </w:p>
        </w:tc>
      </w:tr>
    </w:tbl>
    <w:p>
      <w:pPr>
        <w:spacing w:after="56"/>
      </w:pPr>
      <w:r>
        <w:t>The evidence multiplier is applied per dimension, not globally. Different dimensions may be evaluated with different evidence levels. A system may have L2 evidence for risk management (official documentation) and L4 evidence for contestability (vendor white paper). Each dimension receives its own evidence multiplier based on the evidence used to evaluate that specific dimension.</w:t>
      </w:r>
    </w:p>
    <w:p>
      <w:pPr>
        <w:spacing w:after="56"/>
      </w:pPr>
      <w:r>
        <w:t>Mixed evidence levels are common and expected. System vendors provide detailed documentation for some capabilities while providing only high-level descriptions for others. Independent audits may cover some dimensions but not others. Evaluators must assess evidence quality dimension by dimension and apply the appropriate multiplier to each.</w:t>
      </w:r>
    </w:p>
    <w:p>
      <w:pPr>
        <w:spacing w:after="56"/>
      </w:pPr>
      <w:r>
        <w:t>The evidence multiplier ensures that scores reflect not only system capability but also the confidence level in that assessment. A raw score of 4 based on L2 evidence becomes (4 / 5) × 100 × 0.85 = 68.0. The same raw score based on L4 evidence becomes (4 / 5) × 100 × 0.55 = 44.0. This prevents over-claiming based on weak evidence.</w:t>
      </w:r>
    </w:p>
    <w:p>
      <w:pPr>
        <w:pStyle w:val="Heading2"/>
      </w:pPr>
      <w:r>
        <w:t>9.4 Interpreting RCCS and ALCS Together</w:t>
      </w:r>
    </w:p>
    <w:p>
      <w:pPr>
        <w:spacing w:after="56"/>
      </w:pPr>
      <w:r>
        <w:t>RCCS and ALCS measure different layers. RCCS measures regulatory compliance coverage: whether a system provides the governance primitives that existing regulation requires. ALCS measures agentic lifecycle conformance: whether a system provides the lifecycle objects that make agentic responsibility auditable, provable, and transferable across agents, humans, tools, projects, vendors, and organizational boundaries.</w:t>
      </w:r>
    </w:p>
    <w:p>
      <w:pPr>
        <w:spacing w:after="56"/>
      </w:pPr>
      <w:r>
        <w:t>Interpreting RCCS and ALCS together requires understanding four quadrants: High RCCS + High ALCS, High RCCS + Low ALCS, Low RCCS + High ALCS, and Low RCCS + Low ALCS. Each quadrant represents a different system capability profile.</w:t>
      </w:r>
    </w:p>
    <w:p>
      <w:pPr>
        <w:spacing w:after="56"/>
      </w:pPr>
      <w:r>
        <w:t>The 70% boundary used in this matrix is an analytical interpretation band for comparing capability profiles. It is not a legal compliance threshold, deployment readiness threshold, procurement threshold, or certification cutoff.</w:t>
      </w:r>
    </w:p>
    <w:p>
      <w:pPr>
        <w:keepNext/>
      </w:pPr>
      <w:r>
        <w:rPr>
          <w:b/>
          <w:sz w:val="16"/>
        </w:rPr>
        <w:t>Table T-09-03: RCCS and ALCS Interpretation Matrix</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Quadrant</w:t>
            </w:r>
          </w:p>
        </w:tc>
        <w:tc>
          <w:tcPr>
            <w:tcW w:type="dxa" w:w="2045"/>
          </w:tcPr>
          <w:p>
            <w:pPr>
              <w:spacing w:after="0"/>
            </w:pPr>
            <w:r>
              <w:rPr>
                <w:rFonts w:ascii="Arial" w:hAnsi="Arial"/>
                <w:b/>
                <w:sz w:val="14"/>
              </w:rPr>
              <w:t>RCCS</w:t>
            </w:r>
          </w:p>
        </w:tc>
        <w:tc>
          <w:tcPr>
            <w:tcW w:type="dxa" w:w="2045"/>
          </w:tcPr>
          <w:p>
            <w:pPr>
              <w:spacing w:after="0"/>
            </w:pPr>
            <w:r>
              <w:rPr>
                <w:rFonts w:ascii="Arial" w:hAnsi="Arial"/>
                <w:b/>
                <w:sz w:val="14"/>
              </w:rPr>
              <w:t>ALCS</w:t>
            </w:r>
          </w:p>
        </w:tc>
        <w:tc>
          <w:tcPr>
            <w:tcW w:type="dxa" w:w="2045"/>
          </w:tcPr>
          <w:p>
            <w:pPr>
              <w:spacing w:after="0"/>
            </w:pPr>
            <w:r>
              <w:rPr>
                <w:rFonts w:ascii="Arial" w:hAnsi="Arial"/>
                <w:b/>
                <w:sz w:val="14"/>
              </w:rPr>
              <w:t>Interpretation</w:t>
            </w:r>
          </w:p>
        </w:tc>
        <w:tc>
          <w:tcPr>
            <w:tcW w:type="dxa" w:w="2045"/>
          </w:tcPr>
          <w:p>
            <w:pPr>
              <w:spacing w:after="0"/>
            </w:pPr>
            <w:r>
              <w:rPr>
                <w:rFonts w:ascii="Arial" w:hAnsi="Arial"/>
                <w:b/>
                <w:sz w:val="14"/>
              </w:rPr>
              <w:t>Common System Types</w:t>
            </w:r>
          </w:p>
        </w:tc>
      </w:tr>
      <w:tr>
        <w:tc>
          <w:tcPr>
            <w:tcW w:type="dxa" w:w="2045"/>
          </w:tcPr>
          <w:p>
            <w:pPr>
              <w:spacing w:after="0"/>
            </w:pPr>
            <w:r>
              <w:rPr>
                <w:rFonts w:ascii="Arial" w:hAnsi="Arial"/>
                <w:b w:val="0"/>
                <w:sz w:val="14"/>
              </w:rPr>
              <w:t>High/High</w:t>
            </w:r>
          </w:p>
        </w:tc>
        <w:tc>
          <w:tcPr>
            <w:tcW w:type="dxa" w:w="2045"/>
          </w:tcPr>
          <w:p>
            <w:pPr>
              <w:spacing w:after="0"/>
            </w:pPr>
            <w:r>
              <w:rPr>
                <w:rFonts w:ascii="Arial" w:hAnsi="Arial"/>
                <w:b w:val="0"/>
                <w:sz w:val="14"/>
              </w:rPr>
              <w:t>High (≥70%)</w:t>
            </w:r>
          </w:p>
        </w:tc>
        <w:tc>
          <w:tcPr>
            <w:tcW w:type="dxa" w:w="2045"/>
          </w:tcPr>
          <w:p>
            <w:pPr>
              <w:spacing w:after="0"/>
            </w:pPr>
            <w:r>
              <w:rPr>
                <w:rFonts w:ascii="Arial" w:hAnsi="Arial"/>
                <w:b w:val="0"/>
                <w:sz w:val="14"/>
              </w:rPr>
              <w:t>High (≥70%)</w:t>
            </w:r>
          </w:p>
        </w:tc>
        <w:tc>
          <w:tcPr>
            <w:tcW w:type="dxa" w:w="2045"/>
          </w:tcPr>
          <w:p>
            <w:pPr>
              <w:spacing w:after="0"/>
            </w:pPr>
            <w:r>
              <w:rPr>
                <w:rFonts w:ascii="Arial" w:hAnsi="Arial"/>
                <w:b w:val="0"/>
                <w:sz w:val="14"/>
              </w:rPr>
              <w:t>Strong regulatory compliance coverage and strong lifecycle responsibility semantics. System provides both governance primitives and lifecycle objects.</w:t>
            </w:r>
          </w:p>
        </w:tc>
        <w:tc>
          <w:tcPr>
            <w:tcW w:type="dxa" w:w="2045"/>
          </w:tcPr>
          <w:p>
            <w:pPr>
              <w:spacing w:after="0"/>
            </w:pPr>
            <w:r>
              <w:rPr>
                <w:rFonts w:ascii="Arial" w:hAnsi="Arial"/>
                <w:b w:val="0"/>
                <w:sz w:val="14"/>
              </w:rPr>
              <w:t>Lifecycle protocol systems, enterprise AI governance platforms with lifecycle extensions</w:t>
            </w:r>
          </w:p>
        </w:tc>
      </w:tr>
      <w:tr>
        <w:tc>
          <w:tcPr>
            <w:tcW w:type="dxa" w:w="2045"/>
          </w:tcPr>
          <w:p>
            <w:pPr>
              <w:spacing w:after="0"/>
            </w:pPr>
            <w:r>
              <w:rPr>
                <w:rFonts w:ascii="Arial" w:hAnsi="Arial"/>
                <w:b w:val="0"/>
                <w:sz w:val="14"/>
              </w:rPr>
              <w:t>High/Low</w:t>
            </w:r>
          </w:p>
        </w:tc>
        <w:tc>
          <w:tcPr>
            <w:tcW w:type="dxa" w:w="2045"/>
          </w:tcPr>
          <w:p>
            <w:pPr>
              <w:spacing w:after="0"/>
            </w:pPr>
            <w:r>
              <w:rPr>
                <w:rFonts w:ascii="Arial" w:hAnsi="Arial"/>
                <w:b w:val="0"/>
                <w:sz w:val="14"/>
              </w:rPr>
              <w:t>High (≥70%)</w:t>
            </w:r>
          </w:p>
        </w:tc>
        <w:tc>
          <w:tcPr>
            <w:tcW w:type="dxa" w:w="2045"/>
          </w:tcPr>
          <w:p>
            <w:pPr>
              <w:spacing w:after="0"/>
            </w:pPr>
            <w:r>
              <w:rPr>
                <w:rFonts w:ascii="Arial" w:hAnsi="Arial"/>
                <w:b w:val="0"/>
                <w:sz w:val="14"/>
              </w:rPr>
              <w:t>Low (&lt;70%)</w:t>
            </w:r>
          </w:p>
        </w:tc>
        <w:tc>
          <w:tcPr>
            <w:tcW w:type="dxa" w:w="2045"/>
          </w:tcPr>
          <w:p>
            <w:pPr>
              <w:spacing w:after="0"/>
            </w:pPr>
            <w:r>
              <w:rPr>
                <w:rFonts w:ascii="Arial" w:hAnsi="Arial"/>
                <w:b w:val="0"/>
                <w:sz w:val="14"/>
              </w:rPr>
              <w:t>Strong regulatory compliance coverage but weak lifecycle responsibility semantics. System provides governance primitives for model governance and platform controls but lacks lifecycle objects for multi-agent responsibility.</w:t>
            </w:r>
          </w:p>
        </w:tc>
        <w:tc>
          <w:tcPr>
            <w:tcW w:type="dxa" w:w="2045"/>
          </w:tcPr>
          <w:p>
            <w:pPr>
              <w:spacing w:after="0"/>
            </w:pPr>
            <w:r>
              <w:rPr>
                <w:rFonts w:ascii="Arial" w:hAnsi="Arial"/>
                <w:b w:val="0"/>
                <w:sz w:val="14"/>
              </w:rPr>
              <w:t>Enterprise AI governance platforms, managed AI platforms with strong observability but limited lifecycle semantics</w:t>
            </w:r>
          </w:p>
        </w:tc>
      </w:tr>
      <w:tr>
        <w:tc>
          <w:tcPr>
            <w:tcW w:type="dxa" w:w="2045"/>
          </w:tcPr>
          <w:p>
            <w:pPr>
              <w:spacing w:after="0"/>
            </w:pPr>
            <w:r>
              <w:rPr>
                <w:rFonts w:ascii="Arial" w:hAnsi="Arial"/>
                <w:b w:val="0"/>
                <w:sz w:val="14"/>
              </w:rPr>
              <w:t>Low/High</w:t>
            </w:r>
          </w:p>
        </w:tc>
        <w:tc>
          <w:tcPr>
            <w:tcW w:type="dxa" w:w="2045"/>
          </w:tcPr>
          <w:p>
            <w:pPr>
              <w:spacing w:after="0"/>
            </w:pPr>
            <w:r>
              <w:rPr>
                <w:rFonts w:ascii="Arial" w:hAnsi="Arial"/>
                <w:b w:val="0"/>
                <w:sz w:val="14"/>
              </w:rPr>
              <w:t>Low (&lt;70%)</w:t>
            </w:r>
          </w:p>
        </w:tc>
        <w:tc>
          <w:tcPr>
            <w:tcW w:type="dxa" w:w="2045"/>
          </w:tcPr>
          <w:p>
            <w:pPr>
              <w:spacing w:after="0"/>
            </w:pPr>
            <w:r>
              <w:rPr>
                <w:rFonts w:ascii="Arial" w:hAnsi="Arial"/>
                <w:b w:val="0"/>
                <w:sz w:val="14"/>
              </w:rPr>
              <w:t>High (≥70%)</w:t>
            </w:r>
          </w:p>
        </w:tc>
        <w:tc>
          <w:tcPr>
            <w:tcW w:type="dxa" w:w="2045"/>
          </w:tcPr>
          <w:p>
            <w:pPr>
              <w:spacing w:after="0"/>
            </w:pPr>
            <w:r>
              <w:rPr>
                <w:rFonts w:ascii="Arial" w:hAnsi="Arial"/>
                <w:b w:val="0"/>
                <w:sz w:val="14"/>
              </w:rPr>
              <w:t>Weak regulatory compliance coverage but strong lifecycle responsibility semantics. System provides lifecycle objects for expressing agentic responsibility but lacks broader governance primitives.</w:t>
            </w:r>
          </w:p>
        </w:tc>
        <w:tc>
          <w:tcPr>
            <w:tcW w:type="dxa" w:w="2045"/>
          </w:tcPr>
          <w:p>
            <w:pPr>
              <w:spacing w:after="0"/>
            </w:pPr>
            <w:r>
              <w:rPr>
                <w:rFonts w:ascii="Arial" w:hAnsi="Arial"/>
                <w:b w:val="0"/>
                <w:sz w:val="14"/>
              </w:rPr>
              <w:t>Specialized lifecycle protocols or agent frameworks focused on responsibility semantics without full governance platform capabilities</w:t>
            </w:r>
          </w:p>
        </w:tc>
      </w:tr>
      <w:tr>
        <w:tc>
          <w:tcPr>
            <w:tcW w:type="dxa" w:w="2045"/>
          </w:tcPr>
          <w:p>
            <w:pPr>
              <w:spacing w:after="0"/>
            </w:pPr>
            <w:r>
              <w:rPr>
                <w:rFonts w:ascii="Arial" w:hAnsi="Arial"/>
                <w:b w:val="0"/>
                <w:sz w:val="14"/>
              </w:rPr>
              <w:t>Low/Low</w:t>
            </w:r>
          </w:p>
        </w:tc>
        <w:tc>
          <w:tcPr>
            <w:tcW w:type="dxa" w:w="2045"/>
          </w:tcPr>
          <w:p>
            <w:pPr>
              <w:spacing w:after="0"/>
            </w:pPr>
            <w:r>
              <w:rPr>
                <w:rFonts w:ascii="Arial" w:hAnsi="Arial"/>
                <w:b w:val="0"/>
                <w:sz w:val="14"/>
              </w:rPr>
              <w:t>Low (&lt;70%)</w:t>
            </w:r>
          </w:p>
        </w:tc>
        <w:tc>
          <w:tcPr>
            <w:tcW w:type="dxa" w:w="2045"/>
          </w:tcPr>
          <w:p>
            <w:pPr>
              <w:spacing w:after="0"/>
            </w:pPr>
            <w:r>
              <w:rPr>
                <w:rFonts w:ascii="Arial" w:hAnsi="Arial"/>
                <w:b w:val="0"/>
                <w:sz w:val="14"/>
              </w:rPr>
              <w:t>Low (&lt;70%)</w:t>
            </w:r>
          </w:p>
        </w:tc>
        <w:tc>
          <w:tcPr>
            <w:tcW w:type="dxa" w:w="2045"/>
          </w:tcPr>
          <w:p>
            <w:pPr>
              <w:spacing w:after="0"/>
            </w:pPr>
            <w:r>
              <w:rPr>
                <w:rFonts w:ascii="Arial" w:hAnsi="Arial"/>
                <w:b w:val="0"/>
                <w:sz w:val="14"/>
              </w:rPr>
              <w:t>Weak regulatory compliance coverage and weak lifecycle responsibility semantics. System provides execution orchestration or observability features but lacks governance primitives and lifecycle objects.</w:t>
            </w:r>
          </w:p>
        </w:tc>
        <w:tc>
          <w:tcPr>
            <w:tcW w:type="dxa" w:w="2045"/>
          </w:tcPr>
          <w:p>
            <w:pPr>
              <w:spacing w:after="0"/>
            </w:pPr>
            <w:r>
              <w:rPr>
                <w:rFonts w:ascii="Arial" w:hAnsi="Arial"/>
                <w:b w:val="0"/>
                <w:sz w:val="14"/>
              </w:rPr>
              <w:t>Developer agent SDKs, orchestration frameworks without governance extensions</w:t>
            </w:r>
          </w:p>
        </w:tc>
      </w:tr>
    </w:tbl>
    <w:p>
      <w:pPr>
        <w:spacing w:after="56"/>
      </w:pPr>
      <w:r>
        <w:t>The High RCCS + Low ALCS quadrant is the most common pattern. Many enterprise AI governance platforms, managed AI platforms, and observability tools provide strong regulatory compliance coverage through risk management, documentation, record-keeping, transparency, human oversight, security, accountability, contestability, and monitoring capabilities. However, they may lack the deeper lifecycle responsibility objects required to prove authority boundaries, responsibility transfer, evidence partitioning, privacy lifecycle mapping, and vendor substitution conformance in multi-agent execution. This is not a failure. It reflects the reality that existing regulation focuses on model governance and platform controls while lifecycle responsibility semantics for multi-agent systems are still emerging.</w:t>
      </w:r>
    </w:p>
    <w:p>
      <w:pPr>
        <w:spacing w:after="56"/>
      </w:pPr>
      <w:r>
        <w:t>The Low RCCS + High ALCS quadrant is rare. It represents systems that provide strong lifecycle objects for expressing agentic responsibility while lacking broader regulatory compliance coverage. This pattern may appear in specialized lifecycle protocols or agent frameworks that focus on responsibility semantics without providing full governance platform capabilities. These systems may be valuable as components within larger governance architectures but may not provide sufficient coverage for standalone compliance programs.</w:t>
      </w:r>
    </w:p>
    <w:p>
      <w:pPr>
        <w:spacing w:after="56"/>
      </w:pPr>
      <w:r>
        <w:t>The High RCCS + High ALCS quadrant represents systems that provide both regulatory compliance coverage and lifecycle responsibility semantics. These systems are positioned to support both existing regulatory requirements and emerging lifecycle responsibility requirements for multi-agent systems. This quadrant is the target for systems designed specifically for agentic AI governance.</w:t>
      </w:r>
    </w:p>
    <w:p>
      <w:pPr>
        <w:spacing w:after="56"/>
      </w:pPr>
      <w:r>
        <w:t>The Low RCCS + Low ALCS quadrant represents systems that provide execution orchestration or observability features but lack governance primitives and lifecycle objects. These systems may be valuable for development, experimentation, or low-risk use cases but may not provide sufficient governance capability for high-risk or regulated deployments.</w:t>
      </w:r>
    </w:p>
    <w:p>
      <w:pPr>
        <w:spacing w:after="56"/>
      </w:pPr>
      <w:r>
        <w:t>Both RCCS and ALCS scores are necessary for full assessment. Neither alone is sufficient. RCCS ensures that systems meet existing regulatory requirements. ALCS ensures that systems can prove lifecycle responsibility in multi-agent execution. Together, they provide a dual-layer assessment of system governance capability.</w:t>
      </w:r>
    </w:p>
    <w:p>
      <w:pPr>
        <w:pStyle w:val="Heading2"/>
      </w:pPr>
      <w:r>
        <w:t>9.5 Scoring Reproducibility and Transparency</w:t>
      </w:r>
    </w:p>
    <w:p>
      <w:pPr>
        <w:spacing w:after="56"/>
      </w:pPr>
      <w:r>
        <w:t>Composite scoring must be reproducible and transparent. Scoring is only useful if different evaluators can reach similar conclusions when evaluating the same system with the same evidence. Reproducibility requires clear scoring criteria, documented evidence sources, and explicit scoring rationale.</w:t>
      </w:r>
    </w:p>
    <w:p>
      <w:pPr>
        <w:spacing w:after="56"/>
      </w:pPr>
      <w:r>
        <w:t>Scoring reproducibility requires four elements: dimension scores with rationale, evidence sources with quality assessment, evidence multiplier application, and calculation transparency.</w:t>
      </w:r>
    </w:p>
    <w:p>
      <w:pPr>
        <w:spacing w:after="56"/>
      </w:pPr>
      <w:r>
        <w:t>Dimension scores must be documented with rationale. For each dimension, evaluators must record the 0-5 raw score and explain why that score was assigned. The rationale should reference specific system capabilities, features, or documentation that support the score. Generic statements such as "the system provides risk management" are insufficient. Specific statements such as "the system provides risk registers, assessment workflows, and mitigation tracking as documented in the platform architecture guide" enable reproducibility.</w:t>
      </w:r>
    </w:p>
    <w:p>
      <w:pPr>
        <w:spacing w:after="56"/>
      </w:pPr>
      <w:r>
        <w:t>Evidence sources must be documented with quality assessment. For each dimension, evaluators must record which evidence sources were used and what evidence level applies. Evidence sources should be cited with sufficient detail to allow verification: document title, version, publication date, and relevant section or page numbers. Evidence quality assessment should explain why a particular evidence level was assigned. For example, "L2 evidence: official product documentation, API reference v2.3, section 4.2" is more reproducible than "L2 evidence: documentation."</w:t>
      </w:r>
    </w:p>
    <w:p>
      <w:pPr>
        <w:spacing w:after="56"/>
      </w:pPr>
      <w:r>
        <w:t>Evidence multiplier application must be explicit. For each dimension, evaluators must show the evidence multiplier value and how it was applied to the raw score. This ensures that evidence quality adjustments are transparent and verifiable. The calculation should be shown using the canonical formula: Dimension Score = (Raw Score / 5) × 100 × Evidence Confidence Multiplier.</w:t>
      </w:r>
    </w:p>
    <w:p>
      <w:pPr>
        <w:spacing w:after="56"/>
      </w:pPr>
      <w:r>
        <w:t>Calculation transparency requires showing the full composite score calculation. Evaluators must provide a table or worksheet showing raw scores, evidence multipliers, adjusted dimension scores, RCCS and ALCS framework scores, and the final 0.40 × RCCS + 0.60 × ALCS composite score. This allows reviewers to verify the calculation and identify any errors or disagreements.</w:t>
      </w:r>
    </w:p>
    <w:p>
      <w:pPr>
        <w:spacing w:after="56"/>
      </w:pPr>
      <w:r>
        <w:t>Scoring is comparative, not absolute. Composite scores are most useful when comparing systems against defined governance expectations or tracking a single system over time. Absolute score thresholds such as "70% is compliant" are not meaningful because composite scoring is an analytical framework, not a compliance certification. The value of scoring is in making visible capability gaps and evidence-confidence limits.</w:t>
      </w:r>
    </w:p>
    <w:p>
      <w:pPr>
        <w:pStyle w:val="Heading2"/>
      </w:pPr>
      <w:r>
        <w:t>9.6 Boundary Statement</w:t>
      </w:r>
    </w:p>
    <w:p>
      <w:pPr>
        <w:spacing w:after="56"/>
      </w:pPr>
      <w:r>
        <w:t>Composite scoring is an analytical framework, not a legal compliance score. This boundary must be understood clearly to avoid misinterpretation and over-claiming.</w:t>
      </w:r>
    </w:p>
    <w:p>
      <w:pPr>
        <w:spacing w:after="56"/>
      </w:pPr>
      <w:r>
        <w:t>What composite scoring is:</w:t>
      </w:r>
    </w:p>
    <w:p>
      <w:pPr>
        <w:pStyle w:val="ListBullet"/>
        <w:spacing w:after="56"/>
      </w:pPr>
      <w:r>
        <w:t>An analytical framework for comparing system capabilities against regulatory requirements and lifecycle responsibility requirements</w:t>
      </w:r>
    </w:p>
    <w:p>
      <w:pPr>
        <w:pStyle w:val="ListBullet"/>
        <w:spacing w:after="56"/>
      </w:pPr>
      <w:r>
        <w:t>A structured method for evaluating whether systems provide governance primitives and lifecycle objects</w:t>
      </w:r>
    </w:p>
    <w:p>
      <w:pPr>
        <w:pStyle w:val="ListBullet"/>
        <w:spacing w:after="56"/>
      </w:pPr>
      <w:r>
        <w:t>A tool for buyers, auditors, governance teams, and protocol designers to assess system readiness</w:t>
      </w:r>
    </w:p>
    <w:p>
      <w:pPr>
        <w:pStyle w:val="ListBullet"/>
        <w:spacing w:after="56"/>
      </w:pPr>
      <w:r>
        <w:t>A bridge between regulatory abstractions, lifecycle requirements, and engineering implementation</w:t>
      </w:r>
    </w:p>
    <w:p>
      <w:pPr>
        <w:spacing w:after="56"/>
      </w:pPr>
      <w:r>
        <w:t>What composite scoring is not:</w:t>
      </w:r>
    </w:p>
    <w:p>
      <w:pPr>
        <w:pStyle w:val="ListBullet"/>
        <w:spacing w:after="56"/>
      </w:pPr>
      <w:r>
        <w:t>A legal compliance certification or conformity assessment</w:t>
      </w:r>
    </w:p>
    <w:p>
      <w:pPr>
        <w:pStyle w:val="ListBullet"/>
        <w:spacing w:after="56"/>
      </w:pPr>
      <w:r>
        <w:t>A regulatory approval or endorsement</w:t>
      </w:r>
    </w:p>
    <w:p>
      <w:pPr>
        <w:pStyle w:val="ListBullet"/>
        <w:spacing w:after="56"/>
      </w:pPr>
      <w:r>
        <w:t>A guarantee that a system meets all legal obligations</w:t>
      </w:r>
    </w:p>
    <w:p>
      <w:pPr>
        <w:pStyle w:val="ListBullet"/>
        <w:spacing w:after="56"/>
      </w:pPr>
      <w:r>
        <w:t>A substitute for legal counsel, compliance review, or risk assessment</w:t>
      </w:r>
    </w:p>
    <w:p>
      <w:pPr>
        <w:pStyle w:val="ListBullet"/>
        <w:spacing w:after="56"/>
      </w:pPr>
      <w:r>
        <w:t>A market endorsement or procurement recommendation</w:t>
      </w:r>
    </w:p>
    <w:p>
      <w:pPr>
        <w:spacing w:after="56"/>
      </w:pPr>
      <w:r>
        <w:t>High composite scores do NOT mean legal compliance. A system may score well on both RCCS and ALCS while the organization using it fails to comply with legal obligations due to deployment gaps, policy weaknesses, incomplete adoption, jurisdictional differences, or use case risks. Composite scoring measures system capability to express governance primitives and lifecycle objects, not organizational conformance to legal requirements.</w:t>
      </w:r>
    </w:p>
    <w:p>
      <w:pPr>
        <w:spacing w:after="56"/>
      </w:pPr>
      <w:r>
        <w:t>Low composite scores do NOT mean non-compliance. A system may score lower on RCCS or ALCS while the organization achieves compliance through compensating controls, manual processes, alternative governance mechanisms, or different system architectures. Composite scoring evaluates specific system capabilities, not all possible paths to compliance.</w:t>
      </w:r>
    </w:p>
    <w:p>
      <w:pPr>
        <w:spacing w:after="56"/>
      </w:pPr>
      <w:r>
        <w:t>Composite scoring measures system capability, not organizational practice. A system may provide strong governance primitives and lifecycle objects while the organization fails to use them. Conversely, an organization may achieve strong governance through processes that are not reflected in system capabilities. Composite scoring evaluates what the system can express, not what the organization actually does.</w:t>
      </w:r>
    </w:p>
    <w:p>
      <w:pPr>
        <w:spacing w:after="56"/>
      </w:pPr>
      <w:r>
        <w:t>Composite scoring is context-independent, but compliance is context-dependent. Composite scoring evaluates system capabilities without regard to deployment context, risk class, jurisdiction, or use case. Legal compliance depends on all of these factors. A system with high composite scores may still be non-compliant in specific contexts, and a system with low composite scores may be compliant in other contexts.</w:t>
      </w:r>
    </w:p>
    <w:p>
      <w:pPr>
        <w:spacing w:after="56"/>
      </w:pPr>
      <w:r>
        <w:t>The purpose of this boundary statement is to prevent over-claiming. Composite scoring is a useful analytical tool, but it is not a compliance certification. Organizations must not rely on composite scores as proof of legal compliance. Buyers must not treat high composite scores as a substitute for due diligence, legal review, or risk assessment. System vendors must not market composite scores as compliance certifications or regulatory approvals.</w:t>
      </w:r>
    </w:p>
    <w:p>
      <w:pPr>
        <w:pStyle w:val="Heading2"/>
      </w:pPr>
      <w:r>
        <w:t>9.7 Bridge to System Mappings</w:t>
      </w:r>
    </w:p>
    <w:p>
      <w:pPr>
        <w:spacing w:after="56"/>
      </w:pPr>
      <w:r>
        <w:t>The following chapters use RCCS and ALCS as analytical lenses for enterprise controls and system mappings. Chapter 10 provides enterprise control crosswalk, mapping RCCS and ALCS dimensions to enterprise control frameworks such as NIST Cybersecurity Framework, ISO 27001, and SOC 2. Chapters 11 through 15 provide comparative field analysis and detailed system mappings for major system categories shaping the enterprise agentic stack.</w:t>
      </w:r>
    </w:p>
    <w:p>
      <w:pPr>
        <w:spacing w:after="56"/>
      </w:pPr>
      <w:r>
        <w:t>Each system mapping documents qualitative posture, evidence sources, and scoring rationale where a source-bound worksheet is used. The mappings are responsibility-semantics comparisons, not product endorsements or procurement recommendations. The key question is not which system is useful. Most of them are useful. The key question is whether the system defines the governance primitives and lifecycle responsibility objects required to show that agentic work moved from intent to accepted outcome under controlled authority, evidence, privacy, and remediation constraints.</w:t>
      </w:r>
    </w:p>
    <w:p>
      <w:pPr>
        <w:spacing w:after="56"/>
      </w:pPr>
      <w:r>
        <w:t>System mappings use the composite scoring method defined in this chapter only where a scoring worksheet is appropriate. Where a scoring worksheet is used, systems may be evaluated with separate RCCS and ALCS analytical profiles. In this publication draft, any system-level assessment remains source-bound, provisional, and non-ranking unless explicitly finalized through the evidence register. Dimension-level analytical judgments should be documented with rationale, evidence sources should be cited with quality assessment, and evidence multipliers should be applied per dimension when numerical worksheets are used. The result is a dual-layer analytical profile that makes visible the difference between regulatory compliance coverage and lifecycle responsibility conformance without creating vendor scores or rankings.</w:t>
      </w:r>
    </w:p>
    <w:p>
      <w:pPr>
        <w:spacing w:after="56"/>
      </w:pPr>
      <w:r>
        <w:t>The system mappings are based on public evidence available as of May 2026. They reflect the state of system capabilities at the time of analysis. System capabilities evolve rapidly. Vendors add features, update documentation, and release new versions. The mappings should be treated as snapshots, not permanent judgments. Organizations evaluating systems should verify current capabilities with vendors and review updated documentation.</w:t>
      </w:r>
    </w:p>
    <w:p>
      <w:pPr>
        <w:pStyle w:val="Heading2"/>
      </w:pPr>
      <w:r>
        <w:t>9.8 Chapter Summary</w:t>
      </w:r>
    </w:p>
    <w:p>
      <w:pPr>
        <w:spacing w:after="56"/>
      </w:pPr>
      <w:r>
        <w:t>This chapter introduced the composite scoring method, which combines RCCS and ALCS into system-level assessments. Composite scoring provides a dual-layer view of system governance capability: regulatory compliance coverage and agentic lifecycle conformance. It is an analytical framework for comparing systems, not a legal compliance certification.</w:t>
      </w:r>
    </w:p>
    <w:p>
      <w:pPr>
        <w:spacing w:after="56"/>
      </w:pPr>
      <w:r>
        <w:t>The composite score formula first normalizes dimension scores using (Raw Score / 5) × 100 × Evidence Confidence Multiplier, then combines RCCS and ALCS with 0.40 × RCCS + 0.60 × ALCS. RCCS and ALCS should still be reported separately because they measure different layers. Both scores are necessary for full assessment. The evidence multiplier adjusts dimension scores based on evidence quality, ensuring that scores reflect both system capability and confidence level in the assessment.</w:t>
      </w:r>
    </w:p>
    <w:p>
      <w:pPr>
        <w:spacing w:after="56"/>
      </w:pPr>
      <w:r>
        <w:t>Interpreting RCCS and ALCS together requires understanding four quadrants. High RCCS + Low ALCS is the most common pattern, representing systems with strong regulatory compliance coverage but weak lifecycle responsibility semantics. High RCCS + High ALCS represents systems with both regulatory compliance coverage and lifecycle responsibility semantics. Low RCCS + High ALCS is rare, representing specialized lifecycle protocols without full governance platform capabilities. Low RCCS + Low ALCS represents systems with execution orchestration or observability features but lacking governance primitives and lifecycle objects.</w:t>
      </w:r>
    </w:p>
    <w:p>
      <w:pPr>
        <w:spacing w:after="56"/>
      </w:pPr>
      <w:r>
        <w:t>Composite scoring must be reproducible and transparent when used. Dimension-level analytical judgments must be documented with rationale. Evidence sources must be cited with quality assessment. Evidence multipliers must be applied explicitly when numerical worksheets are used. Calculations must be shown transparently. Scoring is comparative, not absolute. In this publication draft, the value of the method is in making capability gaps visible without turning qualitative system mappings into rankings.</w:t>
      </w:r>
    </w:p>
    <w:p>
      <w:pPr>
        <w:spacing w:after="56"/>
      </w:pPr>
      <w:r>
        <w:t>Composite scoring is an analytical framework, not a legal compliance score. High composite scores do not mean legal compliance. Low composite scores do not mean non-compliance. Composite scoring measures system capability, not organizational practice. It is context-independent, but compliance is context-dependent. Organizations must not rely on composite scores as proof of legal compliance. The following chapters use RCCS/ALCS as analytical lenses for comparative field analysis and detailed qualitative system mappings.</w:t>
      </w:r>
    </w:p>
    <w:p>
      <w:pPr>
        <w:pStyle w:val="Heading1"/>
      </w:pPr>
      <w:r>
        <w:t>10. Enterprise Adoption, Procurement, and Control Crosswalk</w:t>
      </w:r>
    </w:p>
    <w:p>
      <w:pPr>
        <w:spacing w:after="56"/>
      </w:pPr>
      <w:r>
        <w:t>Version: v0.3.2-FRC-R3</w:t>
      </w:r>
    </w:p>
    <w:p>
      <w:pPr>
        <w:pStyle w:val="Heading2"/>
      </w:pPr>
      <w:r>
        <w:t>10.0 Why Enterprise Control Language Matters</w:t>
      </w:r>
    </w:p>
    <w:p>
      <w:pPr>
        <w:spacing w:after="56"/>
      </w:pPr>
      <w:r>
        <w:t>Enterprises do not buy abstract governance concepts. They evaluate controls, procurement risk, board reporting, audit readiness, vendor substitution, model risk, cybersecurity, incident response, and monitoring. When a CTO, CISO, CRO, procurement lead, or board-facing risk team evaluates an agentic AI system, they ask questions in enterprise control language, not in lifecycle theory.</w:t>
      </w:r>
    </w:p>
    <w:p>
      <w:pPr>
        <w:spacing w:after="56"/>
      </w:pPr>
      <w:r>
        <w:t>Chapters 6 through 9 defined the Missing Regulatory Objects, RCCS, ALCS, and dual-layer scoring methodology. Those chapters established the lifecycle responsibility framework. This chapter translates those objects into enterprise adoption, procurement, internal control, board reporting, model risk, cybersecurity, incident response, and monitoring language.</w:t>
      </w:r>
    </w:p>
    <w:p>
      <w:pPr>
        <w:spacing w:after="56"/>
      </w:pPr>
      <w:r>
        <w:t>The purpose of this chapter is to show that AI Agent Lifecycle Governance is not only an abstract protocol or research model. It can be mapped into enterprise control language. RCCS and ALCS scores become procurement scorecard inputs. MROs become audit evidence requirements. Lifecycle conformance becomes vendor substitution readiness. Evidence partitioning becomes privacy-preserving validation. Accepted outcome compliance becomes board reporting on agentic risk.</w:t>
      </w:r>
    </w:p>
    <w:p>
      <w:pPr>
        <w:spacing w:after="56"/>
      </w:pPr>
      <w:r>
        <w:t>This chapter is a bridge from lifecycle objects to enterprise controls. It does not replace internal control frameworks. It shows where agentic lifecycle objects can provide evidence for enterprise control questions. It does not claim that MPLP is required for compliance. It does not claim that RCCS or ALCS is a legal compliance score. It does not provide an audit opinion, certification, or procurement recommendation.</w:t>
      </w:r>
    </w:p>
    <w:p>
      <w:pPr>
        <w:spacing w:after="56"/>
      </w:pPr>
      <w:r>
        <w:t>Boundary: This chapter provides a governance crosswalk, not an audit framework, certification procedure, insurance underwriting model, or legal opinion. Detailed assurance procedures and insurance models are reserved for companion papers, as outlined in Chapter 16.</w:t>
      </w:r>
    </w:p>
    <w:p>
      <w:pPr>
        <w:pStyle w:val="Heading2"/>
      </w:pPr>
      <w:r>
        <w:t>10.1 Enterprise Control Overlay</w:t>
      </w:r>
    </w:p>
    <w:p>
      <w:pPr>
        <w:spacing w:after="56"/>
      </w:pPr>
      <w:r>
        <w:t>The following figure illustrates how AI Agent Lifecycle Governance maps into enterprise control structures. Regulation and standards define baseline requirements. RCCS measures regulatory compliance coverage. ALCS measures lifecycle conformance. MROs provide engineering objects. Together, these layers produce enterprise control evidence that supports audit, insurance, and board reporting readiness.</w:t>
      </w:r>
    </w:p>
    <w:p>
      <w:pPr>
        <w:spacing w:after="56"/>
      </w:pPr>
      <w:r>
        <w:t>Figure F-06 - Enterprise Control Overlay for AI Agent Lifecycle Governance</w:t>
      </w:r>
    </w:p>
    <w:p>
      <w:pPr>
        <w:spacing w:after="56"/>
      </w:pPr>
      <w:r>
        <w:t>Regulation / Standards -&gt; RCCS Baseline Controls -&gt; ALCS Lifecycle Conformance -&gt; MRO Engineering Objects -&gt; Enterprise Control Evidence -&gt; Audit / Insurance / Board Reporting Readiness</w:t>
      </w:r>
    </w:p>
    <w:p>
      <w:pPr>
        <w:spacing w:after="56"/>
      </w:pPr>
      <w:r>
        <w:t>Figure F-06 shows how regulation and standards can be translated into enterprise control evidence through RCCS baseline controls, ALCS lifecycle conformance, and MRO engineering objects. It is a governance crosswalk, not an audit opinion, certification path, insurance underwriting model, or legal compliance proof.</w:t>
      </w:r>
    </w:p>
    <w:p>
      <w:pPr>
        <w:spacing w:after="56"/>
      </w:pPr>
      <w:r>
        <w:t>The overlay shows that lifecycle governance is not separate from enterprise controls. It is a structured method for producing the evidence that enterprise controls require. RCCS and ALCS scores do not replace risk assessments, internal audits, or compliance reviews. They provide structured inputs that make those processes more efficient, consistent, and auditable when applied to agentic systems.</w:t>
      </w:r>
    </w:p>
    <w:p>
      <w:pPr>
        <w:pStyle w:val="Heading2"/>
      </w:pPr>
      <w:r>
        <w:t>10.2 Enterprise Adoption, Procurement, and Control Crosswalk</w:t>
      </w:r>
    </w:p>
    <w:p>
      <w:pPr>
        <w:spacing w:after="56"/>
      </w:pPr>
      <w:r>
        <w:t>The following tables map enterprise control topics to agentic lifecycle objects. The crosswalk does not replace internal control frameworks. It shows where agentic lifecycle objects can provide evidence for enterprise control questions.</w:t>
      </w:r>
    </w:p>
    <w:p>
      <w:pPr>
        <w:pStyle w:val="Heading3"/>
      </w:pPr>
      <w:r>
        <w:t>Table T-10-01A: Enterprise Control Crosswalk — Control Questions</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Enterprise Control Topic</w:t>
            </w:r>
          </w:p>
        </w:tc>
        <w:tc>
          <w:tcPr>
            <w:tcW w:type="dxa" w:w="3408"/>
          </w:tcPr>
          <w:p>
            <w:pPr>
              <w:spacing w:after="0"/>
            </w:pPr>
            <w:r>
              <w:rPr>
                <w:rFonts w:ascii="Arial" w:hAnsi="Arial"/>
                <w:b/>
                <w:sz w:val="14"/>
              </w:rPr>
              <w:t>Why It Matters for Agentic AI</w:t>
            </w:r>
          </w:p>
        </w:tc>
        <w:tc>
          <w:tcPr>
            <w:tcW w:type="dxa" w:w="3408"/>
          </w:tcPr>
          <w:p>
            <w:pPr>
              <w:spacing w:after="0"/>
            </w:pPr>
            <w:r>
              <w:rPr>
                <w:rFonts w:ascii="Arial" w:hAnsi="Arial"/>
                <w:b/>
                <w:sz w:val="14"/>
              </w:rPr>
              <w:t>Enterprise Buyer Question</w:t>
            </w:r>
          </w:p>
        </w:tc>
      </w:tr>
      <w:tr>
        <w:tc>
          <w:tcPr>
            <w:tcW w:type="dxa" w:w="3408"/>
          </w:tcPr>
          <w:p>
            <w:pPr>
              <w:spacing w:after="0"/>
            </w:pPr>
            <w:r>
              <w:rPr>
                <w:rFonts w:ascii="Arial" w:hAnsi="Arial"/>
                <w:b w:val="0"/>
                <w:sz w:val="14"/>
              </w:rPr>
              <w:t>Internal control</w:t>
            </w:r>
          </w:p>
        </w:tc>
        <w:tc>
          <w:tcPr>
            <w:tcW w:type="dxa" w:w="3408"/>
          </w:tcPr>
          <w:p>
            <w:pPr>
              <w:spacing w:after="0"/>
            </w:pPr>
            <w:r>
              <w:rPr>
                <w:rFonts w:ascii="Arial" w:hAnsi="Arial"/>
                <w:b w:val="0"/>
                <w:sz w:val="14"/>
              </w:rPr>
              <w:t>Agentic systems execute consequential actions under delegated authority. Internal control requires proving who authorized, executed, reviewed, and accepted each action.</w:t>
            </w:r>
          </w:p>
        </w:tc>
        <w:tc>
          <w:tcPr>
            <w:tcW w:type="dxa" w:w="3408"/>
          </w:tcPr>
          <w:p>
            <w:pPr>
              <w:spacing w:after="0"/>
            </w:pPr>
            <w:r>
              <w:rPr>
                <w:rFonts w:ascii="Arial" w:hAnsi="Arial"/>
                <w:b w:val="0"/>
                <w:sz w:val="14"/>
              </w:rPr>
              <w:t>Can the organization prove who authorized, executed, reviewed, and accepted agentic work?</w:t>
            </w:r>
          </w:p>
        </w:tc>
      </w:tr>
      <w:tr>
        <w:tc>
          <w:tcPr>
            <w:tcW w:type="dxa" w:w="3408"/>
          </w:tcPr>
          <w:p>
            <w:pPr>
              <w:spacing w:after="0"/>
            </w:pPr>
            <w:r>
              <w:rPr>
                <w:rFonts w:ascii="Arial" w:hAnsi="Arial"/>
                <w:b w:val="0"/>
                <w:sz w:val="14"/>
              </w:rPr>
              <w:t>Procurement scorecard</w:t>
            </w:r>
          </w:p>
        </w:tc>
        <w:tc>
          <w:tcPr>
            <w:tcW w:type="dxa" w:w="3408"/>
          </w:tcPr>
          <w:p>
            <w:pPr>
              <w:spacing w:after="0"/>
            </w:pPr>
            <w:r>
              <w:rPr>
                <w:rFonts w:ascii="Arial" w:hAnsi="Arial"/>
                <w:b w:val="0"/>
                <w:sz w:val="14"/>
              </w:rPr>
              <w:t>Vendor selection for agentic systems must evaluate lifecycle accountability, evidence exportability, privacy controls, and remediation records, not only model performance or API availability.</w:t>
            </w:r>
          </w:p>
        </w:tc>
        <w:tc>
          <w:tcPr>
            <w:tcW w:type="dxa" w:w="3408"/>
          </w:tcPr>
          <w:p>
            <w:pPr>
              <w:spacing w:after="0"/>
            </w:pPr>
            <w:r>
              <w:rPr>
                <w:rFonts w:ascii="Arial" w:hAnsi="Arial"/>
                <w:b w:val="0"/>
                <w:sz w:val="14"/>
              </w:rPr>
              <w:t>Can this vendor preserve lifecycle accountability, evidence exportability, privacy controls, and remediation records?</w:t>
            </w:r>
          </w:p>
        </w:tc>
      </w:tr>
      <w:tr>
        <w:tc>
          <w:tcPr>
            <w:tcW w:type="dxa" w:w="3408"/>
          </w:tcPr>
          <w:p>
            <w:pPr>
              <w:spacing w:after="0"/>
            </w:pPr>
            <w:r>
              <w:rPr>
                <w:rFonts w:ascii="Arial" w:hAnsi="Arial"/>
                <w:b w:val="0"/>
                <w:sz w:val="14"/>
              </w:rPr>
              <w:t>Vendor lock-in / vendor substitution</w:t>
            </w:r>
          </w:p>
        </w:tc>
        <w:tc>
          <w:tcPr>
            <w:tcW w:type="dxa" w:w="3408"/>
          </w:tcPr>
          <w:p>
            <w:pPr>
              <w:spacing w:after="0"/>
            </w:pPr>
            <w:r>
              <w:rPr>
                <w:rFonts w:ascii="Arial" w:hAnsi="Arial"/>
                <w:b w:val="0"/>
                <w:sz w:val="14"/>
              </w:rPr>
              <w:t>Vendor lock-in becomes a governance risk when switching vendors requires rebuilding lifecycle conformance from scratch.</w:t>
            </w:r>
          </w:p>
        </w:tc>
        <w:tc>
          <w:tcPr>
            <w:tcW w:type="dxa" w:w="3408"/>
          </w:tcPr>
          <w:p>
            <w:pPr>
              <w:spacing w:after="0"/>
            </w:pPr>
            <w:r>
              <w:rPr>
                <w:rFonts w:ascii="Arial" w:hAnsi="Arial"/>
                <w:b w:val="0"/>
                <w:sz w:val="14"/>
              </w:rPr>
              <w:t>Can the organization switch model, runtime, vendor, or tool substrate without losing lifecycle conformance?</w:t>
            </w:r>
          </w:p>
        </w:tc>
      </w:tr>
      <w:tr>
        <w:tc>
          <w:tcPr>
            <w:tcW w:type="dxa" w:w="3408"/>
          </w:tcPr>
          <w:p>
            <w:pPr>
              <w:spacing w:after="0"/>
            </w:pPr>
            <w:r>
              <w:rPr>
                <w:rFonts w:ascii="Arial" w:hAnsi="Arial"/>
                <w:b w:val="0"/>
                <w:sz w:val="14"/>
              </w:rPr>
              <w:t>Third-party / supply-chain risk</w:t>
            </w:r>
          </w:p>
        </w:tc>
        <w:tc>
          <w:tcPr>
            <w:tcW w:type="dxa" w:w="3408"/>
          </w:tcPr>
          <w:p>
            <w:pPr>
              <w:spacing w:after="0"/>
            </w:pPr>
            <w:r>
              <w:rPr>
                <w:rFonts w:ascii="Arial" w:hAnsi="Arial"/>
                <w:b w:val="0"/>
                <w:sz w:val="14"/>
              </w:rPr>
              <w:t>Multi-agent systems often involve multiple processors, subprocessors, tools, vendors, and runtimes. Supply-chain risk requires reconstructing which parties handled which lifecycle evidence or personal data.</w:t>
            </w:r>
          </w:p>
        </w:tc>
        <w:tc>
          <w:tcPr>
            <w:tcW w:type="dxa" w:w="3408"/>
          </w:tcPr>
          <w:p>
            <w:pPr>
              <w:spacing w:after="0"/>
            </w:pPr>
            <w:r>
              <w:rPr>
                <w:rFonts w:ascii="Arial" w:hAnsi="Arial"/>
                <w:b w:val="0"/>
                <w:sz w:val="14"/>
              </w:rPr>
              <w:t>Can the organization reconstruct which processors, subprocessors, tools, vendors, and runtimes handled which lifecycle evidence or personal data?</w:t>
            </w:r>
          </w:p>
        </w:tc>
      </w:tr>
      <w:tr>
        <w:tc>
          <w:tcPr>
            <w:tcW w:type="dxa" w:w="3408"/>
          </w:tcPr>
          <w:p>
            <w:pPr>
              <w:spacing w:after="0"/>
            </w:pPr>
            <w:r>
              <w:rPr>
                <w:rFonts w:ascii="Arial" w:hAnsi="Arial"/>
                <w:b w:val="0"/>
                <w:sz w:val="14"/>
              </w:rPr>
              <w:t>Data governance</w:t>
            </w:r>
          </w:p>
        </w:tc>
        <w:tc>
          <w:tcPr>
            <w:tcW w:type="dxa" w:w="3408"/>
          </w:tcPr>
          <w:p>
            <w:pPr>
              <w:spacing w:after="0"/>
            </w:pPr>
            <w:r>
              <w:rPr>
                <w:rFonts w:ascii="Arial" w:hAnsi="Arial"/>
                <w:b w:val="0"/>
                <w:sz w:val="14"/>
              </w:rPr>
              <w:t>Agentic systems process data across agents, tools, memory, traces, and evidence packs. Data governance requires tracking data flow, retention, minimization, deletion, and disclosure at lifecycle granularity.</w:t>
            </w:r>
          </w:p>
        </w:tc>
        <w:tc>
          <w:tcPr>
            <w:tcW w:type="dxa" w:w="3408"/>
          </w:tcPr>
          <w:p>
            <w:pPr>
              <w:spacing w:after="0"/>
            </w:pPr>
            <w:r>
              <w:rPr>
                <w:rFonts w:ascii="Arial" w:hAnsi="Arial"/>
                <w:b w:val="0"/>
                <w:sz w:val="14"/>
              </w:rPr>
              <w:t>Can the organization track data flow, retention, minimization, deletion, and disclosure across agents, tools, memory, traces, and evidence packs?</w:t>
            </w:r>
          </w:p>
        </w:tc>
      </w:tr>
      <w:tr>
        <w:tc>
          <w:tcPr>
            <w:tcW w:type="dxa" w:w="3408"/>
          </w:tcPr>
          <w:p>
            <w:pPr>
              <w:spacing w:after="0"/>
            </w:pPr>
            <w:r>
              <w:rPr>
                <w:rFonts w:ascii="Arial" w:hAnsi="Arial"/>
                <w:b w:val="0"/>
                <w:sz w:val="14"/>
              </w:rPr>
              <w:t>Audit readiness</w:t>
            </w:r>
          </w:p>
        </w:tc>
        <w:tc>
          <w:tcPr>
            <w:tcW w:type="dxa" w:w="3408"/>
          </w:tcPr>
          <w:p>
            <w:pPr>
              <w:spacing w:after="0"/>
            </w:pPr>
            <w:r>
              <w:rPr>
                <w:rFonts w:ascii="Arial" w:hAnsi="Arial"/>
                <w:b w:val="0"/>
                <w:sz w:val="14"/>
              </w:rPr>
              <w:t>External auditors require evidence of lifecycle responsibility without full raw data disclosure. Audit readiness requires privacy-preserving validation and selective disclosure.</w:t>
            </w:r>
          </w:p>
        </w:tc>
        <w:tc>
          <w:tcPr>
            <w:tcW w:type="dxa" w:w="3408"/>
          </w:tcPr>
          <w:p>
            <w:pPr>
              <w:spacing w:after="0"/>
            </w:pPr>
            <w:r>
              <w:rPr>
                <w:rFonts w:ascii="Arial" w:hAnsi="Arial"/>
                <w:b w:val="0"/>
                <w:sz w:val="14"/>
              </w:rPr>
              <w:t>Can an independent reviewer reconstruct lifecycle responsibility without full raw data disclosure?</w:t>
            </w:r>
          </w:p>
        </w:tc>
      </w:tr>
      <w:tr>
        <w:tc>
          <w:tcPr>
            <w:tcW w:type="dxa" w:w="3408"/>
          </w:tcPr>
          <w:p>
            <w:pPr>
              <w:spacing w:after="0"/>
            </w:pPr>
            <w:r>
              <w:rPr>
                <w:rFonts w:ascii="Arial" w:hAnsi="Arial"/>
                <w:b w:val="0"/>
                <w:sz w:val="14"/>
              </w:rPr>
              <w:t>Board reporting</w:t>
            </w:r>
          </w:p>
        </w:tc>
        <w:tc>
          <w:tcPr>
            <w:tcW w:type="dxa" w:w="3408"/>
          </w:tcPr>
          <w:p>
            <w:pPr>
              <w:spacing w:after="0"/>
            </w:pPr>
            <w:r>
              <w:rPr>
                <w:rFonts w:ascii="Arial" w:hAnsi="Arial"/>
                <w:b w:val="0"/>
                <w:sz w:val="14"/>
              </w:rPr>
              <w:t>Boards require risk reporting in terms of authority, evidence, accepted outcomes, open incidents, and unresolved remediation, not only model performance metrics.</w:t>
            </w:r>
          </w:p>
        </w:tc>
        <w:tc>
          <w:tcPr>
            <w:tcW w:type="dxa" w:w="3408"/>
          </w:tcPr>
          <w:p>
            <w:pPr>
              <w:spacing w:after="0"/>
            </w:pPr>
            <w:r>
              <w:rPr>
                <w:rFonts w:ascii="Arial" w:hAnsi="Arial"/>
                <w:b w:val="0"/>
                <w:sz w:val="14"/>
              </w:rPr>
              <w:t>Can management explain agentic risk in terms of authority, evidence, accepted outcomes, open incidents, and unresolved remediation?</w:t>
            </w:r>
          </w:p>
        </w:tc>
      </w:tr>
      <w:tr>
        <w:tc>
          <w:tcPr>
            <w:tcW w:type="dxa" w:w="3408"/>
          </w:tcPr>
          <w:p>
            <w:pPr>
              <w:spacing w:after="0"/>
            </w:pPr>
            <w:r>
              <w:rPr>
                <w:rFonts w:ascii="Arial" w:hAnsi="Arial"/>
                <w:b w:val="0"/>
                <w:sz w:val="14"/>
              </w:rPr>
              <w:t>Incident response and redress</w:t>
            </w:r>
          </w:p>
        </w:tc>
        <w:tc>
          <w:tcPr>
            <w:tcW w:type="dxa" w:w="3408"/>
          </w:tcPr>
          <w:p>
            <w:pPr>
              <w:spacing w:after="0"/>
            </w:pPr>
            <w:r>
              <w:rPr>
                <w:rFonts w:ascii="Arial" w:hAnsi="Arial"/>
                <w:b w:val="0"/>
                <w:sz w:val="14"/>
              </w:rPr>
              <w:t>Agentic incidents require evidence, responsibility assignment, correction, and accepted remediation. Incident closure is not only technical resolution.</w:t>
            </w:r>
          </w:p>
        </w:tc>
        <w:tc>
          <w:tcPr>
            <w:tcW w:type="dxa" w:w="3408"/>
          </w:tcPr>
          <w:p>
            <w:pPr>
              <w:spacing w:after="0"/>
            </w:pPr>
            <w:r>
              <w:rPr>
                <w:rFonts w:ascii="Arial" w:hAnsi="Arial"/>
                <w:b w:val="0"/>
                <w:sz w:val="14"/>
              </w:rPr>
              <w:t>Can the organization close an agentic incident with evidence, responsibility assignment, correction, and accepted remediation?</w:t>
            </w:r>
          </w:p>
        </w:tc>
      </w:tr>
      <w:tr>
        <w:tc>
          <w:tcPr>
            <w:tcW w:type="dxa" w:w="3408"/>
          </w:tcPr>
          <w:p>
            <w:pPr>
              <w:spacing w:after="0"/>
            </w:pPr>
            <w:r>
              <w:rPr>
                <w:rFonts w:ascii="Arial" w:hAnsi="Arial"/>
                <w:b w:val="0"/>
                <w:sz w:val="14"/>
              </w:rPr>
              <w:t>Business continuity / rollback</w:t>
            </w:r>
          </w:p>
        </w:tc>
        <w:tc>
          <w:tcPr>
            <w:tcW w:type="dxa" w:w="3408"/>
          </w:tcPr>
          <w:p>
            <w:pPr>
              <w:spacing w:after="0"/>
            </w:pPr>
            <w:r>
              <w:rPr>
                <w:rFonts w:ascii="Arial" w:hAnsi="Arial"/>
                <w:b w:val="0"/>
                <w:sz w:val="14"/>
              </w:rPr>
              <w:t>Agentic systems must support halt, rollback, substitution, or remediation without losing evidence continuity. Business continuity requires lifecycle resilience.</w:t>
            </w:r>
          </w:p>
        </w:tc>
        <w:tc>
          <w:tcPr>
            <w:tcW w:type="dxa" w:w="3408"/>
          </w:tcPr>
          <w:p>
            <w:pPr>
              <w:spacing w:after="0"/>
            </w:pPr>
            <w:r>
              <w:rPr>
                <w:rFonts w:ascii="Arial" w:hAnsi="Arial"/>
                <w:b w:val="0"/>
                <w:sz w:val="14"/>
              </w:rPr>
              <w:t>Can the system halt, rollback, substitute, or remediate without losing evidence continuity?</w:t>
            </w:r>
          </w:p>
        </w:tc>
      </w:tr>
      <w:tr>
        <w:tc>
          <w:tcPr>
            <w:tcW w:type="dxa" w:w="3408"/>
          </w:tcPr>
          <w:p>
            <w:pPr>
              <w:spacing w:after="0"/>
            </w:pPr>
            <w:r>
              <w:rPr>
                <w:rFonts w:ascii="Arial" w:hAnsi="Arial"/>
                <w:b w:val="0"/>
                <w:sz w:val="14"/>
              </w:rPr>
              <w:t>Model risk management</w:t>
            </w:r>
          </w:p>
        </w:tc>
        <w:tc>
          <w:tcPr>
            <w:tcW w:type="dxa" w:w="3408"/>
          </w:tcPr>
          <w:p>
            <w:pPr>
              <w:spacing w:after="0"/>
            </w:pPr>
            <w:r>
              <w:rPr>
                <w:rFonts w:ascii="Arial" w:hAnsi="Arial"/>
                <w:b w:val="0"/>
                <w:sz w:val="14"/>
              </w:rPr>
              <w:t>Model risk in agentic systems is not only output quality or bias. Model behavior influences planning, delegation, authority transitions, evidence interpretation, tool selection, and accepted outcomes.</w:t>
            </w:r>
          </w:p>
        </w:tc>
        <w:tc>
          <w:tcPr>
            <w:tcW w:type="dxa" w:w="3408"/>
          </w:tcPr>
          <w:p>
            <w:pPr>
              <w:spacing w:after="0"/>
            </w:pPr>
            <w:r>
              <w:rPr>
                <w:rFonts w:ascii="Arial" w:hAnsi="Arial"/>
                <w:b w:val="0"/>
                <w:sz w:val="14"/>
              </w:rPr>
              <w:t>Can model, prompt, policy, or runtime changes be evaluated as lifecycle risk, not only model-performance risk?</w:t>
            </w:r>
          </w:p>
        </w:tc>
      </w:tr>
      <w:tr>
        <w:tc>
          <w:tcPr>
            <w:tcW w:type="dxa" w:w="3408"/>
          </w:tcPr>
          <w:p>
            <w:pPr>
              <w:spacing w:after="0"/>
            </w:pPr>
            <w:r>
              <w:rPr>
                <w:rFonts w:ascii="Arial" w:hAnsi="Arial"/>
                <w:b w:val="0"/>
                <w:sz w:val="14"/>
              </w:rPr>
              <w:t>Cybersecurity for agentic systems</w:t>
            </w:r>
          </w:p>
        </w:tc>
        <w:tc>
          <w:tcPr>
            <w:tcW w:type="dxa" w:w="3408"/>
          </w:tcPr>
          <w:p>
            <w:pPr>
              <w:spacing w:after="0"/>
            </w:pPr>
            <w:r>
              <w:rPr>
                <w:rFonts w:ascii="Arial" w:hAnsi="Arial"/>
                <w:b w:val="0"/>
                <w:sz w:val="14"/>
              </w:rPr>
              <w:t>Cybersecurity for agentic systems must preserve authority, credential, tool, evidence, and incident boundaries under attack.</w:t>
            </w:r>
          </w:p>
        </w:tc>
        <w:tc>
          <w:tcPr>
            <w:tcW w:type="dxa" w:w="3408"/>
          </w:tcPr>
          <w:p>
            <w:pPr>
              <w:spacing w:after="0"/>
            </w:pPr>
            <w:r>
              <w:rPr>
                <w:rFonts w:ascii="Arial" w:hAnsi="Arial"/>
                <w:b w:val="0"/>
                <w:sz w:val="14"/>
              </w:rPr>
              <w:t>Can the system preserve authority, credential, tool, evidence, and incident boundaries under attack?</w:t>
            </w:r>
          </w:p>
        </w:tc>
      </w:tr>
      <w:tr>
        <w:tc>
          <w:tcPr>
            <w:tcW w:type="dxa" w:w="3408"/>
          </w:tcPr>
          <w:p>
            <w:pPr>
              <w:spacing w:after="0"/>
            </w:pPr>
            <w:r>
              <w:rPr>
                <w:rFonts w:ascii="Arial" w:hAnsi="Arial"/>
                <w:b w:val="0"/>
                <w:sz w:val="14"/>
              </w:rPr>
              <w:t>Privacy-preserving validation</w:t>
            </w:r>
          </w:p>
        </w:tc>
        <w:tc>
          <w:tcPr>
            <w:tcW w:type="dxa" w:w="3408"/>
          </w:tcPr>
          <w:p>
            <w:pPr>
              <w:spacing w:after="0"/>
            </w:pPr>
            <w:r>
              <w:rPr>
                <w:rFonts w:ascii="Arial" w:hAnsi="Arial"/>
                <w:b w:val="0"/>
                <w:sz w:val="14"/>
              </w:rPr>
              <w:t>External validation must occur without exposing raw personal data, proprietary workflow content, or unnecessary evidence.</w:t>
            </w:r>
          </w:p>
        </w:tc>
        <w:tc>
          <w:tcPr>
            <w:tcW w:type="dxa" w:w="3408"/>
          </w:tcPr>
          <w:p>
            <w:pPr>
              <w:spacing w:after="0"/>
            </w:pPr>
            <w:r>
              <w:rPr>
                <w:rFonts w:ascii="Arial" w:hAnsi="Arial"/>
                <w:b w:val="0"/>
                <w:sz w:val="14"/>
              </w:rPr>
              <w:t>Can external validation occur without exposing raw personal data, proprietary workflow content, or unnecessary evidence?</w:t>
            </w:r>
          </w:p>
        </w:tc>
      </w:tr>
    </w:tbl>
    <w:p>
      <w:pPr>
        <w:pStyle w:val="Heading3"/>
      </w:pPr>
      <w:r>
        <w:t>Table T-10-01B: Enterprise Control Crosswalk — MRO/Dimension/Evidence Mapping</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Enterprise Control Topic</w:t>
            </w:r>
          </w:p>
        </w:tc>
        <w:tc>
          <w:tcPr>
            <w:tcW w:type="dxa" w:w="2556"/>
          </w:tcPr>
          <w:p>
            <w:pPr>
              <w:spacing w:after="0"/>
            </w:pPr>
            <w:r>
              <w:rPr>
                <w:rFonts w:ascii="Arial" w:hAnsi="Arial"/>
                <w:b/>
                <w:sz w:val="14"/>
              </w:rPr>
              <w:t>Relevant MROs</w:t>
            </w:r>
          </w:p>
        </w:tc>
        <w:tc>
          <w:tcPr>
            <w:tcW w:type="dxa" w:w="2556"/>
          </w:tcPr>
          <w:p>
            <w:pPr>
              <w:spacing w:after="0"/>
            </w:pPr>
            <w:r>
              <w:rPr>
                <w:rFonts w:ascii="Arial" w:hAnsi="Arial"/>
                <w:b/>
                <w:sz w:val="14"/>
              </w:rPr>
              <w:t>Relevant RCCS/ALCS Dimensions</w:t>
            </w:r>
          </w:p>
        </w:tc>
        <w:tc>
          <w:tcPr>
            <w:tcW w:type="dxa" w:w="2556"/>
          </w:tcPr>
          <w:p>
            <w:pPr>
              <w:spacing w:after="0"/>
            </w:pPr>
            <w:r>
              <w:rPr>
                <w:rFonts w:ascii="Arial" w:hAnsi="Arial"/>
                <w:b/>
                <w:sz w:val="14"/>
              </w:rPr>
              <w:t>Evidence Expected</w:t>
            </w:r>
          </w:p>
        </w:tc>
      </w:tr>
      <w:tr>
        <w:tc>
          <w:tcPr>
            <w:tcW w:type="dxa" w:w="2556"/>
          </w:tcPr>
          <w:p>
            <w:pPr>
              <w:spacing w:after="0"/>
            </w:pPr>
            <w:r>
              <w:rPr>
                <w:rFonts w:ascii="Arial" w:hAnsi="Arial"/>
                <w:b w:val="0"/>
                <w:sz w:val="14"/>
              </w:rPr>
              <w:t>Internal control</w:t>
            </w:r>
          </w:p>
        </w:tc>
        <w:tc>
          <w:tcPr>
            <w:tcW w:type="dxa" w:w="2556"/>
          </w:tcPr>
          <w:p>
            <w:pPr>
              <w:spacing w:after="0"/>
            </w:pPr>
            <w:r>
              <w:rPr>
                <w:rFonts w:ascii="Arial" w:hAnsi="Arial"/>
                <w:b w:val="0"/>
                <w:sz w:val="14"/>
              </w:rPr>
              <w:t>MRO-01, MRO-02, MRO-04, MRO-05, MRO-08, MRO-16</w:t>
            </w:r>
          </w:p>
        </w:tc>
        <w:tc>
          <w:tcPr>
            <w:tcW w:type="dxa" w:w="2556"/>
          </w:tcPr>
          <w:p>
            <w:pPr>
              <w:spacing w:after="0"/>
            </w:pPr>
            <w:r>
              <w:rPr>
                <w:rFonts w:ascii="Arial" w:hAnsi="Arial"/>
                <w:b w:val="0"/>
                <w:sz w:val="14"/>
              </w:rPr>
              <w:t>RCCS-04, RCCS-06, RCCS-08, ALCS-01, ALCS-02, ALCS-04, ALCS-05, ALCS-08</w:t>
            </w:r>
          </w:p>
        </w:tc>
        <w:tc>
          <w:tcPr>
            <w:tcW w:type="dxa" w:w="2556"/>
          </w:tcPr>
          <w:p>
            <w:pPr>
              <w:spacing w:after="0"/>
            </w:pPr>
            <w:r>
              <w:rPr>
                <w:rFonts w:ascii="Arial" w:hAnsi="Arial"/>
                <w:b w:val="0"/>
                <w:sz w:val="14"/>
              </w:rPr>
              <w:t>Role-responsibility map, authority boundary object, accepted outcome state, tool-action liability record, evidence partition, incident closure record</w:t>
            </w:r>
          </w:p>
        </w:tc>
      </w:tr>
      <w:tr>
        <w:tc>
          <w:tcPr>
            <w:tcW w:type="dxa" w:w="2556"/>
          </w:tcPr>
          <w:p>
            <w:pPr>
              <w:spacing w:after="0"/>
            </w:pPr>
            <w:r>
              <w:rPr>
                <w:rFonts w:ascii="Arial" w:hAnsi="Arial"/>
                <w:b w:val="0"/>
                <w:sz w:val="14"/>
              </w:rPr>
              <w:t>Procurement scorecard</w:t>
            </w:r>
          </w:p>
        </w:tc>
        <w:tc>
          <w:tcPr>
            <w:tcW w:type="dxa" w:w="2556"/>
          </w:tcPr>
          <w:p>
            <w:pPr>
              <w:spacing w:after="0"/>
            </w:pPr>
            <w:r>
              <w:rPr>
                <w:rFonts w:ascii="Arial" w:hAnsi="Arial"/>
                <w:b w:val="0"/>
                <w:sz w:val="14"/>
              </w:rPr>
              <w:t>MRO-11, MRO-14, MRO-15, MRO-16</w:t>
            </w:r>
          </w:p>
        </w:tc>
        <w:tc>
          <w:tcPr>
            <w:tcW w:type="dxa" w:w="2556"/>
          </w:tcPr>
          <w:p>
            <w:pPr>
              <w:spacing w:after="0"/>
            </w:pPr>
            <w:r>
              <w:rPr>
                <w:rFonts w:ascii="Arial" w:hAnsi="Arial"/>
                <w:b w:val="0"/>
                <w:sz w:val="14"/>
              </w:rPr>
              <w:t>RCCS-03, RCCS-04, RCCS-07, ALCS-11, ALCS-14, ALCS-15</w:t>
            </w:r>
          </w:p>
        </w:tc>
        <w:tc>
          <w:tcPr>
            <w:tcW w:type="dxa" w:w="2556"/>
          </w:tcPr>
          <w:p>
            <w:pPr>
              <w:spacing w:after="0"/>
            </w:pPr>
            <w:r>
              <w:rPr>
                <w:rFonts w:ascii="Arial" w:hAnsi="Arial"/>
                <w:b w:val="0"/>
                <w:sz w:val="14"/>
              </w:rPr>
              <w:t>Privacy-preserving validation protocol, processor chain record, vendor substitution conformance test, incident closure record</w:t>
            </w:r>
          </w:p>
        </w:tc>
      </w:tr>
      <w:tr>
        <w:tc>
          <w:tcPr>
            <w:tcW w:type="dxa" w:w="2556"/>
          </w:tcPr>
          <w:p>
            <w:pPr>
              <w:spacing w:after="0"/>
            </w:pPr>
            <w:r>
              <w:rPr>
                <w:rFonts w:ascii="Arial" w:hAnsi="Arial"/>
                <w:b w:val="0"/>
                <w:sz w:val="14"/>
              </w:rPr>
              <w:t>Vendor lock-in / vendor substitution</w:t>
            </w:r>
          </w:p>
        </w:tc>
        <w:tc>
          <w:tcPr>
            <w:tcW w:type="dxa" w:w="2556"/>
          </w:tcPr>
          <w:p>
            <w:pPr>
              <w:spacing w:after="0"/>
            </w:pPr>
            <w:r>
              <w:rPr>
                <w:rFonts w:ascii="Arial" w:hAnsi="Arial"/>
                <w:b w:val="0"/>
                <w:sz w:val="14"/>
              </w:rPr>
              <w:t>MRO-09, MRO-15</w:t>
            </w:r>
          </w:p>
        </w:tc>
        <w:tc>
          <w:tcPr>
            <w:tcW w:type="dxa" w:w="2556"/>
          </w:tcPr>
          <w:p>
            <w:pPr>
              <w:spacing w:after="0"/>
            </w:pPr>
            <w:r>
              <w:rPr>
                <w:rFonts w:ascii="Arial" w:hAnsi="Arial"/>
                <w:b w:val="0"/>
                <w:sz w:val="14"/>
              </w:rPr>
              <w:t>ALCS-09, ALCS-15</w:t>
            </w:r>
          </w:p>
        </w:tc>
        <w:tc>
          <w:tcPr>
            <w:tcW w:type="dxa" w:w="2556"/>
          </w:tcPr>
          <w:p>
            <w:pPr>
              <w:spacing w:after="0"/>
            </w:pPr>
            <w:r>
              <w:rPr>
                <w:rFonts w:ascii="Arial" w:hAnsi="Arial"/>
                <w:b w:val="0"/>
                <w:sz w:val="14"/>
              </w:rPr>
              <w:t>Cross-project reuse conformance test, vendor substitution conformance test</w:t>
            </w:r>
          </w:p>
        </w:tc>
      </w:tr>
      <w:tr>
        <w:tc>
          <w:tcPr>
            <w:tcW w:type="dxa" w:w="2556"/>
          </w:tcPr>
          <w:p>
            <w:pPr>
              <w:spacing w:after="0"/>
            </w:pPr>
            <w:r>
              <w:rPr>
                <w:rFonts w:ascii="Arial" w:hAnsi="Arial"/>
                <w:b w:val="0"/>
                <w:sz w:val="14"/>
              </w:rPr>
              <w:t>Third-party / supply-chain risk</w:t>
            </w:r>
          </w:p>
        </w:tc>
        <w:tc>
          <w:tcPr>
            <w:tcW w:type="dxa" w:w="2556"/>
          </w:tcPr>
          <w:p>
            <w:pPr>
              <w:spacing w:after="0"/>
            </w:pPr>
            <w:r>
              <w:rPr>
                <w:rFonts w:ascii="Arial" w:hAnsi="Arial"/>
                <w:b w:val="0"/>
                <w:sz w:val="14"/>
              </w:rPr>
              <w:t>MRO-10, MRO-14, MRO-15</w:t>
            </w:r>
          </w:p>
        </w:tc>
        <w:tc>
          <w:tcPr>
            <w:tcW w:type="dxa" w:w="2556"/>
          </w:tcPr>
          <w:p>
            <w:pPr>
              <w:spacing w:after="0"/>
            </w:pPr>
            <w:r>
              <w:rPr>
                <w:rFonts w:ascii="Arial" w:hAnsi="Arial"/>
                <w:b w:val="0"/>
                <w:sz w:val="14"/>
              </w:rPr>
              <w:t>RCCS-02, RCCS-07, ALCS-10, ALCS-14, ALCS-15</w:t>
            </w:r>
          </w:p>
        </w:tc>
        <w:tc>
          <w:tcPr>
            <w:tcW w:type="dxa" w:w="2556"/>
          </w:tcPr>
          <w:p>
            <w:pPr>
              <w:spacing w:after="0"/>
            </w:pPr>
            <w:r>
              <w:rPr>
                <w:rFonts w:ascii="Arial" w:hAnsi="Arial"/>
                <w:b w:val="0"/>
                <w:sz w:val="14"/>
              </w:rPr>
              <w:t>Privacy lifecycle map, processor chain record, vendor substitution conformance test</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MRO-10, MRO-12, MRO-13</w:t>
            </w:r>
          </w:p>
        </w:tc>
        <w:tc>
          <w:tcPr>
            <w:tcW w:type="dxa" w:w="2556"/>
          </w:tcPr>
          <w:p>
            <w:pPr>
              <w:spacing w:after="0"/>
            </w:pPr>
            <w:r>
              <w:rPr>
                <w:rFonts w:ascii="Arial" w:hAnsi="Arial"/>
                <w:b w:val="0"/>
                <w:sz w:val="14"/>
              </w:rPr>
              <w:t>RCCS-02, ALCS-10, ALCS-12, ALCS-13</w:t>
            </w:r>
          </w:p>
        </w:tc>
        <w:tc>
          <w:tcPr>
            <w:tcW w:type="dxa" w:w="2556"/>
          </w:tcPr>
          <w:p>
            <w:pPr>
              <w:spacing w:after="0"/>
            </w:pPr>
            <w:r>
              <w:rPr>
                <w:rFonts w:ascii="Arial" w:hAnsi="Arial"/>
                <w:b w:val="0"/>
                <w:sz w:val="14"/>
              </w:rPr>
              <w:t>Privacy lifecycle map, evidence minimization policy, data subject rights reconciliation record</w:t>
            </w:r>
          </w:p>
        </w:tc>
      </w:tr>
      <w:tr>
        <w:tc>
          <w:tcPr>
            <w:tcW w:type="dxa" w:w="2556"/>
          </w:tcPr>
          <w:p>
            <w:pPr>
              <w:spacing w:after="0"/>
            </w:pPr>
            <w:r>
              <w:rPr>
                <w:rFonts w:ascii="Arial" w:hAnsi="Arial"/>
                <w:b w:val="0"/>
                <w:sz w:val="14"/>
              </w:rPr>
              <w:t>Audit readiness</w:t>
            </w:r>
          </w:p>
        </w:tc>
        <w:tc>
          <w:tcPr>
            <w:tcW w:type="dxa" w:w="2556"/>
          </w:tcPr>
          <w:p>
            <w:pPr>
              <w:spacing w:after="0"/>
            </w:pPr>
            <w:r>
              <w:rPr>
                <w:rFonts w:ascii="Arial" w:hAnsi="Arial"/>
                <w:b w:val="0"/>
                <w:sz w:val="14"/>
              </w:rPr>
              <w:t>MRO-08, MRO-11, MRO-12, MRO-16</w:t>
            </w:r>
          </w:p>
        </w:tc>
        <w:tc>
          <w:tcPr>
            <w:tcW w:type="dxa" w:w="2556"/>
          </w:tcPr>
          <w:p>
            <w:pPr>
              <w:spacing w:after="0"/>
            </w:pPr>
            <w:r>
              <w:rPr>
                <w:rFonts w:ascii="Arial" w:hAnsi="Arial"/>
                <w:b w:val="0"/>
                <w:sz w:val="14"/>
              </w:rPr>
              <w:t>RCCS-04, RCCS-09, ALCS-08, ALCS-11, ALCS-12</w:t>
            </w:r>
          </w:p>
        </w:tc>
        <w:tc>
          <w:tcPr>
            <w:tcW w:type="dxa" w:w="2556"/>
          </w:tcPr>
          <w:p>
            <w:pPr>
              <w:spacing w:after="0"/>
            </w:pPr>
            <w:r>
              <w:rPr>
                <w:rFonts w:ascii="Arial" w:hAnsi="Arial"/>
                <w:b w:val="0"/>
                <w:sz w:val="14"/>
              </w:rPr>
              <w:t>Evidence partition, privacy-preserving validation protocol, evidence minimization policy, incident closure record</w:t>
            </w:r>
          </w:p>
        </w:tc>
      </w:tr>
      <w:tr>
        <w:tc>
          <w:tcPr>
            <w:tcW w:type="dxa" w:w="2556"/>
          </w:tcPr>
          <w:p>
            <w:pPr>
              <w:spacing w:after="0"/>
            </w:pPr>
            <w:r>
              <w:rPr>
                <w:rFonts w:ascii="Arial" w:hAnsi="Arial"/>
                <w:b w:val="0"/>
                <w:sz w:val="14"/>
              </w:rPr>
              <w:t>Board reporting</w:t>
            </w:r>
          </w:p>
        </w:tc>
        <w:tc>
          <w:tcPr>
            <w:tcW w:type="dxa" w:w="2556"/>
          </w:tcPr>
          <w:p>
            <w:pPr>
              <w:spacing w:after="0"/>
            </w:pPr>
            <w:r>
              <w:rPr>
                <w:rFonts w:ascii="Arial" w:hAnsi="Arial"/>
                <w:b w:val="0"/>
                <w:sz w:val="14"/>
              </w:rPr>
              <w:t>MRO-01, MRO-04, MRO-08, MRO-16</w:t>
            </w:r>
          </w:p>
        </w:tc>
        <w:tc>
          <w:tcPr>
            <w:tcW w:type="dxa" w:w="2556"/>
          </w:tcPr>
          <w:p>
            <w:pPr>
              <w:spacing w:after="0"/>
            </w:pPr>
            <w:r>
              <w:rPr>
                <w:rFonts w:ascii="Arial" w:hAnsi="Arial"/>
                <w:b w:val="0"/>
                <w:sz w:val="14"/>
              </w:rPr>
              <w:t>RCCS-06, RCCS-08, RCCS-10, ALCS-01, ALCS-04, ALCS-08</w:t>
            </w:r>
          </w:p>
        </w:tc>
        <w:tc>
          <w:tcPr>
            <w:tcW w:type="dxa" w:w="2556"/>
          </w:tcPr>
          <w:p>
            <w:pPr>
              <w:spacing w:after="0"/>
            </w:pPr>
            <w:r>
              <w:rPr>
                <w:rFonts w:ascii="Arial" w:hAnsi="Arial"/>
                <w:b w:val="0"/>
                <w:sz w:val="14"/>
              </w:rPr>
              <w:t>Role-responsibility map, accepted outcome state, evidence partition, incident closure record, monitoring dashboard</w:t>
            </w:r>
          </w:p>
        </w:tc>
      </w:tr>
      <w:tr>
        <w:tc>
          <w:tcPr>
            <w:tcW w:type="dxa" w:w="2556"/>
          </w:tcPr>
          <w:p>
            <w:pPr>
              <w:spacing w:after="0"/>
            </w:pPr>
            <w:r>
              <w:rPr>
                <w:rFonts w:ascii="Arial" w:hAnsi="Arial"/>
                <w:b w:val="0"/>
                <w:sz w:val="14"/>
              </w:rPr>
              <w:t>Incident response and redress</w:t>
            </w:r>
          </w:p>
        </w:tc>
        <w:tc>
          <w:tcPr>
            <w:tcW w:type="dxa" w:w="2556"/>
          </w:tcPr>
          <w:p>
            <w:pPr>
              <w:spacing w:after="0"/>
            </w:pPr>
            <w:r>
              <w:rPr>
                <w:rFonts w:ascii="Arial" w:hAnsi="Arial"/>
                <w:b w:val="0"/>
                <w:sz w:val="14"/>
              </w:rPr>
              <w:t>MRO-04, MRO-08, MRO-16</w:t>
            </w:r>
          </w:p>
        </w:tc>
        <w:tc>
          <w:tcPr>
            <w:tcW w:type="dxa" w:w="2556"/>
          </w:tcPr>
          <w:p>
            <w:pPr>
              <w:spacing w:after="0"/>
            </w:pPr>
            <w:r>
              <w:rPr>
                <w:rFonts w:ascii="Arial" w:hAnsi="Arial"/>
                <w:b w:val="0"/>
                <w:sz w:val="14"/>
              </w:rPr>
              <w:t>RCCS-09, RCCS-10, ALCS-04, ALCS-08</w:t>
            </w:r>
          </w:p>
        </w:tc>
        <w:tc>
          <w:tcPr>
            <w:tcW w:type="dxa" w:w="2556"/>
          </w:tcPr>
          <w:p>
            <w:pPr>
              <w:spacing w:after="0"/>
            </w:pPr>
            <w:r>
              <w:rPr>
                <w:rFonts w:ascii="Arial" w:hAnsi="Arial"/>
                <w:b w:val="0"/>
                <w:sz w:val="14"/>
              </w:rPr>
              <w:t>Accepted outcome state, evidence partition, incident closure record, remediation record</w:t>
            </w:r>
          </w:p>
        </w:tc>
      </w:tr>
      <w:tr>
        <w:tc>
          <w:tcPr>
            <w:tcW w:type="dxa" w:w="2556"/>
          </w:tcPr>
          <w:p>
            <w:pPr>
              <w:spacing w:after="0"/>
            </w:pPr>
            <w:r>
              <w:rPr>
                <w:rFonts w:ascii="Arial" w:hAnsi="Arial"/>
                <w:b w:val="0"/>
                <w:sz w:val="14"/>
              </w:rPr>
              <w:t>Business continuity / rollback</w:t>
            </w:r>
          </w:p>
        </w:tc>
        <w:tc>
          <w:tcPr>
            <w:tcW w:type="dxa" w:w="2556"/>
          </w:tcPr>
          <w:p>
            <w:pPr>
              <w:spacing w:after="0"/>
            </w:pPr>
            <w:r>
              <w:rPr>
                <w:rFonts w:ascii="Arial" w:hAnsi="Arial"/>
                <w:b w:val="0"/>
                <w:sz w:val="14"/>
              </w:rPr>
              <w:t>MRO-05, MRO-07, MRO-15, MRO-16</w:t>
            </w:r>
          </w:p>
        </w:tc>
        <w:tc>
          <w:tcPr>
            <w:tcW w:type="dxa" w:w="2556"/>
          </w:tcPr>
          <w:p>
            <w:pPr>
              <w:spacing w:after="0"/>
            </w:pPr>
            <w:r>
              <w:rPr>
                <w:rFonts w:ascii="Arial" w:hAnsi="Arial"/>
                <w:b w:val="0"/>
                <w:sz w:val="14"/>
              </w:rPr>
              <w:t>RCCS-07, RCCS-10, ALCS-05, ALCS-07, ALCS-15</w:t>
            </w:r>
          </w:p>
        </w:tc>
        <w:tc>
          <w:tcPr>
            <w:tcW w:type="dxa" w:w="2556"/>
          </w:tcPr>
          <w:p>
            <w:pPr>
              <w:spacing w:after="0"/>
            </w:pPr>
            <w:r>
              <w:rPr>
                <w:rFonts w:ascii="Arial" w:hAnsi="Arial"/>
                <w:b w:val="0"/>
                <w:sz w:val="14"/>
              </w:rPr>
              <w:t>Tool-action liability record, authority drift detection log, vendor substitution conformance test, incident closure record</w:t>
            </w:r>
          </w:p>
        </w:tc>
      </w:tr>
      <w:tr>
        <w:tc>
          <w:tcPr>
            <w:tcW w:type="dxa" w:w="2556"/>
          </w:tcPr>
          <w:p>
            <w:pPr>
              <w:spacing w:after="0"/>
            </w:pPr>
            <w:r>
              <w:rPr>
                <w:rFonts w:ascii="Arial" w:hAnsi="Arial"/>
                <w:b w:val="0"/>
                <w:sz w:val="14"/>
              </w:rPr>
              <w:t>Model risk management</w:t>
            </w:r>
          </w:p>
        </w:tc>
        <w:tc>
          <w:tcPr>
            <w:tcW w:type="dxa" w:w="2556"/>
          </w:tcPr>
          <w:p>
            <w:pPr>
              <w:spacing w:after="0"/>
            </w:pPr>
            <w:r>
              <w:rPr>
                <w:rFonts w:ascii="Arial" w:hAnsi="Arial"/>
                <w:b w:val="0"/>
                <w:sz w:val="14"/>
              </w:rPr>
              <w:t>MRO-07, MRO-08, MRO-15, MRO-16</w:t>
            </w:r>
          </w:p>
        </w:tc>
        <w:tc>
          <w:tcPr>
            <w:tcW w:type="dxa" w:w="2556"/>
          </w:tcPr>
          <w:p>
            <w:pPr>
              <w:spacing w:after="0"/>
            </w:pPr>
            <w:r>
              <w:rPr>
                <w:rFonts w:ascii="Arial" w:hAnsi="Arial"/>
                <w:b w:val="0"/>
                <w:sz w:val="14"/>
              </w:rPr>
              <w:t>RCCS-01, RCCS-10, ALCS-07, ALCS-08, ALCS-15</w:t>
            </w:r>
          </w:p>
        </w:tc>
        <w:tc>
          <w:tcPr>
            <w:tcW w:type="dxa" w:w="2556"/>
          </w:tcPr>
          <w:p>
            <w:pPr>
              <w:spacing w:after="0"/>
            </w:pPr>
            <w:r>
              <w:rPr>
                <w:rFonts w:ascii="Arial" w:hAnsi="Arial"/>
                <w:b w:val="0"/>
                <w:sz w:val="14"/>
              </w:rPr>
              <w:t>Authority drift detection log, evidence partition, vendor substitution conformance test, incident closure record</w:t>
            </w:r>
          </w:p>
        </w:tc>
      </w:tr>
      <w:tr>
        <w:tc>
          <w:tcPr>
            <w:tcW w:type="dxa" w:w="2556"/>
          </w:tcPr>
          <w:p>
            <w:pPr>
              <w:spacing w:after="0"/>
            </w:pPr>
            <w:r>
              <w:rPr>
                <w:rFonts w:ascii="Arial" w:hAnsi="Arial"/>
                <w:b w:val="0"/>
                <w:sz w:val="14"/>
              </w:rPr>
              <w:t>Cybersecurity for agentic systems</w:t>
            </w:r>
          </w:p>
        </w:tc>
        <w:tc>
          <w:tcPr>
            <w:tcW w:type="dxa" w:w="2556"/>
          </w:tcPr>
          <w:p>
            <w:pPr>
              <w:spacing w:after="0"/>
            </w:pPr>
            <w:r>
              <w:rPr>
                <w:rFonts w:ascii="Arial" w:hAnsi="Arial"/>
                <w:b w:val="0"/>
                <w:sz w:val="14"/>
              </w:rPr>
              <w:t>MRO-02, MRO-05, MRO-07, MRO-08, MRO-14, MRO-16</w:t>
            </w:r>
          </w:p>
        </w:tc>
        <w:tc>
          <w:tcPr>
            <w:tcW w:type="dxa" w:w="2556"/>
          </w:tcPr>
          <w:p>
            <w:pPr>
              <w:spacing w:after="0"/>
            </w:pPr>
            <w:r>
              <w:rPr>
                <w:rFonts w:ascii="Arial" w:hAnsi="Arial"/>
                <w:b w:val="0"/>
                <w:sz w:val="14"/>
              </w:rPr>
              <w:t>RCCS-07, RCCS-10, ALCS-02, ALCS-05, ALCS-07, ALCS-08, ALCS-14</w:t>
            </w:r>
          </w:p>
        </w:tc>
        <w:tc>
          <w:tcPr>
            <w:tcW w:type="dxa" w:w="2556"/>
          </w:tcPr>
          <w:p>
            <w:pPr>
              <w:spacing w:after="0"/>
            </w:pPr>
            <w:r>
              <w:rPr>
                <w:rFonts w:ascii="Arial" w:hAnsi="Arial"/>
                <w:b w:val="0"/>
                <w:sz w:val="14"/>
              </w:rPr>
              <w:t>Authority boundary object, tool-action liability record, authority drift detection log, evidence partition, processor chain record, incident closure record</w:t>
            </w:r>
          </w:p>
        </w:tc>
      </w:tr>
      <w:tr>
        <w:tc>
          <w:tcPr>
            <w:tcW w:type="dxa" w:w="2556"/>
          </w:tcPr>
          <w:p>
            <w:pPr>
              <w:spacing w:after="0"/>
            </w:pPr>
            <w:r>
              <w:rPr>
                <w:rFonts w:ascii="Arial" w:hAnsi="Arial"/>
                <w:b w:val="0"/>
                <w:sz w:val="14"/>
              </w:rPr>
              <w:t>Privacy-preserving validation</w:t>
            </w:r>
          </w:p>
        </w:tc>
        <w:tc>
          <w:tcPr>
            <w:tcW w:type="dxa" w:w="2556"/>
          </w:tcPr>
          <w:p>
            <w:pPr>
              <w:spacing w:after="0"/>
            </w:pPr>
            <w:r>
              <w:rPr>
                <w:rFonts w:ascii="Arial" w:hAnsi="Arial"/>
                <w:b w:val="0"/>
                <w:sz w:val="14"/>
              </w:rPr>
              <w:t>MRO-08, MRO-10, MRO-11, MRO-12, MRO-13</w:t>
            </w:r>
          </w:p>
        </w:tc>
        <w:tc>
          <w:tcPr>
            <w:tcW w:type="dxa" w:w="2556"/>
          </w:tcPr>
          <w:p>
            <w:pPr>
              <w:spacing w:after="0"/>
            </w:pPr>
            <w:r>
              <w:rPr>
                <w:rFonts w:ascii="Arial" w:hAnsi="Arial"/>
                <w:b w:val="0"/>
                <w:sz w:val="14"/>
              </w:rPr>
              <w:t>RCCS-02, RCCS-04, ALCS-08, ALCS-10, ALCS-11, ALCS-12, ALCS-13</w:t>
            </w:r>
          </w:p>
        </w:tc>
        <w:tc>
          <w:tcPr>
            <w:tcW w:type="dxa" w:w="2556"/>
          </w:tcPr>
          <w:p>
            <w:pPr>
              <w:spacing w:after="0"/>
            </w:pPr>
            <w:r>
              <w:rPr>
                <w:rFonts w:ascii="Arial" w:hAnsi="Arial"/>
                <w:b w:val="0"/>
                <w:sz w:val="14"/>
              </w:rPr>
              <w:t>Evidence partition, privacy lifecycle map, privacy-preserving validation protocol, evidence minimization policy, data subject rights reconciliation record</w:t>
            </w:r>
          </w:p>
        </w:tc>
      </w:tr>
    </w:tbl>
    <w:p>
      <w:pPr>
        <w:spacing w:after="56"/>
      </w:pPr>
      <w:r>
        <w:t>Interpretation: The crosswalk does not replace internal control frameworks. It shows where agentic lifecycle objects can provide evidence for enterprise control questions. Organizations should integrate these objects into existing control frameworks rather than treating them as separate compliance requirements.</w:t>
      </w:r>
    </w:p>
    <w:p>
      <w:pPr>
        <w:pStyle w:val="Heading2"/>
      </w:pPr>
      <w:r>
        <w:t>10.3 Model Risk Management in Agentic Systems</w:t>
      </w:r>
    </w:p>
    <w:p>
      <w:pPr>
        <w:spacing w:after="56"/>
      </w:pPr>
      <w:r>
        <w:t>In agentic systems, model risk is no longer limited to output quality, bias, robustness, or model monitoring. Model risk becomes lifecycle risk when model behavior influences planning, delegation, authority transitions, evidence interpretation, tool selection, human review packets, and accepted outcomes.</w:t>
      </w:r>
    </w:p>
    <w:p>
      <w:pPr>
        <w:spacing w:after="56"/>
      </w:pPr>
      <w:r>
        <w:t>Traditional model risk management asks whether a model is governed. Agentic model risk management asks whether model behavior can change lifecycle authority, tool use, evidence, review, and acceptance states. A model that performs well on benchmarks may still introduce lifecycle risk if it influences authority boundaries, responsibility transfer, or evidence interpretation in ways that violate delegated scope or escalation rules.</w:t>
      </w:r>
    </w:p>
    <w:p>
      <w:pPr>
        <w:spacing w:after="56"/>
      </w:pPr>
      <w:r>
        <w:t>Boundary: Model governance remains necessary, but agentic deployment requires model risk to be mapped into lifecycle responsibility. ALCS does not replace existing model risk management. This section is not a full model-risk-management manual. It shows how model risk intersects with lifecycle conformance.</w:t>
      </w:r>
    </w:p>
    <w:p>
      <w:pPr>
        <w:pStyle w:val="Heading3"/>
      </w:pPr>
      <w:r>
        <w:t>Model Risk in Agentic Lifecycle</w:t>
      </w:r>
    </w:p>
    <w:p>
      <w:pPr>
        <w:spacing w:after="56"/>
      </w:pPr>
      <w:r>
        <w:t>The following figure illustrates how model, prompt, policy, and runtime changes propagate through the agentic lifecycle and influence authority, tool use, evidence, and accepted outcomes.</w:t>
      </w:r>
    </w:p>
    <w:p>
      <w:pPr>
        <w:spacing w:after="56"/>
      </w:pPr>
      <w:r>
        <w:t>Figure F-07 - Model Risk in Agentic Lifecycle</w:t>
      </w:r>
    </w:p>
    <w:p>
      <w:pPr>
        <w:spacing w:after="56"/>
      </w:pPr>
      <w:r>
        <w:t>Model / Prompt / Policy / Runtime Changes -&gt; Plan and Delegation Behavior -&gt; Authority Boundary Behavior -&gt; Tool Selection / Tool Action -&gt; Evidence Interpretation -&gt; Accepted Outcome / Incident Closure</w:t>
      </w:r>
    </w:p>
    <w:p>
      <w:pPr>
        <w:spacing w:after="56"/>
      </w:pPr>
      <w:r>
        <w:t>Figure F-07 shows how model, prompt, policy, or runtime changes can propagate through an agentic lifecycle and affect authority, tools, evidence, outcomes, and closure. It is a lifecycle-risk model, not a model-risk-management standard, certification path, or legal compliance proof.</w:t>
      </w:r>
    </w:p>
    <w:p>
      <w:pPr>
        <w:spacing w:after="56"/>
      </w:pPr>
      <w:r>
        <w:t>Model risk in agentic systems is not only a model-performance concern. It is a lifecycle-conformance concern. A model version change may alter planning behavior, which may alter delegation patterns, which may alter authority transitions, which may alter tool selection, which may alter evidence interpretation, which may alter accepted outcome states. Each of these transitions is a potential lifecycle risk.</w:t>
      </w:r>
    </w:p>
    <w:p>
      <w:pPr>
        <w:pStyle w:val="Heading3"/>
      </w:pPr>
      <w:r>
        <w:t>Model Risk Management Table</w:t>
      </w:r>
    </w:p>
    <w:p>
      <w:pPr>
        <w:spacing w:after="56"/>
      </w:pPr>
      <w:r>
        <w:t>The following table maps model risk concerns to agentic lifecycle impacts, relevant MROs, and control evidence.</w:t>
      </w:r>
    </w:p>
    <w:p>
      <w:pPr>
        <w:keepNext/>
      </w:pPr>
      <w:r>
        <w:rPr>
          <w:b/>
          <w:sz w:val="16"/>
        </w:rPr>
        <w:t>Table T-10-02: Model Risk Management in Agentic Systems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Model Risk Concern</w:t>
            </w:r>
          </w:p>
        </w:tc>
        <w:tc>
          <w:tcPr>
            <w:tcW w:type="dxa" w:w="2556"/>
          </w:tcPr>
          <w:p>
            <w:pPr>
              <w:spacing w:after="0"/>
            </w:pPr>
            <w:r>
              <w:rPr>
                <w:rFonts w:ascii="Arial" w:hAnsi="Arial"/>
                <w:b/>
                <w:sz w:val="14"/>
              </w:rPr>
              <w:t>Agentic Lifecycle Impact</w:t>
            </w:r>
          </w:p>
        </w:tc>
        <w:tc>
          <w:tcPr>
            <w:tcW w:type="dxa" w:w="2556"/>
          </w:tcPr>
          <w:p>
            <w:pPr>
              <w:spacing w:after="0"/>
            </w:pPr>
            <w:r>
              <w:rPr>
                <w:rFonts w:ascii="Arial" w:hAnsi="Arial"/>
                <w:b/>
                <w:sz w:val="14"/>
              </w:rPr>
              <w:t>Relevant MROs</w:t>
            </w:r>
          </w:p>
        </w:tc>
        <w:tc>
          <w:tcPr>
            <w:tcW w:type="dxa" w:w="2556"/>
          </w:tcPr>
          <w:p>
            <w:pPr>
              <w:spacing w:after="0"/>
            </w:pPr>
            <w:r>
              <w:rPr>
                <w:rFonts w:ascii="Arial" w:hAnsi="Arial"/>
                <w:b/>
                <w:sz w:val="14"/>
              </w:rPr>
              <w:t>Control Evidence</w:t>
            </w:r>
          </w:p>
        </w:tc>
      </w:tr>
      <w:tr>
        <w:tc>
          <w:tcPr>
            <w:tcW w:type="dxa" w:w="2556"/>
          </w:tcPr>
          <w:p>
            <w:pPr>
              <w:spacing w:after="0"/>
            </w:pPr>
            <w:r>
              <w:rPr>
                <w:rFonts w:ascii="Arial" w:hAnsi="Arial"/>
                <w:b w:val="0"/>
                <w:sz w:val="14"/>
              </w:rPr>
              <w:t>Model inventory</w:t>
            </w:r>
          </w:p>
        </w:tc>
        <w:tc>
          <w:tcPr>
            <w:tcW w:type="dxa" w:w="2556"/>
          </w:tcPr>
          <w:p>
            <w:pPr>
              <w:spacing w:after="0"/>
            </w:pPr>
            <w:r>
              <w:rPr>
                <w:rFonts w:ascii="Arial" w:hAnsi="Arial"/>
                <w:b w:val="0"/>
                <w:sz w:val="14"/>
              </w:rPr>
              <w:t>Without model inventory, the organization cannot reconstruct which model version influenced which lifecycle execution, authority transition, or accepted outcome.</w:t>
            </w:r>
          </w:p>
        </w:tc>
        <w:tc>
          <w:tcPr>
            <w:tcW w:type="dxa" w:w="2556"/>
          </w:tcPr>
          <w:p>
            <w:pPr>
              <w:spacing w:after="0"/>
            </w:pPr>
            <w:r>
              <w:rPr>
                <w:rFonts w:ascii="Arial" w:hAnsi="Arial"/>
                <w:b w:val="0"/>
                <w:sz w:val="14"/>
              </w:rPr>
              <w:t>MRO-15</w:t>
            </w:r>
          </w:p>
        </w:tc>
        <w:tc>
          <w:tcPr>
            <w:tcW w:type="dxa" w:w="2556"/>
          </w:tcPr>
          <w:p>
            <w:pPr>
              <w:spacing w:after="0"/>
            </w:pPr>
            <w:r>
              <w:rPr>
                <w:rFonts w:ascii="Arial" w:hAnsi="Arial"/>
                <w:b w:val="0"/>
                <w:sz w:val="14"/>
              </w:rPr>
              <w:t>Model version registry linked to lifecycle execution records</w:t>
            </w:r>
          </w:p>
        </w:tc>
      </w:tr>
      <w:tr>
        <w:tc>
          <w:tcPr>
            <w:tcW w:type="dxa" w:w="2556"/>
          </w:tcPr>
          <w:p>
            <w:pPr>
              <w:spacing w:after="0"/>
            </w:pPr>
            <w:r>
              <w:rPr>
                <w:rFonts w:ascii="Arial" w:hAnsi="Arial"/>
                <w:b w:val="0"/>
                <w:sz w:val="14"/>
              </w:rPr>
              <w:t>Foundation model dependency</w:t>
            </w:r>
          </w:p>
        </w:tc>
        <w:tc>
          <w:tcPr>
            <w:tcW w:type="dxa" w:w="2556"/>
          </w:tcPr>
          <w:p>
            <w:pPr>
              <w:spacing w:after="0"/>
            </w:pPr>
            <w:r>
              <w:rPr>
                <w:rFonts w:ascii="Arial" w:hAnsi="Arial"/>
                <w:b w:val="0"/>
                <w:sz w:val="14"/>
              </w:rPr>
              <w:t>Foundation model changes may alter planning, delegation, tool selection, or evidence interpretation behavior without explicit revalidation.</w:t>
            </w:r>
          </w:p>
        </w:tc>
        <w:tc>
          <w:tcPr>
            <w:tcW w:type="dxa" w:w="2556"/>
          </w:tcPr>
          <w:p>
            <w:pPr>
              <w:spacing w:after="0"/>
            </w:pPr>
            <w:r>
              <w:rPr>
                <w:rFonts w:ascii="Arial" w:hAnsi="Arial"/>
                <w:b w:val="0"/>
                <w:sz w:val="14"/>
              </w:rPr>
              <w:t>MRO-07, MRO-15</w:t>
            </w:r>
          </w:p>
        </w:tc>
        <w:tc>
          <w:tcPr>
            <w:tcW w:type="dxa" w:w="2556"/>
          </w:tcPr>
          <w:p>
            <w:pPr>
              <w:spacing w:after="0"/>
            </w:pPr>
            <w:r>
              <w:rPr>
                <w:rFonts w:ascii="Arial" w:hAnsi="Arial"/>
                <w:b w:val="0"/>
                <w:sz w:val="14"/>
              </w:rPr>
              <w:t>Foundation model version tracking, authority drift detection, substitution conformance test</w:t>
            </w:r>
          </w:p>
        </w:tc>
      </w:tr>
      <w:tr>
        <w:tc>
          <w:tcPr>
            <w:tcW w:type="dxa" w:w="2556"/>
          </w:tcPr>
          <w:p>
            <w:pPr>
              <w:spacing w:after="0"/>
            </w:pPr>
            <w:r>
              <w:rPr>
                <w:rFonts w:ascii="Arial" w:hAnsi="Arial"/>
                <w:b w:val="0"/>
                <w:sz w:val="14"/>
              </w:rPr>
              <w:t>Model provider dependency</w:t>
            </w:r>
          </w:p>
        </w:tc>
        <w:tc>
          <w:tcPr>
            <w:tcW w:type="dxa" w:w="2556"/>
          </w:tcPr>
          <w:p>
            <w:pPr>
              <w:spacing w:after="0"/>
            </w:pPr>
            <w:r>
              <w:rPr>
                <w:rFonts w:ascii="Arial" w:hAnsi="Arial"/>
                <w:b w:val="0"/>
                <w:sz w:val="14"/>
              </w:rPr>
              <w:t>Model provider changes may introduce new processor/subprocessor relationships, privacy risks, or vendor lock-in without lifecycle revalidation.</w:t>
            </w:r>
          </w:p>
        </w:tc>
        <w:tc>
          <w:tcPr>
            <w:tcW w:type="dxa" w:w="2556"/>
          </w:tcPr>
          <w:p>
            <w:pPr>
              <w:spacing w:after="0"/>
            </w:pPr>
            <w:r>
              <w:rPr>
                <w:rFonts w:ascii="Arial" w:hAnsi="Arial"/>
                <w:b w:val="0"/>
                <w:sz w:val="14"/>
              </w:rPr>
              <w:t>MRO-14, MRO-15</w:t>
            </w:r>
          </w:p>
        </w:tc>
        <w:tc>
          <w:tcPr>
            <w:tcW w:type="dxa" w:w="2556"/>
          </w:tcPr>
          <w:p>
            <w:pPr>
              <w:spacing w:after="0"/>
            </w:pPr>
            <w:r>
              <w:rPr>
                <w:rFonts w:ascii="Arial" w:hAnsi="Arial"/>
                <w:b w:val="0"/>
                <w:sz w:val="14"/>
              </w:rPr>
              <w:t>Processor chain record, vendor substitution conformance test</w:t>
            </w:r>
          </w:p>
        </w:tc>
      </w:tr>
      <w:tr>
        <w:tc>
          <w:tcPr>
            <w:tcW w:type="dxa" w:w="2556"/>
          </w:tcPr>
          <w:p>
            <w:pPr>
              <w:spacing w:after="0"/>
            </w:pPr>
            <w:r>
              <w:rPr>
                <w:rFonts w:ascii="Arial" w:hAnsi="Arial"/>
                <w:b w:val="0"/>
                <w:sz w:val="14"/>
              </w:rPr>
              <w:t>Model version risk</w:t>
            </w:r>
          </w:p>
        </w:tc>
        <w:tc>
          <w:tcPr>
            <w:tcW w:type="dxa" w:w="2556"/>
          </w:tcPr>
          <w:p>
            <w:pPr>
              <w:spacing w:after="0"/>
            </w:pPr>
            <w:r>
              <w:rPr>
                <w:rFonts w:ascii="Arial" w:hAnsi="Arial"/>
                <w:b w:val="0"/>
                <w:sz w:val="14"/>
              </w:rPr>
              <w:t>Model version changes may alter lifecycle behavior in ways that violate delegated authority, escalation rules, or evidence requirements.</w:t>
            </w:r>
          </w:p>
        </w:tc>
        <w:tc>
          <w:tcPr>
            <w:tcW w:type="dxa" w:w="2556"/>
          </w:tcPr>
          <w:p>
            <w:pPr>
              <w:spacing w:after="0"/>
            </w:pPr>
            <w:r>
              <w:rPr>
                <w:rFonts w:ascii="Arial" w:hAnsi="Arial"/>
                <w:b w:val="0"/>
                <w:sz w:val="14"/>
              </w:rPr>
              <w:t>MRO-07, MRO-08, MRO-15</w:t>
            </w:r>
          </w:p>
        </w:tc>
        <w:tc>
          <w:tcPr>
            <w:tcW w:type="dxa" w:w="2556"/>
          </w:tcPr>
          <w:p>
            <w:pPr>
              <w:spacing w:after="0"/>
            </w:pPr>
            <w:r>
              <w:rPr>
                <w:rFonts w:ascii="Arial" w:hAnsi="Arial"/>
                <w:b w:val="0"/>
                <w:sz w:val="14"/>
              </w:rPr>
              <w:t>Model version change log, authority drift detection, evidence partition validation, substitution conformance test</w:t>
            </w:r>
          </w:p>
        </w:tc>
      </w:tr>
      <w:tr>
        <w:tc>
          <w:tcPr>
            <w:tcW w:type="dxa" w:w="2556"/>
          </w:tcPr>
          <w:p>
            <w:pPr>
              <w:spacing w:after="0"/>
            </w:pPr>
            <w:r>
              <w:rPr>
                <w:rFonts w:ascii="Arial" w:hAnsi="Arial"/>
                <w:b w:val="0"/>
                <w:sz w:val="14"/>
              </w:rPr>
              <w:t>Model substitution</w:t>
            </w:r>
          </w:p>
        </w:tc>
        <w:tc>
          <w:tcPr>
            <w:tcW w:type="dxa" w:w="2556"/>
          </w:tcPr>
          <w:p>
            <w:pPr>
              <w:spacing w:after="0"/>
            </w:pPr>
            <w:r>
              <w:rPr>
                <w:rFonts w:ascii="Arial" w:hAnsi="Arial"/>
                <w:b w:val="0"/>
                <w:sz w:val="14"/>
              </w:rPr>
              <w:t>Model substitution may break lifecycle conformance if the new model does not preserve authority boundaries, responsibility transfer semantics, or evidence partitioning.</w:t>
            </w:r>
          </w:p>
        </w:tc>
        <w:tc>
          <w:tcPr>
            <w:tcW w:type="dxa" w:w="2556"/>
          </w:tcPr>
          <w:p>
            <w:pPr>
              <w:spacing w:after="0"/>
            </w:pPr>
            <w:r>
              <w:rPr>
                <w:rFonts w:ascii="Arial" w:hAnsi="Arial"/>
                <w:b w:val="0"/>
                <w:sz w:val="14"/>
              </w:rPr>
              <w:t>MRO-15</w:t>
            </w:r>
          </w:p>
        </w:tc>
        <w:tc>
          <w:tcPr>
            <w:tcW w:type="dxa" w:w="2556"/>
          </w:tcPr>
          <w:p>
            <w:pPr>
              <w:spacing w:after="0"/>
            </w:pPr>
            <w:r>
              <w:rPr>
                <w:rFonts w:ascii="Arial" w:hAnsi="Arial"/>
                <w:b w:val="0"/>
                <w:sz w:val="14"/>
              </w:rPr>
              <w:t>Vendor substitution conformance test, lifecycle revalidation record</w:t>
            </w:r>
          </w:p>
        </w:tc>
      </w:tr>
      <w:tr>
        <w:tc>
          <w:tcPr>
            <w:tcW w:type="dxa" w:w="2556"/>
          </w:tcPr>
          <w:p>
            <w:pPr>
              <w:spacing w:after="0"/>
            </w:pPr>
            <w:r>
              <w:rPr>
                <w:rFonts w:ascii="Arial" w:hAnsi="Arial"/>
                <w:b w:val="0"/>
                <w:sz w:val="14"/>
              </w:rPr>
              <w:t>Evaluation drift</w:t>
            </w:r>
          </w:p>
        </w:tc>
        <w:tc>
          <w:tcPr>
            <w:tcW w:type="dxa" w:w="2556"/>
          </w:tcPr>
          <w:p>
            <w:pPr>
              <w:spacing w:after="0"/>
            </w:pPr>
            <w:r>
              <w:rPr>
                <w:rFonts w:ascii="Arial" w:hAnsi="Arial"/>
                <w:b w:val="0"/>
                <w:sz w:val="14"/>
              </w:rPr>
              <w:t>Model evaluation drift may indicate that the model no longer behaves as expected under delegated authority, escalation rules, or evidence requirements.</w:t>
            </w:r>
          </w:p>
        </w:tc>
        <w:tc>
          <w:tcPr>
            <w:tcW w:type="dxa" w:w="2556"/>
          </w:tcPr>
          <w:p>
            <w:pPr>
              <w:spacing w:after="0"/>
            </w:pPr>
            <w:r>
              <w:rPr>
                <w:rFonts w:ascii="Arial" w:hAnsi="Arial"/>
                <w:b w:val="0"/>
                <w:sz w:val="14"/>
              </w:rPr>
              <w:t>MRO-07, MRO-16</w:t>
            </w:r>
          </w:p>
        </w:tc>
        <w:tc>
          <w:tcPr>
            <w:tcW w:type="dxa" w:w="2556"/>
          </w:tcPr>
          <w:p>
            <w:pPr>
              <w:spacing w:after="0"/>
            </w:pPr>
            <w:r>
              <w:rPr>
                <w:rFonts w:ascii="Arial" w:hAnsi="Arial"/>
                <w:b w:val="0"/>
                <w:sz w:val="14"/>
              </w:rPr>
              <w:t>Authority drift detection log, incident closure record</w:t>
            </w:r>
          </w:p>
        </w:tc>
      </w:tr>
      <w:tr>
        <w:tc>
          <w:tcPr>
            <w:tcW w:type="dxa" w:w="2556"/>
          </w:tcPr>
          <w:p>
            <w:pPr>
              <w:spacing w:after="0"/>
            </w:pPr>
            <w:r>
              <w:rPr>
                <w:rFonts w:ascii="Arial" w:hAnsi="Arial"/>
                <w:b w:val="0"/>
                <w:sz w:val="14"/>
              </w:rPr>
              <w:t>Prompt / policy regression</w:t>
            </w:r>
          </w:p>
        </w:tc>
        <w:tc>
          <w:tcPr>
            <w:tcW w:type="dxa" w:w="2556"/>
          </w:tcPr>
          <w:p>
            <w:pPr>
              <w:spacing w:after="0"/>
            </w:pPr>
            <w:r>
              <w:rPr>
                <w:rFonts w:ascii="Arial" w:hAnsi="Arial"/>
                <w:b w:val="0"/>
                <w:sz w:val="14"/>
              </w:rPr>
              <w:t>Prompt or policy changes may alter planning, delegation, tool selection, or evidence interpretation behavior without explicit revalidation.</w:t>
            </w:r>
          </w:p>
        </w:tc>
        <w:tc>
          <w:tcPr>
            <w:tcW w:type="dxa" w:w="2556"/>
          </w:tcPr>
          <w:p>
            <w:pPr>
              <w:spacing w:after="0"/>
            </w:pPr>
            <w:r>
              <w:rPr>
                <w:rFonts w:ascii="Arial" w:hAnsi="Arial"/>
                <w:b w:val="0"/>
                <w:sz w:val="14"/>
              </w:rPr>
              <w:t>MRO-07, MRO-08</w:t>
            </w:r>
          </w:p>
        </w:tc>
        <w:tc>
          <w:tcPr>
            <w:tcW w:type="dxa" w:w="2556"/>
          </w:tcPr>
          <w:p>
            <w:pPr>
              <w:spacing w:after="0"/>
            </w:pPr>
            <w:r>
              <w:rPr>
                <w:rFonts w:ascii="Arial" w:hAnsi="Arial"/>
                <w:b w:val="0"/>
                <w:sz w:val="14"/>
              </w:rPr>
              <w:t>Prompt version tracking, authority drift detection, evidence partition validation</w:t>
            </w:r>
          </w:p>
        </w:tc>
      </w:tr>
      <w:tr>
        <w:tc>
          <w:tcPr>
            <w:tcW w:type="dxa" w:w="2556"/>
          </w:tcPr>
          <w:p>
            <w:pPr>
              <w:spacing w:after="0"/>
            </w:pPr>
            <w:r>
              <w:rPr>
                <w:rFonts w:ascii="Arial" w:hAnsi="Arial"/>
                <w:b w:val="0"/>
                <w:sz w:val="14"/>
              </w:rPr>
              <w:t>Authority-transition influence</w:t>
            </w:r>
          </w:p>
        </w:tc>
        <w:tc>
          <w:tcPr>
            <w:tcW w:type="dxa" w:w="2556"/>
          </w:tcPr>
          <w:p>
            <w:pPr>
              <w:spacing w:after="0"/>
            </w:pPr>
            <w:r>
              <w:rPr>
                <w:rFonts w:ascii="Arial" w:hAnsi="Arial"/>
                <w:b w:val="0"/>
                <w:sz w:val="14"/>
              </w:rPr>
              <w:t>Model behavior may influence whether an agent escalates, delegates, or proceeds under delegated authority. This is a lifecycle risk, not only a model-performance risk.</w:t>
            </w:r>
          </w:p>
        </w:tc>
        <w:tc>
          <w:tcPr>
            <w:tcW w:type="dxa" w:w="2556"/>
          </w:tcPr>
          <w:p>
            <w:pPr>
              <w:spacing w:after="0"/>
            </w:pPr>
            <w:r>
              <w:rPr>
                <w:rFonts w:ascii="Arial" w:hAnsi="Arial"/>
                <w:b w:val="0"/>
                <w:sz w:val="14"/>
              </w:rPr>
              <w:t>MRO-02, MRO-07</w:t>
            </w:r>
          </w:p>
        </w:tc>
        <w:tc>
          <w:tcPr>
            <w:tcW w:type="dxa" w:w="2556"/>
          </w:tcPr>
          <w:p>
            <w:pPr>
              <w:spacing w:after="0"/>
            </w:pPr>
            <w:r>
              <w:rPr>
                <w:rFonts w:ascii="Arial" w:hAnsi="Arial"/>
                <w:b w:val="0"/>
                <w:sz w:val="14"/>
              </w:rPr>
              <w:t>Authority boundary object, authority drift detection log</w:t>
            </w:r>
          </w:p>
        </w:tc>
      </w:tr>
      <w:tr>
        <w:tc>
          <w:tcPr>
            <w:tcW w:type="dxa" w:w="2556"/>
          </w:tcPr>
          <w:p>
            <w:pPr>
              <w:spacing w:after="0"/>
            </w:pPr>
            <w:r>
              <w:rPr>
                <w:rFonts w:ascii="Arial" w:hAnsi="Arial"/>
                <w:b w:val="0"/>
                <w:sz w:val="14"/>
              </w:rPr>
              <w:t>Multi-agent handoff behavior</w:t>
            </w:r>
          </w:p>
        </w:tc>
        <w:tc>
          <w:tcPr>
            <w:tcW w:type="dxa" w:w="2556"/>
          </w:tcPr>
          <w:p>
            <w:pPr>
              <w:spacing w:after="0"/>
            </w:pPr>
            <w:r>
              <w:rPr>
                <w:rFonts w:ascii="Arial" w:hAnsi="Arial"/>
                <w:b w:val="0"/>
                <w:sz w:val="14"/>
              </w:rPr>
              <w:t>Model behavior may influence how agents transfer responsibility, inherit constraints, or partition evidence during handoffs.</w:t>
            </w:r>
          </w:p>
        </w:tc>
        <w:tc>
          <w:tcPr>
            <w:tcW w:type="dxa" w:w="2556"/>
          </w:tcPr>
          <w:p>
            <w:pPr>
              <w:spacing w:after="0"/>
            </w:pPr>
            <w:r>
              <w:rPr>
                <w:rFonts w:ascii="Arial" w:hAnsi="Arial"/>
                <w:b w:val="0"/>
                <w:sz w:val="14"/>
              </w:rPr>
              <w:t>MRO-06, MRO-08</w:t>
            </w:r>
          </w:p>
        </w:tc>
        <w:tc>
          <w:tcPr>
            <w:tcW w:type="dxa" w:w="2556"/>
          </w:tcPr>
          <w:p>
            <w:pPr>
              <w:spacing w:after="0"/>
            </w:pPr>
            <w:r>
              <w:rPr>
                <w:rFonts w:ascii="Arial" w:hAnsi="Arial"/>
                <w:b w:val="0"/>
                <w:sz w:val="14"/>
              </w:rPr>
              <w:t>Responsibility transfer object, evidence partition</w:t>
            </w:r>
          </w:p>
        </w:tc>
      </w:tr>
      <w:tr>
        <w:tc>
          <w:tcPr>
            <w:tcW w:type="dxa" w:w="2556"/>
          </w:tcPr>
          <w:p>
            <w:pPr>
              <w:spacing w:after="0"/>
            </w:pPr>
            <w:r>
              <w:rPr>
                <w:rFonts w:ascii="Arial" w:hAnsi="Arial"/>
                <w:b w:val="0"/>
                <w:sz w:val="14"/>
              </w:rPr>
              <w:t>Evidence interpretation risk</w:t>
            </w:r>
          </w:p>
        </w:tc>
        <w:tc>
          <w:tcPr>
            <w:tcW w:type="dxa" w:w="2556"/>
          </w:tcPr>
          <w:p>
            <w:pPr>
              <w:spacing w:after="0"/>
            </w:pPr>
            <w:r>
              <w:rPr>
                <w:rFonts w:ascii="Arial" w:hAnsi="Arial"/>
                <w:b w:val="0"/>
                <w:sz w:val="14"/>
              </w:rPr>
              <w:t>Model behavior may influence how evidence is interpreted, summarized, or presented to human reviewers. This may alter accepted outcome states.</w:t>
            </w:r>
          </w:p>
        </w:tc>
        <w:tc>
          <w:tcPr>
            <w:tcW w:type="dxa" w:w="2556"/>
          </w:tcPr>
          <w:p>
            <w:pPr>
              <w:spacing w:after="0"/>
            </w:pPr>
            <w:r>
              <w:rPr>
                <w:rFonts w:ascii="Arial" w:hAnsi="Arial"/>
                <w:b w:val="0"/>
                <w:sz w:val="14"/>
              </w:rPr>
              <w:t>MRO-04, MRO-08</w:t>
            </w:r>
          </w:p>
        </w:tc>
        <w:tc>
          <w:tcPr>
            <w:tcW w:type="dxa" w:w="2556"/>
          </w:tcPr>
          <w:p>
            <w:pPr>
              <w:spacing w:after="0"/>
            </w:pPr>
            <w:r>
              <w:rPr>
                <w:rFonts w:ascii="Arial" w:hAnsi="Arial"/>
                <w:b w:val="0"/>
                <w:sz w:val="14"/>
              </w:rPr>
              <w:t>Accepted outcome state, evidence partition, review packet validation</w:t>
            </w:r>
          </w:p>
        </w:tc>
      </w:tr>
    </w:tbl>
    <w:p>
      <w:pPr>
        <w:spacing w:after="56"/>
      </w:pPr>
      <w:r>
        <w:t>Interpretation: Traditional model risk asks whether a model is governed. Agentic model risk asks whether model behavior can change lifecycle authority, tool use, evidence, review, and acceptance states. Model risk management in agentic systems requires mapping model changes to lifecycle conformance, not only to model performance.</w:t>
      </w:r>
    </w:p>
    <w:p>
      <w:pPr>
        <w:pStyle w:val="Heading2"/>
      </w:pPr>
      <w:r>
        <w:t>10.4 Cybersecurity Controls Integration</w:t>
      </w:r>
    </w:p>
    <w:p>
      <w:pPr>
        <w:pStyle w:val="Heading3"/>
      </w:pPr>
      <w:r>
        <w:t>10.4.1 Why Cybersecurity and Lifecycle Governance Intersect</w:t>
      </w:r>
    </w:p>
    <w:p>
      <w:pPr>
        <w:spacing w:after="56"/>
      </w:pPr>
      <w:r>
        <w:t>Agentic AI systems create new attack surfaces that traditional cybersecurity controls were not designed to address. Agent execution introduces risks including prompt injection, tool misuse, credential theft, and data exfiltration. These risks are not purely technical vulnerabilities. They are lifecycle governance failures that manifest as security incidents.</w:t>
      </w:r>
    </w:p>
    <w:p>
      <w:pPr>
        <w:spacing w:after="56"/>
      </w:pPr>
      <w:r>
        <w:t>Prompt injection attacks exploit the boundary between user input and system instructions. Tool misuse occurs when an agent invokes tools outside delegated authority or without proper authorization. Credential theft in agentic systems may involve stealing API keys, tool credentials, or authority tokens that enable unauthorized agent execution. Data exfiltration may occur when agents access, process, or transmit data beyond their delegated scope or privacy boundaries.</w:t>
      </w:r>
    </w:p>
    <w:p>
      <w:pPr>
        <w:spacing w:after="56"/>
      </w:pPr>
      <w:r>
        <w:t>Lifecycle governance provides the authorization and evidence layer that cybersecurity controls require. Without lifecycle governance, cybersecurity controls cannot answer: Who authorized this agent to execute? What authority boundary was violated? Which tool action crossed a liability boundary? What evidence exists to reconstruct the incident? Which human role should have reviewed this action? What accepted outcome state was compromised?</w:t>
      </w:r>
    </w:p>
    <w:p>
      <w:pPr>
        <w:spacing w:after="56"/>
      </w:pPr>
      <w:r>
        <w:t>Cybersecurity and lifecycle governance are complementary layers. Cybersecurity controls protect the execution environment, credentials, tools, and data flows. Lifecycle governance defines the authority, responsibility, evidence, and acceptance structures that cybersecurity controls must preserve under attack.</w:t>
      </w:r>
    </w:p>
    <w:p>
      <w:pPr>
        <w:spacing w:after="56"/>
      </w:pPr>
      <w:r>
        <w:t>Reference frameworks:</w:t>
      </w:r>
    </w:p>
    <w:p>
      <w:pPr>
        <w:pStyle w:val="ListBullet"/>
        <w:spacing w:after="56"/>
      </w:pPr>
      <w:r>
        <w:t>OWASP LLM Top 10 (prompt injection, insecure output handling, training data poisoning, model denial of service, supply chain vulnerabilities, sensitive information disclosure, insecure plugin design, excessive agency, overreliance, model theft)</w:t>
      </w:r>
    </w:p>
    <w:p>
      <w:pPr>
        <w:pStyle w:val="ListBullet"/>
        <w:spacing w:after="56"/>
      </w:pPr>
      <w:r>
        <w:t>NIST AI Risk Management Framework (Govern, Map, Measure, Manage functions applied to AI systems)</w:t>
      </w:r>
    </w:p>
    <w:p>
      <w:pPr>
        <w:pStyle w:val="ListBullet"/>
        <w:spacing w:after="56"/>
      </w:pPr>
      <w:r>
        <w:t>MITRE ATLAS (Adversarial Threat Landscape for Artificial-Intelligence Systems)</w:t>
      </w:r>
    </w:p>
    <w:p>
      <w:pPr>
        <w:pStyle w:val="Heading3"/>
      </w:pPr>
      <w:r>
        <w:t>10.4.2 Cybersecurity Control Mapping</w:t>
      </w:r>
    </w:p>
    <w:p>
      <w:pPr>
        <w:spacing w:after="56"/>
      </w:pPr>
      <w:r>
        <w:t>The following table maps cybersecurity control domains to agentic attack surfaces, lifecycle governance objects, MRO dimensions, and evidence outputs.</w:t>
      </w:r>
    </w:p>
    <w:p>
      <w:pPr>
        <w:keepNext/>
      </w:pPr>
      <w:r>
        <w:rPr>
          <w:b/>
          <w:sz w:val="16"/>
        </w:rPr>
        <w:t>Table T-10-03: Cybersecurity Control Mapping</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Cybersecurity Control Domain</w:t>
            </w:r>
          </w:p>
        </w:tc>
        <w:tc>
          <w:tcPr>
            <w:tcW w:type="dxa" w:w="2045"/>
          </w:tcPr>
          <w:p>
            <w:pPr>
              <w:spacing w:after="0"/>
            </w:pPr>
            <w:r>
              <w:rPr>
                <w:rFonts w:ascii="Arial" w:hAnsi="Arial"/>
                <w:b/>
                <w:sz w:val="14"/>
              </w:rPr>
              <w:t>Agentic Attack Surface</w:t>
            </w:r>
          </w:p>
        </w:tc>
        <w:tc>
          <w:tcPr>
            <w:tcW w:type="dxa" w:w="2045"/>
          </w:tcPr>
          <w:p>
            <w:pPr>
              <w:spacing w:after="0"/>
            </w:pPr>
            <w:r>
              <w:rPr>
                <w:rFonts w:ascii="Arial" w:hAnsi="Arial"/>
                <w:b/>
                <w:sz w:val="14"/>
              </w:rPr>
              <w:t>Lifecycle Governance Object</w:t>
            </w:r>
          </w:p>
        </w:tc>
        <w:tc>
          <w:tcPr>
            <w:tcW w:type="dxa" w:w="2045"/>
          </w:tcPr>
          <w:p>
            <w:pPr>
              <w:spacing w:after="0"/>
            </w:pPr>
            <w:r>
              <w:rPr>
                <w:rFonts w:ascii="Arial" w:hAnsi="Arial"/>
                <w:b/>
                <w:sz w:val="14"/>
              </w:rPr>
              <w:t>MRO Dimension</w:t>
            </w:r>
          </w:p>
        </w:tc>
        <w:tc>
          <w:tcPr>
            <w:tcW w:type="dxa" w:w="2045"/>
          </w:tcPr>
          <w:p>
            <w:pPr>
              <w:spacing w:after="0"/>
            </w:pPr>
            <w:r>
              <w:rPr>
                <w:rFonts w:ascii="Arial" w:hAnsi="Arial"/>
                <w:b/>
                <w:sz w:val="14"/>
              </w:rPr>
              <w:t>Evidence Output</w:t>
            </w:r>
          </w:p>
        </w:tc>
      </w:tr>
      <w:tr>
        <w:tc>
          <w:tcPr>
            <w:tcW w:type="dxa" w:w="2045"/>
          </w:tcPr>
          <w:p>
            <w:pPr>
              <w:spacing w:after="0"/>
            </w:pPr>
            <w:r>
              <w:rPr>
                <w:rFonts w:ascii="Arial" w:hAnsi="Arial"/>
                <w:b w:val="0"/>
                <w:sz w:val="14"/>
              </w:rPr>
              <w:t>Identity and Access Management</w:t>
            </w:r>
          </w:p>
        </w:tc>
        <w:tc>
          <w:tcPr>
            <w:tcW w:type="dxa" w:w="2045"/>
          </w:tcPr>
          <w:p>
            <w:pPr>
              <w:spacing w:after="0"/>
            </w:pPr>
            <w:r>
              <w:rPr>
                <w:rFonts w:ascii="Arial" w:hAnsi="Arial"/>
                <w:b w:val="0"/>
                <w:sz w:val="14"/>
              </w:rPr>
              <w:t>Agent identity spoofing, unauthorized agent instantiation, role escalation</w:t>
            </w:r>
          </w:p>
        </w:tc>
        <w:tc>
          <w:tcPr>
            <w:tcW w:type="dxa" w:w="2045"/>
          </w:tcPr>
          <w:p>
            <w:pPr>
              <w:spacing w:after="0"/>
            </w:pPr>
            <w:r>
              <w:rPr>
                <w:rFonts w:ascii="Arial" w:hAnsi="Arial"/>
                <w:b w:val="0"/>
                <w:sz w:val="14"/>
              </w:rPr>
              <w:t>Agent identity lifecycle record, role-responsibility map, authority boundary object</w:t>
            </w:r>
          </w:p>
        </w:tc>
        <w:tc>
          <w:tcPr>
            <w:tcW w:type="dxa" w:w="2045"/>
          </w:tcPr>
          <w:p>
            <w:pPr>
              <w:spacing w:after="0"/>
            </w:pPr>
            <w:r>
              <w:rPr>
                <w:rFonts w:ascii="Arial" w:hAnsi="Arial"/>
                <w:b w:val="0"/>
                <w:sz w:val="14"/>
              </w:rPr>
              <w:t>MRO-01, MRO-02</w:t>
            </w:r>
          </w:p>
        </w:tc>
        <w:tc>
          <w:tcPr>
            <w:tcW w:type="dxa" w:w="2045"/>
          </w:tcPr>
          <w:p>
            <w:pPr>
              <w:spacing w:after="0"/>
            </w:pPr>
            <w:r>
              <w:rPr>
                <w:rFonts w:ascii="Arial" w:hAnsi="Arial"/>
                <w:b w:val="0"/>
                <w:sz w:val="14"/>
              </w:rPr>
              <w:t>Agent identity registry, authority boundary validation log</w:t>
            </w:r>
          </w:p>
        </w:tc>
      </w:tr>
      <w:tr>
        <w:tc>
          <w:tcPr>
            <w:tcW w:type="dxa" w:w="2045"/>
          </w:tcPr>
          <w:p>
            <w:pPr>
              <w:spacing w:after="0"/>
            </w:pPr>
            <w:r>
              <w:rPr>
                <w:rFonts w:ascii="Arial" w:hAnsi="Arial"/>
                <w:b w:val="0"/>
                <w:sz w:val="14"/>
              </w:rPr>
              <w:t>Prompt Injection Defense</w:t>
            </w:r>
          </w:p>
        </w:tc>
        <w:tc>
          <w:tcPr>
            <w:tcW w:type="dxa" w:w="2045"/>
          </w:tcPr>
          <w:p>
            <w:pPr>
              <w:spacing w:after="0"/>
            </w:pPr>
            <w:r>
              <w:rPr>
                <w:rFonts w:ascii="Arial" w:hAnsi="Arial"/>
                <w:b w:val="0"/>
                <w:sz w:val="14"/>
              </w:rPr>
              <w:t>Malicious user input altering agent behavior, instruction override, goal hijacking</w:t>
            </w:r>
          </w:p>
        </w:tc>
        <w:tc>
          <w:tcPr>
            <w:tcW w:type="dxa" w:w="2045"/>
          </w:tcPr>
          <w:p>
            <w:pPr>
              <w:spacing w:after="0"/>
            </w:pPr>
            <w:r>
              <w:rPr>
                <w:rFonts w:ascii="Arial" w:hAnsi="Arial"/>
                <w:b w:val="0"/>
                <w:sz w:val="14"/>
              </w:rPr>
              <w:t>Authority boundary object, accepted outcome state, evidence partition</w:t>
            </w:r>
          </w:p>
        </w:tc>
        <w:tc>
          <w:tcPr>
            <w:tcW w:type="dxa" w:w="2045"/>
          </w:tcPr>
          <w:p>
            <w:pPr>
              <w:spacing w:after="0"/>
            </w:pPr>
            <w:r>
              <w:rPr>
                <w:rFonts w:ascii="Arial" w:hAnsi="Arial"/>
                <w:b w:val="0"/>
                <w:sz w:val="14"/>
              </w:rPr>
              <w:t>MRO-02, MRO-04, MRO-08</w:t>
            </w:r>
          </w:p>
        </w:tc>
        <w:tc>
          <w:tcPr>
            <w:tcW w:type="dxa" w:w="2045"/>
          </w:tcPr>
          <w:p>
            <w:pPr>
              <w:spacing w:after="0"/>
            </w:pPr>
            <w:r>
              <w:rPr>
                <w:rFonts w:ascii="Arial" w:hAnsi="Arial"/>
                <w:b w:val="0"/>
                <w:sz w:val="14"/>
              </w:rPr>
              <w:t>Authority boundary violation log, accepted outcome rejection record, evidence partition integrity check</w:t>
            </w:r>
          </w:p>
        </w:tc>
      </w:tr>
      <w:tr>
        <w:tc>
          <w:tcPr>
            <w:tcW w:type="dxa" w:w="2045"/>
          </w:tcPr>
          <w:p>
            <w:pPr>
              <w:spacing w:after="0"/>
            </w:pPr>
            <w:r>
              <w:rPr>
                <w:rFonts w:ascii="Arial" w:hAnsi="Arial"/>
                <w:b w:val="0"/>
                <w:sz w:val="14"/>
              </w:rPr>
              <w:t>Tool Misuse Prevention</w:t>
            </w:r>
          </w:p>
        </w:tc>
        <w:tc>
          <w:tcPr>
            <w:tcW w:type="dxa" w:w="2045"/>
          </w:tcPr>
          <w:p>
            <w:pPr>
              <w:spacing w:after="0"/>
            </w:pPr>
            <w:r>
              <w:rPr>
                <w:rFonts w:ascii="Arial" w:hAnsi="Arial"/>
                <w:b w:val="0"/>
                <w:sz w:val="14"/>
              </w:rPr>
              <w:t>Agent invoking unauthorized tools, tool action exceeding delegated scope, tool credential theft</w:t>
            </w:r>
          </w:p>
        </w:tc>
        <w:tc>
          <w:tcPr>
            <w:tcW w:type="dxa" w:w="2045"/>
          </w:tcPr>
          <w:p>
            <w:pPr>
              <w:spacing w:after="0"/>
            </w:pPr>
            <w:r>
              <w:rPr>
                <w:rFonts w:ascii="Arial" w:hAnsi="Arial"/>
                <w:b w:val="0"/>
                <w:sz w:val="14"/>
              </w:rPr>
              <w:t>Tool-action liability boundary, authority boundary object, tool credential registry</w:t>
            </w:r>
          </w:p>
        </w:tc>
        <w:tc>
          <w:tcPr>
            <w:tcW w:type="dxa" w:w="2045"/>
          </w:tcPr>
          <w:p>
            <w:pPr>
              <w:spacing w:after="0"/>
            </w:pPr>
            <w:r>
              <w:rPr>
                <w:rFonts w:ascii="Arial" w:hAnsi="Arial"/>
                <w:b w:val="0"/>
                <w:sz w:val="14"/>
              </w:rPr>
              <w:t>MRO-02, MRO-05</w:t>
            </w:r>
          </w:p>
        </w:tc>
        <w:tc>
          <w:tcPr>
            <w:tcW w:type="dxa" w:w="2045"/>
          </w:tcPr>
          <w:p>
            <w:pPr>
              <w:spacing w:after="0"/>
            </w:pPr>
            <w:r>
              <w:rPr>
                <w:rFonts w:ascii="Arial" w:hAnsi="Arial"/>
                <w:b w:val="0"/>
                <w:sz w:val="14"/>
              </w:rPr>
              <w:t>Tool-action authorization log, tool-action liability record, credential access audit trail</w:t>
            </w:r>
          </w:p>
        </w:tc>
      </w:tr>
      <w:tr>
        <w:tc>
          <w:tcPr>
            <w:tcW w:type="dxa" w:w="2045"/>
          </w:tcPr>
          <w:p>
            <w:pPr>
              <w:spacing w:after="0"/>
            </w:pPr>
            <w:r>
              <w:rPr>
                <w:rFonts w:ascii="Arial" w:hAnsi="Arial"/>
                <w:b w:val="0"/>
                <w:sz w:val="14"/>
              </w:rPr>
              <w:t>Credential Management</w:t>
            </w:r>
          </w:p>
        </w:tc>
        <w:tc>
          <w:tcPr>
            <w:tcW w:type="dxa" w:w="2045"/>
          </w:tcPr>
          <w:p>
            <w:pPr>
              <w:spacing w:after="0"/>
            </w:pPr>
            <w:r>
              <w:rPr>
                <w:rFonts w:ascii="Arial" w:hAnsi="Arial"/>
                <w:b w:val="0"/>
                <w:sz w:val="14"/>
              </w:rPr>
              <w:t>API key theft, tool credential exfiltration, authority token compromise</w:t>
            </w:r>
          </w:p>
        </w:tc>
        <w:tc>
          <w:tcPr>
            <w:tcW w:type="dxa" w:w="2045"/>
          </w:tcPr>
          <w:p>
            <w:pPr>
              <w:spacing w:after="0"/>
            </w:pPr>
            <w:r>
              <w:rPr>
                <w:rFonts w:ascii="Arial" w:hAnsi="Arial"/>
                <w:b w:val="0"/>
                <w:sz w:val="14"/>
              </w:rPr>
              <w:t>Agent identity lifecycle record, tool credential registry, processor chain record</w:t>
            </w:r>
          </w:p>
        </w:tc>
        <w:tc>
          <w:tcPr>
            <w:tcW w:type="dxa" w:w="2045"/>
          </w:tcPr>
          <w:p>
            <w:pPr>
              <w:spacing w:after="0"/>
            </w:pPr>
            <w:r>
              <w:rPr>
                <w:rFonts w:ascii="Arial" w:hAnsi="Arial"/>
                <w:b w:val="0"/>
                <w:sz w:val="14"/>
              </w:rPr>
              <w:t>MRO-01, MRO-05, MRO-14</w:t>
            </w:r>
          </w:p>
        </w:tc>
        <w:tc>
          <w:tcPr>
            <w:tcW w:type="dxa" w:w="2045"/>
          </w:tcPr>
          <w:p>
            <w:pPr>
              <w:spacing w:after="0"/>
            </w:pPr>
            <w:r>
              <w:rPr>
                <w:rFonts w:ascii="Arial" w:hAnsi="Arial"/>
                <w:b w:val="0"/>
                <w:sz w:val="14"/>
              </w:rPr>
              <w:t>Credential rotation log, credential access audit trail, processor chain validation</w:t>
            </w:r>
          </w:p>
        </w:tc>
      </w:tr>
      <w:tr>
        <w:tc>
          <w:tcPr>
            <w:tcW w:type="dxa" w:w="2045"/>
          </w:tcPr>
          <w:p>
            <w:pPr>
              <w:spacing w:after="0"/>
            </w:pPr>
            <w:r>
              <w:rPr>
                <w:rFonts w:ascii="Arial" w:hAnsi="Arial"/>
                <w:b w:val="0"/>
                <w:sz w:val="14"/>
              </w:rPr>
              <w:t>Data Exfiltration Prevention</w:t>
            </w:r>
          </w:p>
        </w:tc>
        <w:tc>
          <w:tcPr>
            <w:tcW w:type="dxa" w:w="2045"/>
          </w:tcPr>
          <w:p>
            <w:pPr>
              <w:spacing w:after="0"/>
            </w:pPr>
            <w:r>
              <w:rPr>
                <w:rFonts w:ascii="Arial" w:hAnsi="Arial"/>
                <w:b w:val="0"/>
                <w:sz w:val="14"/>
              </w:rPr>
              <w:t>Agent accessing data beyond delegated scope, unauthorized data transmission, privacy boundary violation</w:t>
            </w:r>
          </w:p>
        </w:tc>
        <w:tc>
          <w:tcPr>
            <w:tcW w:type="dxa" w:w="2045"/>
          </w:tcPr>
          <w:p>
            <w:pPr>
              <w:spacing w:after="0"/>
            </w:pPr>
            <w:r>
              <w:rPr>
                <w:rFonts w:ascii="Arial" w:hAnsi="Arial"/>
                <w:b w:val="0"/>
                <w:sz w:val="14"/>
              </w:rPr>
              <w:t>Privacy lifecycle map, evidence partition, data subject rights reconciliation record</w:t>
            </w:r>
          </w:p>
        </w:tc>
        <w:tc>
          <w:tcPr>
            <w:tcW w:type="dxa" w:w="2045"/>
          </w:tcPr>
          <w:p>
            <w:pPr>
              <w:spacing w:after="0"/>
            </w:pPr>
            <w:r>
              <w:rPr>
                <w:rFonts w:ascii="Arial" w:hAnsi="Arial"/>
                <w:b w:val="0"/>
                <w:sz w:val="14"/>
              </w:rPr>
              <w:t>MRO-08, MRO-10, MRO-13</w:t>
            </w:r>
          </w:p>
        </w:tc>
        <w:tc>
          <w:tcPr>
            <w:tcW w:type="dxa" w:w="2045"/>
          </w:tcPr>
          <w:p>
            <w:pPr>
              <w:spacing w:after="0"/>
            </w:pPr>
            <w:r>
              <w:rPr>
                <w:rFonts w:ascii="Arial" w:hAnsi="Arial"/>
                <w:b w:val="0"/>
                <w:sz w:val="14"/>
              </w:rPr>
              <w:t>Data access audit trail, evidence partition integrity check, privacy boundary violation log</w:t>
            </w:r>
          </w:p>
        </w:tc>
      </w:tr>
      <w:tr>
        <w:tc>
          <w:tcPr>
            <w:tcW w:type="dxa" w:w="2045"/>
          </w:tcPr>
          <w:p>
            <w:pPr>
              <w:spacing w:after="0"/>
            </w:pPr>
            <w:r>
              <w:rPr>
                <w:rFonts w:ascii="Arial" w:hAnsi="Arial"/>
                <w:b w:val="0"/>
                <w:sz w:val="14"/>
              </w:rPr>
              <w:t>Audit Trail Integrity</w:t>
            </w:r>
          </w:p>
        </w:tc>
        <w:tc>
          <w:tcPr>
            <w:tcW w:type="dxa" w:w="2045"/>
          </w:tcPr>
          <w:p>
            <w:pPr>
              <w:spacing w:after="0"/>
            </w:pPr>
            <w:r>
              <w:rPr>
                <w:rFonts w:ascii="Arial" w:hAnsi="Arial"/>
                <w:b w:val="0"/>
                <w:sz w:val="14"/>
              </w:rPr>
              <w:t>Evidence tampering, log manipulation, responsibility chain corruption</w:t>
            </w:r>
          </w:p>
        </w:tc>
        <w:tc>
          <w:tcPr>
            <w:tcW w:type="dxa" w:w="2045"/>
          </w:tcPr>
          <w:p>
            <w:pPr>
              <w:spacing w:after="0"/>
            </w:pPr>
            <w:r>
              <w:rPr>
                <w:rFonts w:ascii="Arial" w:hAnsi="Arial"/>
                <w:b w:val="0"/>
                <w:sz w:val="14"/>
              </w:rPr>
              <w:t>Evidence partition, incident closure record, accepted outcome state</w:t>
            </w:r>
          </w:p>
        </w:tc>
        <w:tc>
          <w:tcPr>
            <w:tcW w:type="dxa" w:w="2045"/>
          </w:tcPr>
          <w:p>
            <w:pPr>
              <w:spacing w:after="0"/>
            </w:pPr>
            <w:r>
              <w:rPr>
                <w:rFonts w:ascii="Arial" w:hAnsi="Arial"/>
                <w:b w:val="0"/>
                <w:sz w:val="14"/>
              </w:rPr>
              <w:t>MRO-04, MRO-08, MRO-16</w:t>
            </w:r>
          </w:p>
        </w:tc>
        <w:tc>
          <w:tcPr>
            <w:tcW w:type="dxa" w:w="2045"/>
          </w:tcPr>
          <w:p>
            <w:pPr>
              <w:spacing w:after="0"/>
            </w:pPr>
            <w:r>
              <w:rPr>
                <w:rFonts w:ascii="Arial" w:hAnsi="Arial"/>
                <w:b w:val="0"/>
                <w:sz w:val="14"/>
              </w:rPr>
              <w:t>Evidence integrity hash, audit trail validation log, incident closure record</w:t>
            </w:r>
          </w:p>
        </w:tc>
      </w:tr>
      <w:tr>
        <w:tc>
          <w:tcPr>
            <w:tcW w:type="dxa" w:w="2045"/>
          </w:tcPr>
          <w:p>
            <w:pPr>
              <w:spacing w:after="0"/>
            </w:pPr>
            <w:r>
              <w:rPr>
                <w:rFonts w:ascii="Arial" w:hAnsi="Arial"/>
                <w:b w:val="0"/>
                <w:sz w:val="14"/>
              </w:rPr>
              <w:t>Supply-Chain Integrity</w:t>
            </w:r>
          </w:p>
        </w:tc>
        <w:tc>
          <w:tcPr>
            <w:tcW w:type="dxa" w:w="2045"/>
          </w:tcPr>
          <w:p>
            <w:pPr>
              <w:spacing w:after="0"/>
            </w:pPr>
            <w:r>
              <w:rPr>
                <w:rFonts w:ascii="Arial" w:hAnsi="Arial"/>
                <w:b w:val="0"/>
                <w:sz w:val="14"/>
              </w:rPr>
              <w:t>Compromised model provider, malicious tool plugin, subprocessor data breach</w:t>
            </w:r>
          </w:p>
        </w:tc>
        <w:tc>
          <w:tcPr>
            <w:tcW w:type="dxa" w:w="2045"/>
          </w:tcPr>
          <w:p>
            <w:pPr>
              <w:spacing w:after="0"/>
            </w:pPr>
            <w:r>
              <w:rPr>
                <w:rFonts w:ascii="Arial" w:hAnsi="Arial"/>
                <w:b w:val="0"/>
                <w:sz w:val="14"/>
              </w:rPr>
              <w:t>Processor chain record, vendor substitution conformance test, model version registry</w:t>
            </w:r>
          </w:p>
        </w:tc>
        <w:tc>
          <w:tcPr>
            <w:tcW w:type="dxa" w:w="2045"/>
          </w:tcPr>
          <w:p>
            <w:pPr>
              <w:spacing w:after="0"/>
            </w:pPr>
            <w:r>
              <w:rPr>
                <w:rFonts w:ascii="Arial" w:hAnsi="Arial"/>
                <w:b w:val="0"/>
                <w:sz w:val="14"/>
              </w:rPr>
              <w:t>MRO-14, MRO-15</w:t>
            </w:r>
          </w:p>
        </w:tc>
        <w:tc>
          <w:tcPr>
            <w:tcW w:type="dxa" w:w="2045"/>
          </w:tcPr>
          <w:p>
            <w:pPr>
              <w:spacing w:after="0"/>
            </w:pPr>
            <w:r>
              <w:rPr>
                <w:rFonts w:ascii="Arial" w:hAnsi="Arial"/>
                <w:b w:val="0"/>
                <w:sz w:val="14"/>
              </w:rPr>
              <w:t>Processor chain validation log, vendor substitution test result, model version integrity check</w:t>
            </w:r>
          </w:p>
        </w:tc>
      </w:tr>
      <w:tr>
        <w:tc>
          <w:tcPr>
            <w:tcW w:type="dxa" w:w="2045"/>
          </w:tcPr>
          <w:p>
            <w:pPr>
              <w:spacing w:after="0"/>
            </w:pPr>
            <w:r>
              <w:rPr>
                <w:rFonts w:ascii="Arial" w:hAnsi="Arial"/>
                <w:b w:val="0"/>
                <w:sz w:val="14"/>
              </w:rPr>
              <w:t>Incident Response Linkage</w:t>
            </w:r>
          </w:p>
        </w:tc>
        <w:tc>
          <w:tcPr>
            <w:tcW w:type="dxa" w:w="2045"/>
          </w:tcPr>
          <w:p>
            <w:pPr>
              <w:spacing w:after="0"/>
            </w:pPr>
            <w:r>
              <w:rPr>
                <w:rFonts w:ascii="Arial" w:hAnsi="Arial"/>
                <w:b w:val="0"/>
                <w:sz w:val="14"/>
              </w:rPr>
              <w:t>Agentic incident detection, responsibility assignment, evidence reconstruction, remediation closure</w:t>
            </w:r>
          </w:p>
        </w:tc>
        <w:tc>
          <w:tcPr>
            <w:tcW w:type="dxa" w:w="2045"/>
          </w:tcPr>
          <w:p>
            <w:pPr>
              <w:spacing w:after="0"/>
            </w:pPr>
            <w:r>
              <w:rPr>
                <w:rFonts w:ascii="Arial" w:hAnsi="Arial"/>
                <w:b w:val="0"/>
                <w:sz w:val="14"/>
              </w:rPr>
              <w:t>Incident closure record, accepted outcome state, evidence partition, role-responsibility map</w:t>
            </w:r>
          </w:p>
        </w:tc>
        <w:tc>
          <w:tcPr>
            <w:tcW w:type="dxa" w:w="2045"/>
          </w:tcPr>
          <w:p>
            <w:pPr>
              <w:spacing w:after="0"/>
            </w:pPr>
            <w:r>
              <w:rPr>
                <w:rFonts w:ascii="Arial" w:hAnsi="Arial"/>
                <w:b w:val="0"/>
                <w:sz w:val="14"/>
              </w:rPr>
              <w:t>MRO-01, MRO-04, MRO-08, MRO-16</w:t>
            </w:r>
          </w:p>
        </w:tc>
        <w:tc>
          <w:tcPr>
            <w:tcW w:type="dxa" w:w="2045"/>
          </w:tcPr>
          <w:p>
            <w:pPr>
              <w:spacing w:after="0"/>
            </w:pPr>
            <w:r>
              <w:rPr>
                <w:rFonts w:ascii="Arial" w:hAnsi="Arial"/>
                <w:b w:val="0"/>
                <w:sz w:val="14"/>
              </w:rPr>
              <w:t>Incident closure record, responsibility assignment log, evidence reconstruction report, remediation acceptance record</w:t>
            </w:r>
          </w:p>
        </w:tc>
      </w:tr>
    </w:tbl>
    <w:p>
      <w:pPr>
        <w:spacing w:after="56"/>
      </w:pPr>
      <w:r>
        <w:t>Interpretation: Cybersecurity controls in agentic systems must preserve lifecycle governance structures under attack. Traditional cybersecurity controls protect infrastructure, credentials, and data. Agentic cybersecurity controls must also protect authority boundaries, responsibility chains, evidence partitions, and accepted outcome states.</w:t>
      </w:r>
    </w:p>
    <w:p>
      <w:pPr>
        <w:pStyle w:val="Heading3"/>
      </w:pPr>
      <w:r>
        <w:t>10.4.3 Integration Note</w:t>
      </w:r>
    </w:p>
    <w:p>
      <w:pPr>
        <w:spacing w:after="56"/>
      </w:pPr>
      <w:r>
        <w:t>Cybersecurity and lifecycle governance are complementary layers, not substitutes. Cybersecurity controls without lifecycle governance cannot answer who authorized, executed, reviewed, and accepted agentic work. Lifecycle governance without cybersecurity controls cannot protect authority, credentials, tools, evidence, and data under attack. Neither replaces the other. Both must be present for enterprise-grade agentic AI.</w:t>
      </w:r>
    </w:p>
    <w:p>
      <w:pPr>
        <w:spacing w:after="56"/>
      </w:pPr>
      <w:r>
        <w:t>Boundary: This section is a governance crosswalk, not a cybersecurity audit framework, penetration testing guide, or security certification procedure. Detailed cybersecurity assurance procedures for agentic systems are reserved for companion papers, as outlined in Chapter 16.</w:t>
      </w:r>
    </w:p>
    <w:p>
      <w:pPr>
        <w:pStyle w:val="Heading2"/>
      </w:pPr>
      <w:r>
        <w:t>10.5 Board Reporting and Governance Escalation</w:t>
      </w:r>
    </w:p>
    <w:p>
      <w:pPr>
        <w:pStyle w:val="Heading3"/>
      </w:pPr>
      <w:r>
        <w:t>10.5.1 What Boards Need to Know About Agentic AI</w:t>
      </w:r>
    </w:p>
    <w:p>
      <w:pPr>
        <w:spacing w:after="56"/>
      </w:pPr>
      <w:r>
        <w:t>Boards of directors are increasingly responsible for AI risk oversight. The EU AI Act Article 9 requires high-risk AI system providers to establish quality management systems with board-level accountability. The NIST AI Risk Management Framework emphasizes governance as the foundational function, requiring senior leadership and board engagement in AI risk decisions. SEC cybersecurity disclosure rules establish precedent for board-level oversight of technology risk, including emerging risks from AI systems.</w:t>
      </w:r>
    </w:p>
    <w:p>
      <w:pPr>
        <w:spacing w:after="56"/>
      </w:pPr>
      <w:r>
        <w:t>Agentic AI creates new board-level concerns that traditional AI risk reporting does not address. Boards must understand lifecycle accountability gaps, unresolved disputes, remediation failures, and privacy incidents in agentic systems. Traditional AI risk reporting focuses on model performance, bias metrics, and deployment status. Agentic AI risk reporting must address: Who authorized this agent to execute? What authority boundary was violated? Which disputes remain unresolved? Which remediation actions were accepted or rejected? Which privacy incidents occurred during agent execution?</w:t>
      </w:r>
    </w:p>
    <w:p>
      <w:pPr>
        <w:spacing w:after="56"/>
      </w:pPr>
      <w:r>
        <w:t>The key question for board reporting is: Can the board receive lifecycle status as a structured, auditable, reproducible report? Without lifecycle governance, board reporting on agentic AI becomes anecdotal, inconsistent, and non-auditable. With lifecycle governance, board reporting can be structured around RCCS coverage, ALCS conformance, open disputes, remediation closure rates, and privacy incident summaries.</w:t>
      </w:r>
    </w:p>
    <w:p>
      <w:pPr>
        <w:pStyle w:val="Heading3"/>
      </w:pPr>
      <w:r>
        <w:t>10.5.2 Board-Level Reporting Elements</w:t>
      </w:r>
    </w:p>
    <w:p>
      <w:pPr>
        <w:spacing w:after="56"/>
      </w:pPr>
      <w:r>
        <w:t>The following table defines board-level reporting elements for agentic AI, mapped to lifecycle object sources, reporting frequency, escalation triggers, and regulatory drivers.</w:t>
      </w:r>
    </w:p>
    <w:p>
      <w:pPr>
        <w:keepNext/>
      </w:pPr>
      <w:r>
        <w:rPr>
          <w:b/>
          <w:sz w:val="16"/>
        </w:rPr>
        <w:t>Table T-10-04: Board Reporting Elements for Agentic AI</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Reporting Element</w:t>
            </w:r>
          </w:p>
        </w:tc>
        <w:tc>
          <w:tcPr>
            <w:tcW w:type="dxa" w:w="2045"/>
          </w:tcPr>
          <w:p>
            <w:pPr>
              <w:spacing w:after="0"/>
            </w:pPr>
            <w:r>
              <w:rPr>
                <w:rFonts w:ascii="Arial" w:hAnsi="Arial"/>
                <w:b/>
                <w:sz w:val="14"/>
              </w:rPr>
              <w:t>Lifecycle Object Source</w:t>
            </w:r>
          </w:p>
        </w:tc>
        <w:tc>
          <w:tcPr>
            <w:tcW w:type="dxa" w:w="2045"/>
          </w:tcPr>
          <w:p>
            <w:pPr>
              <w:spacing w:after="0"/>
            </w:pPr>
            <w:r>
              <w:rPr>
                <w:rFonts w:ascii="Arial" w:hAnsi="Arial"/>
                <w:b/>
                <w:sz w:val="14"/>
              </w:rPr>
              <w:t>Frequency</w:t>
            </w:r>
          </w:p>
        </w:tc>
        <w:tc>
          <w:tcPr>
            <w:tcW w:type="dxa" w:w="2045"/>
          </w:tcPr>
          <w:p>
            <w:pPr>
              <w:spacing w:after="0"/>
            </w:pPr>
            <w:r>
              <w:rPr>
                <w:rFonts w:ascii="Arial" w:hAnsi="Arial"/>
                <w:b/>
                <w:sz w:val="14"/>
              </w:rPr>
              <w:t>Escalation Trigger</w:t>
            </w:r>
          </w:p>
        </w:tc>
        <w:tc>
          <w:tcPr>
            <w:tcW w:type="dxa" w:w="2045"/>
          </w:tcPr>
          <w:p>
            <w:pPr>
              <w:spacing w:after="0"/>
            </w:pPr>
            <w:r>
              <w:rPr>
                <w:rFonts w:ascii="Arial" w:hAnsi="Arial"/>
                <w:b/>
                <w:sz w:val="14"/>
              </w:rPr>
              <w:t>Regulatory Driver</w:t>
            </w:r>
          </w:p>
        </w:tc>
      </w:tr>
      <w:tr>
        <w:tc>
          <w:tcPr>
            <w:tcW w:type="dxa" w:w="2045"/>
          </w:tcPr>
          <w:p>
            <w:pPr>
              <w:spacing w:after="0"/>
            </w:pPr>
            <w:r>
              <w:rPr>
                <w:rFonts w:ascii="Arial" w:hAnsi="Arial"/>
                <w:b w:val="0"/>
                <w:sz w:val="14"/>
              </w:rPr>
              <w:t>Lifecycle Accountability Summary</w:t>
            </w:r>
          </w:p>
        </w:tc>
        <w:tc>
          <w:tcPr>
            <w:tcW w:type="dxa" w:w="2045"/>
          </w:tcPr>
          <w:p>
            <w:pPr>
              <w:spacing w:after="0"/>
            </w:pPr>
            <w:r>
              <w:rPr>
                <w:rFonts w:ascii="Arial" w:hAnsi="Arial"/>
                <w:b w:val="0"/>
                <w:sz w:val="14"/>
              </w:rPr>
              <w:t>RCCS baseline score, ALCS conformance score, role-responsibility map coverage</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RCCS score below threshold, ALCS score degradation, accountability gap in high-risk system</w:t>
            </w:r>
          </w:p>
        </w:tc>
        <w:tc>
          <w:tcPr>
            <w:tcW w:type="dxa" w:w="2045"/>
          </w:tcPr>
          <w:p>
            <w:pPr>
              <w:spacing w:after="0"/>
            </w:pPr>
            <w:r>
              <w:rPr>
                <w:rFonts w:ascii="Arial" w:hAnsi="Arial"/>
                <w:b w:val="0"/>
                <w:sz w:val="14"/>
              </w:rPr>
              <w:t>EU AI Act Art. 9 (quality management), NIST AI RMF Govern function</w:t>
            </w:r>
          </w:p>
        </w:tc>
      </w:tr>
      <w:tr>
        <w:tc>
          <w:tcPr>
            <w:tcW w:type="dxa" w:w="2045"/>
          </w:tcPr>
          <w:p>
            <w:pPr>
              <w:spacing w:after="0"/>
            </w:pPr>
            <w:r>
              <w:rPr>
                <w:rFonts w:ascii="Arial" w:hAnsi="Arial"/>
                <w:b w:val="0"/>
                <w:sz w:val="14"/>
              </w:rPr>
              <w:t>Open Dispute Register</w:t>
            </w:r>
          </w:p>
        </w:tc>
        <w:tc>
          <w:tcPr>
            <w:tcW w:type="dxa" w:w="2045"/>
          </w:tcPr>
          <w:p>
            <w:pPr>
              <w:spacing w:after="0"/>
            </w:pPr>
            <w:r>
              <w:rPr>
                <w:rFonts w:ascii="Arial" w:hAnsi="Arial"/>
                <w:b w:val="0"/>
                <w:sz w:val="14"/>
              </w:rPr>
              <w:t>Dispute resolution record, accepted outcome state, incident closure record</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Dispute unresolved beyond SLA, dispute involving high-risk system, dispute escalated to external authority</w:t>
            </w:r>
          </w:p>
        </w:tc>
        <w:tc>
          <w:tcPr>
            <w:tcW w:type="dxa" w:w="2045"/>
          </w:tcPr>
          <w:p>
            <w:pPr>
              <w:spacing w:after="0"/>
            </w:pPr>
            <w:r>
              <w:rPr>
                <w:rFonts w:ascii="Arial" w:hAnsi="Arial"/>
                <w:b w:val="0"/>
                <w:sz w:val="14"/>
              </w:rPr>
              <w:t>EU AI Act Art. 72 (dispute resolution), GDPR Art. 79 (right to judicial remedy)</w:t>
            </w:r>
          </w:p>
        </w:tc>
      </w:tr>
      <w:tr>
        <w:tc>
          <w:tcPr>
            <w:tcW w:type="dxa" w:w="2045"/>
          </w:tcPr>
          <w:p>
            <w:pPr>
              <w:spacing w:after="0"/>
            </w:pPr>
            <w:r>
              <w:rPr>
                <w:rFonts w:ascii="Arial" w:hAnsi="Arial"/>
                <w:b w:val="0"/>
                <w:sz w:val="14"/>
              </w:rPr>
              <w:t>Remediation Closure Rate</w:t>
            </w:r>
          </w:p>
        </w:tc>
        <w:tc>
          <w:tcPr>
            <w:tcW w:type="dxa" w:w="2045"/>
          </w:tcPr>
          <w:p>
            <w:pPr>
              <w:spacing w:after="0"/>
            </w:pPr>
            <w:r>
              <w:rPr>
                <w:rFonts w:ascii="Arial" w:hAnsi="Arial"/>
                <w:b w:val="0"/>
                <w:sz w:val="14"/>
              </w:rPr>
              <w:t>Incident closure record, accepted outcome state, remediation record</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Remediation closure rate below threshold, high-severity incident unresolved, remediation rejected by human authority</w:t>
            </w:r>
          </w:p>
        </w:tc>
        <w:tc>
          <w:tcPr>
            <w:tcW w:type="dxa" w:w="2045"/>
          </w:tcPr>
          <w:p>
            <w:pPr>
              <w:spacing w:after="0"/>
            </w:pPr>
            <w:r>
              <w:rPr>
                <w:rFonts w:ascii="Arial" w:hAnsi="Arial"/>
                <w:b w:val="0"/>
                <w:sz w:val="14"/>
              </w:rPr>
              <w:t>NIST AI RMF Manage function, EU AI Act Art. 9 (corrective actions)</w:t>
            </w:r>
          </w:p>
        </w:tc>
      </w:tr>
      <w:tr>
        <w:tc>
          <w:tcPr>
            <w:tcW w:type="dxa" w:w="2045"/>
          </w:tcPr>
          <w:p>
            <w:pPr>
              <w:spacing w:after="0"/>
            </w:pPr>
            <w:r>
              <w:rPr>
                <w:rFonts w:ascii="Arial" w:hAnsi="Arial"/>
                <w:b w:val="0"/>
                <w:sz w:val="14"/>
              </w:rPr>
              <w:t>Privacy Incident Summary</w:t>
            </w:r>
          </w:p>
        </w:tc>
        <w:tc>
          <w:tcPr>
            <w:tcW w:type="dxa" w:w="2045"/>
          </w:tcPr>
          <w:p>
            <w:pPr>
              <w:spacing w:after="0"/>
            </w:pPr>
            <w:r>
              <w:rPr>
                <w:rFonts w:ascii="Arial" w:hAnsi="Arial"/>
                <w:b w:val="0"/>
                <w:sz w:val="14"/>
              </w:rPr>
              <w:t>Privacy lifecycle map, data subject rights reconciliation record, evidence partition, incident closure record</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Privacy incident involving personal data breach, data subject rights request unresolved, cross-border data transfer violation</w:t>
            </w:r>
          </w:p>
        </w:tc>
        <w:tc>
          <w:tcPr>
            <w:tcW w:type="dxa" w:w="2045"/>
          </w:tcPr>
          <w:p>
            <w:pPr>
              <w:spacing w:after="0"/>
            </w:pPr>
            <w:r>
              <w:rPr>
                <w:rFonts w:ascii="Arial" w:hAnsi="Arial"/>
                <w:b w:val="0"/>
                <w:sz w:val="14"/>
              </w:rPr>
              <w:t>GDPR Art. 33-34 (breach notification), EU AI Act Art. 10 (data governance)</w:t>
            </w:r>
          </w:p>
        </w:tc>
      </w:tr>
      <w:tr>
        <w:tc>
          <w:tcPr>
            <w:tcW w:type="dxa" w:w="2045"/>
          </w:tcPr>
          <w:p>
            <w:pPr>
              <w:spacing w:after="0"/>
            </w:pPr>
            <w:r>
              <w:rPr>
                <w:rFonts w:ascii="Arial" w:hAnsi="Arial"/>
                <w:b w:val="0"/>
                <w:sz w:val="14"/>
              </w:rPr>
              <w:t>Vendor and Tool Substitution Log</w:t>
            </w:r>
          </w:p>
        </w:tc>
        <w:tc>
          <w:tcPr>
            <w:tcW w:type="dxa" w:w="2045"/>
          </w:tcPr>
          <w:p>
            <w:pPr>
              <w:spacing w:after="0"/>
            </w:pPr>
            <w:r>
              <w:rPr>
                <w:rFonts w:ascii="Arial" w:hAnsi="Arial"/>
                <w:b w:val="0"/>
                <w:sz w:val="14"/>
              </w:rPr>
              <w:t>Vendor substitution conformance test, processor chain record, model version registry</w:t>
            </w:r>
          </w:p>
        </w:tc>
        <w:tc>
          <w:tcPr>
            <w:tcW w:type="dxa" w:w="2045"/>
          </w:tcPr>
          <w:p>
            <w:pPr>
              <w:spacing w:after="0"/>
            </w:pPr>
            <w:r>
              <w:rPr>
                <w:rFonts w:ascii="Arial" w:hAnsi="Arial"/>
                <w:b w:val="0"/>
                <w:sz w:val="14"/>
              </w:rPr>
              <w:t>Semi-annually</w:t>
            </w:r>
          </w:p>
        </w:tc>
        <w:tc>
          <w:tcPr>
            <w:tcW w:type="dxa" w:w="2045"/>
          </w:tcPr>
          <w:p>
            <w:pPr>
              <w:spacing w:after="0"/>
            </w:pPr>
            <w:r>
              <w:rPr>
                <w:rFonts w:ascii="Arial" w:hAnsi="Arial"/>
                <w:b w:val="0"/>
                <w:sz w:val="14"/>
              </w:rPr>
              <w:t>Vendor lock-in risk identified, substitution test failure, processor chain integrity violation</w:t>
            </w:r>
          </w:p>
        </w:tc>
        <w:tc>
          <w:tcPr>
            <w:tcW w:type="dxa" w:w="2045"/>
          </w:tcPr>
          <w:p>
            <w:pPr>
              <w:spacing w:after="0"/>
            </w:pPr>
            <w:r>
              <w:rPr>
                <w:rFonts w:ascii="Arial" w:hAnsi="Arial"/>
                <w:b w:val="0"/>
                <w:sz w:val="14"/>
              </w:rPr>
              <w:t>EU AI Act Art. 25 (obligations of importers), Art. 28 (obligations of distributors), DORA Art. 28 (ICT third-party risk)</w:t>
            </w:r>
          </w:p>
        </w:tc>
      </w:tr>
      <w:tr>
        <w:tc>
          <w:tcPr>
            <w:tcW w:type="dxa" w:w="2045"/>
          </w:tcPr>
          <w:p>
            <w:pPr>
              <w:spacing w:after="0"/>
            </w:pPr>
            <w:r>
              <w:rPr>
                <w:rFonts w:ascii="Arial" w:hAnsi="Arial"/>
                <w:b w:val="0"/>
                <w:sz w:val="14"/>
              </w:rPr>
              <w:t>Drift and Remediation Status</w:t>
            </w:r>
          </w:p>
        </w:tc>
        <w:tc>
          <w:tcPr>
            <w:tcW w:type="dxa" w:w="2045"/>
          </w:tcPr>
          <w:p>
            <w:pPr>
              <w:spacing w:after="0"/>
            </w:pPr>
            <w:r>
              <w:rPr>
                <w:rFonts w:ascii="Arial" w:hAnsi="Arial"/>
                <w:b w:val="0"/>
                <w:sz w:val="14"/>
              </w:rPr>
              <w:t>Authority drift detection log, monitoring record, incident/remediation closure record</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Authority drift detected in high-risk system, remediation unresolved, improvement actions stalled</w:t>
            </w:r>
          </w:p>
        </w:tc>
        <w:tc>
          <w:tcPr>
            <w:tcW w:type="dxa" w:w="2045"/>
          </w:tcPr>
          <w:p>
            <w:pPr>
              <w:spacing w:after="0"/>
            </w:pPr>
            <w:r>
              <w:rPr>
                <w:rFonts w:ascii="Arial" w:hAnsi="Arial"/>
                <w:b w:val="0"/>
                <w:sz w:val="14"/>
              </w:rPr>
              <w:t>NIST AI RMF Measure function, EU AI Act Art. 9 (monitoring and logging)</w:t>
            </w:r>
          </w:p>
        </w:tc>
      </w:tr>
    </w:tbl>
    <w:p>
      <w:pPr>
        <w:spacing w:after="56"/>
      </w:pPr>
      <w:r>
        <w:t>Interpretation: Board reporting for agentic AI must be structured, auditable, and reproducible. Lifecycle governance objects provide the data sources for board-level risk reporting. Boards should receive lifecycle accountability summaries, not only model performance metrics.</w:t>
      </w:r>
    </w:p>
    <w:p>
      <w:pPr>
        <w:pStyle w:val="Heading3"/>
      </w:pPr>
      <w:r>
        <w:t>10.5.3 Escalation Note</w:t>
      </w:r>
    </w:p>
    <w:p>
      <w:pPr>
        <w:spacing w:after="56"/>
      </w:pPr>
      <w:r>
        <w:t>Not all lifecycle governance issues require board escalation. Management reporting addresses routine lifecycle conformance, evidence validation, and remediation closure. Board escalation is triggered when lifecycle accountability gaps, unresolved disputes, remediation failures, or privacy incidents exceed management authority, involve high-risk systems, or indicate systemic governance failures.</w:t>
      </w:r>
    </w:p>
    <w:p>
      <w:pPr>
        <w:spacing w:after="56"/>
      </w:pPr>
      <w:r>
        <w:t>Lifecycle objects provide the structured data needed for escalation decisions. RCCS and ALCS scores indicate whether lifecycle conformance is degrading. Open dispute registers indicate whether remediation processes are functioning. Privacy incident summaries indicate whether data governance controls are effective. Vendor substitution logs indicate whether supply-chain risk is managed.</w:t>
      </w:r>
    </w:p>
    <w:p>
      <w:pPr>
        <w:spacing w:after="56"/>
      </w:pPr>
      <w:r>
        <w:t>Boundary: This section is a governance crosswalk for board reporting, not a corporate governance framework, securities law compliance opinion, or board fiduciary duty analysis. Detailed board reporting procedures and governance escalation frameworks are reserved for companion papers, as outlined in Chapter 16.</w:t>
      </w:r>
    </w:p>
    <w:p>
      <w:pPr>
        <w:pStyle w:val="Heading2"/>
      </w:pPr>
      <w:r>
        <w:t>10.6 Procurement Scorecard Application</w:t>
      </w:r>
    </w:p>
    <w:p>
      <w:pPr>
        <w:pStyle w:val="Heading3"/>
      </w:pPr>
      <w:r>
        <w:t>10.6.1 Procurement Lifecycle Governance Requirements</w:t>
      </w:r>
    </w:p>
    <w:p>
      <w:pPr>
        <w:spacing w:after="56"/>
      </w:pPr>
      <w:r>
        <w:t>When acquiring agentic AI tools, platforms, or services, procurement teams need lifecycle governance criteria to evaluate vendor capabilities. Traditional procurement scorecards focus on functionality, performance, pricing, and support. Agentic AI procurement must also evaluate lifecycle accountability, evidence exportability, privacy controls, and remediation records.</w:t>
      </w:r>
    </w:p>
    <w:p>
      <w:pPr>
        <w:spacing w:after="56"/>
      </w:pPr>
      <w:r>
        <w:t>The EU AI Act establishes supply-chain obligations for AI system providers, importers, and distributors. Article 25 requires importers to ensure that providers have complied with conformity assessment procedures and that systems are accompanied by required documentation. Article 28 requires distributors to verify that systems bear required conformity markings and are accompanied by instructions for use. DORA (Digital Operational Resilience Act) Article 28 establishes ICT third-party risk management requirements for financial entities, including contractual arrangements, exit strategies, and substitution plans.</w:t>
      </w:r>
    </w:p>
    <w:p>
      <w:pPr>
        <w:spacing w:after="56"/>
      </w:pPr>
      <w:r>
        <w:t>The NIST AI Risk Management Framework emphasizes supply-chain risk management as part of the Map function, requiring organizations to identify and document AI system dependencies, third-party components, and data sources. Procurement decisions must consider whether vendors support lifecycle evidence export, whether tool actions can be bounded by liability boundaries, and whether agent identity lifecycles are documented.</w:t>
      </w:r>
    </w:p>
    <w:p>
      <w:pPr>
        <w:spacing w:after="56"/>
      </w:pPr>
      <w:r>
        <w:t>Key procurement criteria:</w:t>
      </w:r>
    </w:p>
    <w:p>
      <w:pPr>
        <w:pStyle w:val="ListBullet"/>
        <w:spacing w:after="56"/>
      </w:pPr>
      <w:r>
        <w:t>Does the vendor support lifecycle evidence export in a structured, auditable format?</w:t>
      </w:r>
    </w:p>
    <w:p>
      <w:pPr>
        <w:pStyle w:val="ListBullet"/>
        <w:spacing w:after="56"/>
      </w:pPr>
      <w:r>
        <w:t>Can tool actions be bounded by tool-action liability boundaries?</w:t>
      </w:r>
    </w:p>
    <w:p>
      <w:pPr>
        <w:pStyle w:val="ListBullet"/>
        <w:spacing w:after="56"/>
      </w:pPr>
      <w:r>
        <w:t>Is the agent identity lifecycle documented and auditable?</w:t>
      </w:r>
    </w:p>
    <w:p>
      <w:pPr>
        <w:pStyle w:val="ListBullet"/>
        <w:spacing w:after="56"/>
      </w:pPr>
      <w:r>
        <w:t>Can the organization reconstruct processor and subprocessor chains?</w:t>
      </w:r>
    </w:p>
    <w:p>
      <w:pPr>
        <w:pStyle w:val="ListBullet"/>
        <w:spacing w:after="56"/>
      </w:pPr>
      <w:r>
        <w:t>Does the vendor support privacy-preserving validation?</w:t>
      </w:r>
    </w:p>
    <w:p>
      <w:pPr>
        <w:pStyle w:val="ListBullet"/>
        <w:spacing w:after="56"/>
      </w:pPr>
      <w:r>
        <w:t>Can the organization substitute vendors without losing lifecycle conformance?</w:t>
      </w:r>
    </w:p>
    <w:p>
      <w:pPr>
        <w:pStyle w:val="Heading3"/>
      </w:pPr>
      <w:r>
        <w:t>10.6.2 Procurement Scorecard Table</w:t>
      </w:r>
    </w:p>
    <w:p>
      <w:pPr>
        <w:spacing w:after="56"/>
      </w:pPr>
      <w:r>
        <w:t>The following table defines procurement scorecard criteria for agentic AI systems, mapped to lifecycle objects, acceptable evidence, risk if absent, and regulatory references.</w:t>
      </w:r>
    </w:p>
    <w:p>
      <w:pPr>
        <w:keepNext/>
      </w:pPr>
      <w:r>
        <w:rPr>
          <w:b/>
          <w:sz w:val="16"/>
        </w:rPr>
        <w:t>Table T-10-05: Agentic AI Procurement Scorecard</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Criterion</w:t>
            </w:r>
          </w:p>
        </w:tc>
        <w:tc>
          <w:tcPr>
            <w:tcW w:type="dxa" w:w="2045"/>
          </w:tcPr>
          <w:p>
            <w:pPr>
              <w:spacing w:after="0"/>
            </w:pPr>
            <w:r>
              <w:rPr>
                <w:rFonts w:ascii="Arial" w:hAnsi="Arial"/>
                <w:b/>
                <w:sz w:val="14"/>
              </w:rPr>
              <w:t>Lifecycle Object</w:t>
            </w:r>
          </w:p>
        </w:tc>
        <w:tc>
          <w:tcPr>
            <w:tcW w:type="dxa" w:w="2045"/>
          </w:tcPr>
          <w:p>
            <w:pPr>
              <w:spacing w:after="0"/>
            </w:pPr>
            <w:r>
              <w:rPr>
                <w:rFonts w:ascii="Arial" w:hAnsi="Arial"/>
                <w:b/>
                <w:sz w:val="14"/>
              </w:rPr>
              <w:t>Acceptable Evidence</w:t>
            </w:r>
          </w:p>
        </w:tc>
        <w:tc>
          <w:tcPr>
            <w:tcW w:type="dxa" w:w="2045"/>
          </w:tcPr>
          <w:p>
            <w:pPr>
              <w:spacing w:after="0"/>
            </w:pPr>
            <w:r>
              <w:rPr>
                <w:rFonts w:ascii="Arial" w:hAnsi="Arial"/>
                <w:b/>
                <w:sz w:val="14"/>
              </w:rPr>
              <w:t>Risk if Absent</w:t>
            </w:r>
          </w:p>
        </w:tc>
        <w:tc>
          <w:tcPr>
            <w:tcW w:type="dxa" w:w="2045"/>
          </w:tcPr>
          <w:p>
            <w:pPr>
              <w:spacing w:after="0"/>
            </w:pPr>
            <w:r>
              <w:rPr>
                <w:rFonts w:ascii="Arial" w:hAnsi="Arial"/>
                <w:b/>
                <w:sz w:val="14"/>
              </w:rPr>
              <w:t>Regulatory Reference</w:t>
            </w:r>
          </w:p>
        </w:tc>
      </w:tr>
      <w:tr>
        <w:tc>
          <w:tcPr>
            <w:tcW w:type="dxa" w:w="2045"/>
          </w:tcPr>
          <w:p>
            <w:pPr>
              <w:spacing w:after="0"/>
            </w:pPr>
            <w:r>
              <w:rPr>
                <w:rFonts w:ascii="Arial" w:hAnsi="Arial"/>
                <w:b w:val="0"/>
                <w:sz w:val="14"/>
              </w:rPr>
              <w:t>Agent Identity Lifecycle</w:t>
            </w:r>
          </w:p>
        </w:tc>
        <w:tc>
          <w:tcPr>
            <w:tcW w:type="dxa" w:w="2045"/>
          </w:tcPr>
          <w:p>
            <w:pPr>
              <w:spacing w:after="0"/>
            </w:pPr>
            <w:r>
              <w:rPr>
                <w:rFonts w:ascii="Arial" w:hAnsi="Arial"/>
                <w:b w:val="0"/>
                <w:sz w:val="14"/>
              </w:rPr>
              <w:t>Agent identity lifecycle record, role-responsibility map</w:t>
            </w:r>
          </w:p>
        </w:tc>
        <w:tc>
          <w:tcPr>
            <w:tcW w:type="dxa" w:w="2045"/>
          </w:tcPr>
          <w:p>
            <w:pPr>
              <w:spacing w:after="0"/>
            </w:pPr>
            <w:r>
              <w:rPr>
                <w:rFonts w:ascii="Arial" w:hAnsi="Arial"/>
                <w:b w:val="0"/>
                <w:sz w:val="14"/>
              </w:rPr>
              <w:t>Agent identity registry, identity creation/termination log, role assignment audit trail</w:t>
            </w:r>
          </w:p>
        </w:tc>
        <w:tc>
          <w:tcPr>
            <w:tcW w:type="dxa" w:w="2045"/>
          </w:tcPr>
          <w:p>
            <w:pPr>
              <w:spacing w:after="0"/>
            </w:pPr>
            <w:r>
              <w:rPr>
                <w:rFonts w:ascii="Arial" w:hAnsi="Arial"/>
                <w:b w:val="0"/>
                <w:sz w:val="14"/>
              </w:rPr>
              <w:t>Cannot reconstruct who authorized, executed, or accepted agentic work; accountability gap</w:t>
            </w:r>
          </w:p>
        </w:tc>
        <w:tc>
          <w:tcPr>
            <w:tcW w:type="dxa" w:w="2045"/>
          </w:tcPr>
          <w:p>
            <w:pPr>
              <w:spacing w:after="0"/>
            </w:pPr>
            <w:r>
              <w:rPr>
                <w:rFonts w:ascii="Arial" w:hAnsi="Arial"/>
                <w:b w:val="0"/>
                <w:sz w:val="14"/>
              </w:rPr>
              <w:t>EU AI Act Art. 9 (quality management), NIST AI RMF Govern function</w:t>
            </w:r>
          </w:p>
        </w:tc>
      </w:tr>
      <w:tr>
        <w:tc>
          <w:tcPr>
            <w:tcW w:type="dxa" w:w="2045"/>
          </w:tcPr>
          <w:p>
            <w:pPr>
              <w:spacing w:after="0"/>
            </w:pPr>
            <w:r>
              <w:rPr>
                <w:rFonts w:ascii="Arial" w:hAnsi="Arial"/>
                <w:b w:val="0"/>
                <w:sz w:val="14"/>
              </w:rPr>
              <w:t>Tool-Action Liability Boundary</w:t>
            </w:r>
          </w:p>
        </w:tc>
        <w:tc>
          <w:tcPr>
            <w:tcW w:type="dxa" w:w="2045"/>
          </w:tcPr>
          <w:p>
            <w:pPr>
              <w:spacing w:after="0"/>
            </w:pPr>
            <w:r>
              <w:rPr>
                <w:rFonts w:ascii="Arial" w:hAnsi="Arial"/>
                <w:b w:val="0"/>
                <w:sz w:val="14"/>
              </w:rPr>
              <w:t>Tool-action liability boundary, tool credential registry</w:t>
            </w:r>
          </w:p>
        </w:tc>
        <w:tc>
          <w:tcPr>
            <w:tcW w:type="dxa" w:w="2045"/>
          </w:tcPr>
          <w:p>
            <w:pPr>
              <w:spacing w:after="0"/>
            </w:pPr>
            <w:r>
              <w:rPr>
                <w:rFonts w:ascii="Arial" w:hAnsi="Arial"/>
                <w:b w:val="0"/>
                <w:sz w:val="14"/>
              </w:rPr>
              <w:t>Tool-action authorization policy, tool invocation log, liability boundary validation record</w:t>
            </w:r>
          </w:p>
        </w:tc>
        <w:tc>
          <w:tcPr>
            <w:tcW w:type="dxa" w:w="2045"/>
          </w:tcPr>
          <w:p>
            <w:pPr>
              <w:spacing w:after="0"/>
            </w:pPr>
            <w:r>
              <w:rPr>
                <w:rFonts w:ascii="Arial" w:hAnsi="Arial"/>
                <w:b w:val="0"/>
                <w:sz w:val="14"/>
              </w:rPr>
              <w:t>Cannot determine liability for tool misuse, unauthorized tool invocation, or tool-related incidents</w:t>
            </w:r>
          </w:p>
        </w:tc>
        <w:tc>
          <w:tcPr>
            <w:tcW w:type="dxa" w:w="2045"/>
          </w:tcPr>
          <w:p>
            <w:pPr>
              <w:spacing w:after="0"/>
            </w:pPr>
            <w:r>
              <w:rPr>
                <w:rFonts w:ascii="Arial" w:hAnsi="Arial"/>
                <w:b w:val="0"/>
                <w:sz w:val="14"/>
              </w:rPr>
              <w:t>EU AI Act Art. 28 (obligations of distributors), DORA Art. 28 (ICT third-party risk)</w:t>
            </w:r>
          </w:p>
        </w:tc>
      </w:tr>
      <w:tr>
        <w:tc>
          <w:tcPr>
            <w:tcW w:type="dxa" w:w="2045"/>
          </w:tcPr>
          <w:p>
            <w:pPr>
              <w:spacing w:after="0"/>
            </w:pPr>
            <w:r>
              <w:rPr>
                <w:rFonts w:ascii="Arial" w:hAnsi="Arial"/>
                <w:b w:val="0"/>
                <w:sz w:val="14"/>
              </w:rPr>
              <w:t>Evidence Export Capability</w:t>
            </w:r>
          </w:p>
        </w:tc>
        <w:tc>
          <w:tcPr>
            <w:tcW w:type="dxa" w:w="2045"/>
          </w:tcPr>
          <w:p>
            <w:pPr>
              <w:spacing w:after="0"/>
            </w:pPr>
            <w:r>
              <w:rPr>
                <w:rFonts w:ascii="Arial" w:hAnsi="Arial"/>
                <w:b w:val="0"/>
                <w:sz w:val="14"/>
              </w:rPr>
              <w:t>Evidence partition, evidence minimization policy</w:t>
            </w:r>
          </w:p>
        </w:tc>
        <w:tc>
          <w:tcPr>
            <w:tcW w:type="dxa" w:w="2045"/>
          </w:tcPr>
          <w:p>
            <w:pPr>
              <w:spacing w:after="0"/>
            </w:pPr>
            <w:r>
              <w:rPr>
                <w:rFonts w:ascii="Arial" w:hAnsi="Arial"/>
                <w:b w:val="0"/>
                <w:sz w:val="14"/>
              </w:rPr>
              <w:t>Evidence export API, evidence schema documentation, evidence integrity validation</w:t>
            </w:r>
          </w:p>
        </w:tc>
        <w:tc>
          <w:tcPr>
            <w:tcW w:type="dxa" w:w="2045"/>
          </w:tcPr>
          <w:p>
            <w:pPr>
              <w:spacing w:after="0"/>
            </w:pPr>
            <w:r>
              <w:rPr>
                <w:rFonts w:ascii="Arial" w:hAnsi="Arial"/>
                <w:b w:val="0"/>
                <w:sz w:val="14"/>
              </w:rPr>
              <w:t>Cannot provide evidence to auditors, regulators, or data subjects; audit readiness failure</w:t>
            </w:r>
          </w:p>
        </w:tc>
        <w:tc>
          <w:tcPr>
            <w:tcW w:type="dxa" w:w="2045"/>
          </w:tcPr>
          <w:p>
            <w:pPr>
              <w:spacing w:after="0"/>
            </w:pPr>
            <w:r>
              <w:rPr>
                <w:rFonts w:ascii="Arial" w:hAnsi="Arial"/>
                <w:b w:val="0"/>
                <w:sz w:val="14"/>
              </w:rPr>
              <w:t>GDPR Art. 15 (right of access), EU AI Act Art. 12 (record-keeping)</w:t>
            </w:r>
          </w:p>
        </w:tc>
      </w:tr>
      <w:tr>
        <w:tc>
          <w:tcPr>
            <w:tcW w:type="dxa" w:w="2045"/>
          </w:tcPr>
          <w:p>
            <w:pPr>
              <w:spacing w:after="0"/>
            </w:pPr>
            <w:r>
              <w:rPr>
                <w:rFonts w:ascii="Arial" w:hAnsi="Arial"/>
                <w:b w:val="0"/>
                <w:sz w:val="14"/>
              </w:rPr>
              <w:t>Privacy Data-Flow Map</w:t>
            </w:r>
          </w:p>
        </w:tc>
        <w:tc>
          <w:tcPr>
            <w:tcW w:type="dxa" w:w="2045"/>
          </w:tcPr>
          <w:p>
            <w:pPr>
              <w:spacing w:after="0"/>
            </w:pPr>
            <w:r>
              <w:rPr>
                <w:rFonts w:ascii="Arial" w:hAnsi="Arial"/>
                <w:b w:val="0"/>
                <w:sz w:val="14"/>
              </w:rPr>
              <w:t>Privacy lifecycle map, processor chain record, data subject rights reconciliation record</w:t>
            </w:r>
          </w:p>
        </w:tc>
        <w:tc>
          <w:tcPr>
            <w:tcW w:type="dxa" w:w="2045"/>
          </w:tcPr>
          <w:p>
            <w:pPr>
              <w:spacing w:after="0"/>
            </w:pPr>
            <w:r>
              <w:rPr>
                <w:rFonts w:ascii="Arial" w:hAnsi="Arial"/>
                <w:b w:val="0"/>
                <w:sz w:val="14"/>
              </w:rPr>
              <w:t>Privacy impact assessment, data flow diagram, processor/subprocessor registry</w:t>
            </w:r>
          </w:p>
        </w:tc>
        <w:tc>
          <w:tcPr>
            <w:tcW w:type="dxa" w:w="2045"/>
          </w:tcPr>
          <w:p>
            <w:pPr>
              <w:spacing w:after="0"/>
            </w:pPr>
            <w:r>
              <w:rPr>
                <w:rFonts w:ascii="Arial" w:hAnsi="Arial"/>
                <w:b w:val="0"/>
                <w:sz w:val="14"/>
              </w:rPr>
              <w:t>Cannot reconstruct data processing activities; GDPR compliance failure; privacy incident response failure</w:t>
            </w:r>
          </w:p>
        </w:tc>
        <w:tc>
          <w:tcPr>
            <w:tcW w:type="dxa" w:w="2045"/>
          </w:tcPr>
          <w:p>
            <w:pPr>
              <w:spacing w:after="0"/>
            </w:pPr>
            <w:r>
              <w:rPr>
                <w:rFonts w:ascii="Arial" w:hAnsi="Arial"/>
                <w:b w:val="0"/>
                <w:sz w:val="14"/>
              </w:rPr>
              <w:t>GDPR Art. 28 (processor obligations), Art. 30 (records of processing), EU AI Act Art. 10 (data governance)</w:t>
            </w:r>
          </w:p>
        </w:tc>
      </w:tr>
      <w:tr>
        <w:tc>
          <w:tcPr>
            <w:tcW w:type="dxa" w:w="2045"/>
          </w:tcPr>
          <w:p>
            <w:pPr>
              <w:spacing w:after="0"/>
            </w:pPr>
            <w:r>
              <w:rPr>
                <w:rFonts w:ascii="Arial" w:hAnsi="Arial"/>
                <w:b w:val="0"/>
                <w:sz w:val="14"/>
              </w:rPr>
              <w:t>Incident Response Support</w:t>
            </w:r>
          </w:p>
        </w:tc>
        <w:tc>
          <w:tcPr>
            <w:tcW w:type="dxa" w:w="2045"/>
          </w:tcPr>
          <w:p>
            <w:pPr>
              <w:spacing w:after="0"/>
            </w:pPr>
            <w:r>
              <w:rPr>
                <w:rFonts w:ascii="Arial" w:hAnsi="Arial"/>
                <w:b w:val="0"/>
                <w:sz w:val="14"/>
              </w:rPr>
              <w:t>Incident closure record, accepted outcome state, remediation record</w:t>
            </w:r>
          </w:p>
        </w:tc>
        <w:tc>
          <w:tcPr>
            <w:tcW w:type="dxa" w:w="2045"/>
          </w:tcPr>
          <w:p>
            <w:pPr>
              <w:spacing w:after="0"/>
            </w:pPr>
            <w:r>
              <w:rPr>
                <w:rFonts w:ascii="Arial" w:hAnsi="Arial"/>
                <w:b w:val="0"/>
                <w:sz w:val="14"/>
              </w:rPr>
              <w:t>Incident response procedure, incident closure SLA, remediation acceptance criteria</w:t>
            </w:r>
          </w:p>
        </w:tc>
        <w:tc>
          <w:tcPr>
            <w:tcW w:type="dxa" w:w="2045"/>
          </w:tcPr>
          <w:p>
            <w:pPr>
              <w:spacing w:after="0"/>
            </w:pPr>
            <w:r>
              <w:rPr>
                <w:rFonts w:ascii="Arial" w:hAnsi="Arial"/>
                <w:b w:val="0"/>
                <w:sz w:val="14"/>
              </w:rPr>
              <w:t>Cannot close incidents with accepted remediation; redress failure; regulatory reporting failure</w:t>
            </w:r>
          </w:p>
        </w:tc>
        <w:tc>
          <w:tcPr>
            <w:tcW w:type="dxa" w:w="2045"/>
          </w:tcPr>
          <w:p>
            <w:pPr>
              <w:spacing w:after="0"/>
            </w:pPr>
            <w:r>
              <w:rPr>
                <w:rFonts w:ascii="Arial" w:hAnsi="Arial"/>
                <w:b w:val="0"/>
                <w:sz w:val="14"/>
              </w:rPr>
              <w:t>EU AI Act Art. 72 (dispute resolution), GDPR Art. 33-34 (breach notification)</w:t>
            </w:r>
          </w:p>
        </w:tc>
      </w:tr>
      <w:tr>
        <w:tc>
          <w:tcPr>
            <w:tcW w:type="dxa" w:w="2045"/>
          </w:tcPr>
          <w:p>
            <w:pPr>
              <w:spacing w:after="0"/>
            </w:pPr>
            <w:r>
              <w:rPr>
                <w:rFonts w:ascii="Arial" w:hAnsi="Arial"/>
                <w:b w:val="0"/>
                <w:sz w:val="14"/>
              </w:rPr>
              <w:t>Vendor Substitution Support</w:t>
            </w:r>
          </w:p>
        </w:tc>
        <w:tc>
          <w:tcPr>
            <w:tcW w:type="dxa" w:w="2045"/>
          </w:tcPr>
          <w:p>
            <w:pPr>
              <w:spacing w:after="0"/>
            </w:pPr>
            <w:r>
              <w:rPr>
                <w:rFonts w:ascii="Arial" w:hAnsi="Arial"/>
                <w:b w:val="0"/>
                <w:sz w:val="14"/>
              </w:rPr>
              <w:t>Vendor substitution conformance test, model version registry, processor chain record</w:t>
            </w:r>
          </w:p>
        </w:tc>
        <w:tc>
          <w:tcPr>
            <w:tcW w:type="dxa" w:w="2045"/>
          </w:tcPr>
          <w:p>
            <w:pPr>
              <w:spacing w:after="0"/>
            </w:pPr>
            <w:r>
              <w:rPr>
                <w:rFonts w:ascii="Arial" w:hAnsi="Arial"/>
                <w:b w:val="0"/>
                <w:sz w:val="14"/>
              </w:rPr>
              <w:t>Vendor substitution test procedure, data portability support, lifecycle conformance revalidation plan</w:t>
            </w:r>
          </w:p>
        </w:tc>
        <w:tc>
          <w:tcPr>
            <w:tcW w:type="dxa" w:w="2045"/>
          </w:tcPr>
          <w:p>
            <w:pPr>
              <w:spacing w:after="0"/>
            </w:pPr>
            <w:r>
              <w:rPr>
                <w:rFonts w:ascii="Arial" w:hAnsi="Arial"/>
                <w:b w:val="0"/>
                <w:sz w:val="14"/>
              </w:rPr>
              <w:t>Vendor lock-in; cannot switch vendors without losing lifecycle conformance; supply-chain risk</w:t>
            </w:r>
          </w:p>
        </w:tc>
        <w:tc>
          <w:tcPr>
            <w:tcW w:type="dxa" w:w="2045"/>
          </w:tcPr>
          <w:p>
            <w:pPr>
              <w:spacing w:after="0"/>
            </w:pPr>
            <w:r>
              <w:rPr>
                <w:rFonts w:ascii="Arial" w:hAnsi="Arial"/>
                <w:b w:val="0"/>
                <w:sz w:val="14"/>
              </w:rPr>
              <w:t>EU AI Act Art. 25 (obligations of importers), DORA Art. 28 (exit strategies)</w:t>
            </w:r>
          </w:p>
        </w:tc>
      </w:tr>
      <w:tr>
        <w:tc>
          <w:tcPr>
            <w:tcW w:type="dxa" w:w="2045"/>
          </w:tcPr>
          <w:p>
            <w:pPr>
              <w:spacing w:after="0"/>
            </w:pPr>
            <w:r>
              <w:rPr>
                <w:rFonts w:ascii="Arial" w:hAnsi="Arial"/>
                <w:b w:val="0"/>
                <w:sz w:val="14"/>
              </w:rPr>
              <w:t>Drift Monitoring Capability</w:t>
            </w:r>
          </w:p>
        </w:tc>
        <w:tc>
          <w:tcPr>
            <w:tcW w:type="dxa" w:w="2045"/>
          </w:tcPr>
          <w:p>
            <w:pPr>
              <w:spacing w:after="0"/>
            </w:pPr>
            <w:r>
              <w:rPr>
                <w:rFonts w:ascii="Arial" w:hAnsi="Arial"/>
                <w:b w:val="0"/>
                <w:sz w:val="14"/>
              </w:rPr>
              <w:t>Authority drift detection log, monitoring record, incident/remediation closure record</w:t>
            </w:r>
          </w:p>
        </w:tc>
        <w:tc>
          <w:tcPr>
            <w:tcW w:type="dxa" w:w="2045"/>
          </w:tcPr>
          <w:p>
            <w:pPr>
              <w:spacing w:after="0"/>
            </w:pPr>
            <w:r>
              <w:rPr>
                <w:rFonts w:ascii="Arial" w:hAnsi="Arial"/>
                <w:b w:val="0"/>
                <w:sz w:val="14"/>
              </w:rPr>
              <w:t>Drift detection procedure, drift alert mechanism, drift remediation workflow</w:t>
            </w:r>
          </w:p>
        </w:tc>
        <w:tc>
          <w:tcPr>
            <w:tcW w:type="dxa" w:w="2045"/>
          </w:tcPr>
          <w:p>
            <w:pPr>
              <w:spacing w:after="0"/>
            </w:pPr>
            <w:r>
              <w:rPr>
                <w:rFonts w:ascii="Arial" w:hAnsi="Arial"/>
                <w:b w:val="0"/>
                <w:sz w:val="14"/>
              </w:rPr>
              <w:t>Cannot detect authority boundary violations, lifecycle conformance degradation, or unresolved remediation</w:t>
            </w:r>
          </w:p>
        </w:tc>
        <w:tc>
          <w:tcPr>
            <w:tcW w:type="dxa" w:w="2045"/>
          </w:tcPr>
          <w:p>
            <w:pPr>
              <w:spacing w:after="0"/>
            </w:pPr>
            <w:r>
              <w:rPr>
                <w:rFonts w:ascii="Arial" w:hAnsi="Arial"/>
                <w:b w:val="0"/>
                <w:sz w:val="14"/>
              </w:rPr>
              <w:t>NIST AI RMF Measure function, EU AI Act Art. 9 (monitoring and logging)</w:t>
            </w:r>
          </w:p>
        </w:tc>
      </w:tr>
      <w:tr>
        <w:tc>
          <w:tcPr>
            <w:tcW w:type="dxa" w:w="2045"/>
          </w:tcPr>
          <w:p>
            <w:pPr>
              <w:spacing w:after="0"/>
            </w:pPr>
            <w:r>
              <w:rPr>
                <w:rFonts w:ascii="Arial" w:hAnsi="Arial"/>
                <w:b w:val="0"/>
                <w:sz w:val="14"/>
              </w:rPr>
              <w:t>Dispute Resolution Support</w:t>
            </w:r>
          </w:p>
        </w:tc>
        <w:tc>
          <w:tcPr>
            <w:tcW w:type="dxa" w:w="2045"/>
          </w:tcPr>
          <w:p>
            <w:pPr>
              <w:spacing w:after="0"/>
            </w:pPr>
            <w:r>
              <w:rPr>
                <w:rFonts w:ascii="Arial" w:hAnsi="Arial"/>
                <w:b w:val="0"/>
                <w:sz w:val="14"/>
              </w:rPr>
              <w:t>Dispute resolution record, accepted outcome state, incident closure record</w:t>
            </w:r>
          </w:p>
        </w:tc>
        <w:tc>
          <w:tcPr>
            <w:tcW w:type="dxa" w:w="2045"/>
          </w:tcPr>
          <w:p>
            <w:pPr>
              <w:spacing w:after="0"/>
            </w:pPr>
            <w:r>
              <w:rPr>
                <w:rFonts w:ascii="Arial" w:hAnsi="Arial"/>
                <w:b w:val="0"/>
                <w:sz w:val="14"/>
              </w:rPr>
              <w:t>Dispute resolution procedure, dispute escalation path, dispute closure criteria</w:t>
            </w:r>
          </w:p>
        </w:tc>
        <w:tc>
          <w:tcPr>
            <w:tcW w:type="dxa" w:w="2045"/>
          </w:tcPr>
          <w:p>
            <w:pPr>
              <w:spacing w:after="0"/>
            </w:pPr>
            <w:r>
              <w:rPr>
                <w:rFonts w:ascii="Arial" w:hAnsi="Arial"/>
                <w:b w:val="0"/>
                <w:sz w:val="14"/>
              </w:rPr>
              <w:t>Cannot resolve disputes with accepted outcomes; redress failure; regulatory escalation risk</w:t>
            </w:r>
          </w:p>
        </w:tc>
        <w:tc>
          <w:tcPr>
            <w:tcW w:type="dxa" w:w="2045"/>
          </w:tcPr>
          <w:p>
            <w:pPr>
              <w:spacing w:after="0"/>
            </w:pPr>
            <w:r>
              <w:rPr>
                <w:rFonts w:ascii="Arial" w:hAnsi="Arial"/>
                <w:b w:val="0"/>
                <w:sz w:val="14"/>
              </w:rPr>
              <w:t>EU AI Act Art. 72 (dispute resolution), GDPR Art. 79 (right to judicial remedy)</w:t>
            </w:r>
          </w:p>
        </w:tc>
      </w:tr>
    </w:tbl>
    <w:p>
      <w:pPr>
        <w:spacing w:after="56"/>
      </w:pPr>
      <w:r>
        <w:t>Interpretation: Procurement scorecards for agentic AI must evaluate lifecycle governance capabilities, not only functional performance. Vendors that cannot support lifecycle evidence export, tool-action liability boundaries, or vendor substitution introduce governance risk that may outweigh functional benefits.</w:t>
      </w:r>
    </w:p>
    <w:p>
      <w:pPr>
        <w:pStyle w:val="Heading3"/>
      </w:pPr>
      <w:r>
        <w:t>10.6.3 Scorecard Note</w:t>
      </w:r>
    </w:p>
    <w:p>
      <w:pPr>
        <w:spacing w:after="56"/>
      </w:pPr>
      <w:r>
        <w:t>This scorecard is a governance reference tool, not a vendor certification framework, audit requirement, or procurement specification. Procurement teams should adapt the scorecard to their specific risk profile, regulatory environment, and organizational control requirements. The scorecard does not replace vendor due diligence, contract negotiation, or legal review. It provides lifecycle governance criteria that procurement teams can integrate into existing vendor evaluation processes.</w:t>
      </w:r>
    </w:p>
    <w:p>
      <w:pPr>
        <w:spacing w:after="56"/>
      </w:pPr>
      <w:r>
        <w:t>Boundary: This section is a governance crosswalk for procurement, not a vendor audit framework, accreditation procedure, or legal procurement specification. Detailed procurement assurance procedures and vendor evaluation frameworks are reserved for companion papers, as outlined in Chapter 16.</w:t>
      </w:r>
    </w:p>
    <w:p>
      <w:pPr>
        <w:pStyle w:val="Heading2"/>
      </w:pPr>
      <w:r>
        <w:t>10.7 Ongoing Monitoring and Continuous Improvement</w:t>
      </w:r>
    </w:p>
    <w:p>
      <w:pPr>
        <w:pStyle w:val="Heading3"/>
      </w:pPr>
      <w:r>
        <w:t>10.7.1 Why Monitoring Must Be Lifecycle-Integrated</w:t>
      </w:r>
    </w:p>
    <w:p>
      <w:pPr>
        <w:spacing w:after="56"/>
      </w:pPr>
      <w:r>
        <w:t>Traditional observability monitors execution metrics: latency, throughput, error rates, resource utilization, and model performance. These metrics are necessary but insufficient for agentic systems. Lifecycle governance requires monitoring accountability continuity, not only execution performance.</w:t>
      </w:r>
    </w:p>
    <w:p>
      <w:pPr>
        <w:spacing w:after="56"/>
      </w:pPr>
      <w:r>
        <w:t>Lifecycle monitoring asks: Are responsibility assignments still valid? Are evidence chains still complete? Are tool-action liability boundaries still operative? Are human review roles still engaged? Are accepted outcomes still being produced? Are disputes being resolved? Are privacy boundaries being maintained?</w:t>
      </w:r>
    </w:p>
    <w:p>
      <w:pPr>
        <w:spacing w:after="56"/>
      </w:pPr>
      <w:r>
        <w:t>Lifecycle monitoring primarily draws from delegated authority, evidence partitioning, substitution conformance, privacy lifecycle mapping, and incident/remediation closure objects. It does not introduce separate lifecycle-drift or continuous-improvement MROs. Monitoring events should be interpreted through canonical lifecycle objects: authority drift uses MRO-07, evidence-chain breaks use MRO-08 and MRO-16, substitution alerts use MRO-09 and MRO-15, privacy data-flow deviations use MRO-10, MRO-13, and MRO-14, and incident closure uses MRO-16.</w:t>
      </w:r>
    </w:p>
    <w:p>
      <w:pPr>
        <w:spacing w:after="56"/>
      </w:pPr>
      <w:r>
        <w:t>Lifecycle monitoring is not a replacement for traditional observability. It is a complementary layer that monitors governance continuity alongside execution performance. A system may perform well on execution metrics while experiencing lifecycle drift, responsibility gaps, evidence chain breaks, or dispute backlogs.</w:t>
      </w:r>
    </w:p>
    <w:p>
      <w:pPr>
        <w:pStyle w:val="Heading3"/>
      </w:pPr>
      <w:r>
        <w:t>10.7.2 Monitoring Indicators Table</w:t>
      </w:r>
    </w:p>
    <w:p>
      <w:pPr>
        <w:spacing w:after="56"/>
      </w:pPr>
      <w:r>
        <w:t>The following table defines lifecycle monitoring indicators, mapped to lifecycle objects, alert conditions, MRO dimensions, and remediation paths.</w:t>
      </w:r>
    </w:p>
    <w:p>
      <w:pPr>
        <w:keepNext/>
      </w:pPr>
      <w:r>
        <w:rPr>
          <w:b/>
          <w:sz w:val="16"/>
        </w:rPr>
        <w:t>Table T-10-06: Lifecycle Monitoring Indicators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Indicator</w:t>
            </w:r>
          </w:p>
        </w:tc>
        <w:tc>
          <w:tcPr>
            <w:tcW w:type="dxa" w:w="2045"/>
          </w:tcPr>
          <w:p>
            <w:pPr>
              <w:spacing w:after="0"/>
            </w:pPr>
            <w:r>
              <w:rPr>
                <w:rFonts w:ascii="Arial" w:hAnsi="Arial"/>
                <w:b/>
                <w:sz w:val="14"/>
              </w:rPr>
              <w:t>Lifecycle Object</w:t>
            </w:r>
          </w:p>
        </w:tc>
        <w:tc>
          <w:tcPr>
            <w:tcW w:type="dxa" w:w="2045"/>
          </w:tcPr>
          <w:p>
            <w:pPr>
              <w:spacing w:after="0"/>
            </w:pPr>
            <w:r>
              <w:rPr>
                <w:rFonts w:ascii="Arial" w:hAnsi="Arial"/>
                <w:b/>
                <w:sz w:val="14"/>
              </w:rPr>
              <w:t>Alert Condition</w:t>
            </w:r>
          </w:p>
        </w:tc>
        <w:tc>
          <w:tcPr>
            <w:tcW w:type="dxa" w:w="2045"/>
          </w:tcPr>
          <w:p>
            <w:pPr>
              <w:spacing w:after="0"/>
            </w:pPr>
            <w:r>
              <w:rPr>
                <w:rFonts w:ascii="Arial" w:hAnsi="Arial"/>
                <w:b/>
                <w:sz w:val="14"/>
              </w:rPr>
              <w:t>MRO Dimension</w:t>
            </w:r>
          </w:p>
        </w:tc>
        <w:tc>
          <w:tcPr>
            <w:tcW w:type="dxa" w:w="2045"/>
          </w:tcPr>
          <w:p>
            <w:pPr>
              <w:spacing w:after="0"/>
            </w:pPr>
            <w:r>
              <w:rPr>
                <w:rFonts w:ascii="Arial" w:hAnsi="Arial"/>
                <w:b/>
                <w:sz w:val="14"/>
              </w:rPr>
              <w:t>Remediation Path</w:t>
            </w:r>
          </w:p>
        </w:tc>
      </w:tr>
      <w:tr>
        <w:tc>
          <w:tcPr>
            <w:tcW w:type="dxa" w:w="2045"/>
          </w:tcPr>
          <w:p>
            <w:pPr>
              <w:spacing w:after="0"/>
            </w:pPr>
            <w:r>
              <w:rPr>
                <w:rFonts w:ascii="Arial" w:hAnsi="Arial"/>
                <w:b w:val="0"/>
                <w:sz w:val="14"/>
              </w:rPr>
              <w:t>Responsibility Drift</w:t>
            </w:r>
          </w:p>
        </w:tc>
        <w:tc>
          <w:tcPr>
            <w:tcW w:type="dxa" w:w="2045"/>
          </w:tcPr>
          <w:p>
            <w:pPr>
              <w:spacing w:after="0"/>
            </w:pPr>
            <w:r>
              <w:rPr>
                <w:rFonts w:ascii="Arial" w:hAnsi="Arial"/>
                <w:b w:val="0"/>
                <w:sz w:val="14"/>
              </w:rPr>
              <w:t>Role-responsibility map, agent identity lifecycle record, authority drift detection log</w:t>
            </w:r>
          </w:p>
        </w:tc>
        <w:tc>
          <w:tcPr>
            <w:tcW w:type="dxa" w:w="2045"/>
          </w:tcPr>
          <w:p>
            <w:pPr>
              <w:spacing w:after="0"/>
            </w:pPr>
            <w:r>
              <w:rPr>
                <w:rFonts w:ascii="Arial" w:hAnsi="Arial"/>
                <w:b w:val="0"/>
                <w:sz w:val="14"/>
              </w:rPr>
              <w:t>Role assignment unchanged beyond revalidation period; role holder departed; responsibility gap detected</w:t>
            </w:r>
          </w:p>
        </w:tc>
        <w:tc>
          <w:tcPr>
            <w:tcW w:type="dxa" w:w="2045"/>
          </w:tcPr>
          <w:p>
            <w:pPr>
              <w:spacing w:after="0"/>
            </w:pPr>
            <w:r>
              <w:rPr>
                <w:rFonts w:ascii="Arial" w:hAnsi="Arial"/>
                <w:b w:val="0"/>
                <w:sz w:val="14"/>
              </w:rPr>
              <w:t>MRO-01, MRO-06, MRO-07</w:t>
            </w:r>
          </w:p>
        </w:tc>
        <w:tc>
          <w:tcPr>
            <w:tcW w:type="dxa" w:w="2045"/>
          </w:tcPr>
          <w:p>
            <w:pPr>
              <w:spacing w:after="0"/>
            </w:pPr>
            <w:r>
              <w:rPr>
                <w:rFonts w:ascii="Arial" w:hAnsi="Arial"/>
                <w:b w:val="0"/>
                <w:sz w:val="14"/>
              </w:rPr>
              <w:t>Revalidate role-responsibility map; reassign agent identity; update lifecycle record; document drift remediation</w:t>
            </w:r>
          </w:p>
        </w:tc>
      </w:tr>
      <w:tr>
        <w:tc>
          <w:tcPr>
            <w:tcW w:type="dxa" w:w="2045"/>
          </w:tcPr>
          <w:p>
            <w:pPr>
              <w:spacing w:after="0"/>
            </w:pPr>
            <w:r>
              <w:rPr>
                <w:rFonts w:ascii="Arial" w:hAnsi="Arial"/>
                <w:b w:val="0"/>
                <w:sz w:val="14"/>
              </w:rPr>
              <w:t>Evidence Chain Break</w:t>
            </w:r>
          </w:p>
        </w:tc>
        <w:tc>
          <w:tcPr>
            <w:tcW w:type="dxa" w:w="2045"/>
          </w:tcPr>
          <w:p>
            <w:pPr>
              <w:spacing w:after="0"/>
            </w:pPr>
            <w:r>
              <w:rPr>
                <w:rFonts w:ascii="Arial" w:hAnsi="Arial"/>
                <w:b w:val="0"/>
                <w:sz w:val="14"/>
              </w:rPr>
              <w:t>Evidence partition, accepted outcome state, incident closure record</w:t>
            </w:r>
          </w:p>
        </w:tc>
        <w:tc>
          <w:tcPr>
            <w:tcW w:type="dxa" w:w="2045"/>
          </w:tcPr>
          <w:p>
            <w:pPr>
              <w:spacing w:after="0"/>
            </w:pPr>
            <w:r>
              <w:rPr>
                <w:rFonts w:ascii="Arial" w:hAnsi="Arial"/>
                <w:b w:val="0"/>
                <w:sz w:val="14"/>
              </w:rPr>
              <w:t>Evidence partition integrity check failed; evidence missing for lifecycle phase; accepted outcome lacks supporting evidence</w:t>
            </w:r>
          </w:p>
        </w:tc>
        <w:tc>
          <w:tcPr>
            <w:tcW w:type="dxa" w:w="2045"/>
          </w:tcPr>
          <w:p>
            <w:pPr>
              <w:spacing w:after="0"/>
            </w:pPr>
            <w:r>
              <w:rPr>
                <w:rFonts w:ascii="Arial" w:hAnsi="Arial"/>
                <w:b w:val="0"/>
                <w:sz w:val="14"/>
              </w:rPr>
              <w:t>MRO-08, MRO-16</w:t>
            </w:r>
          </w:p>
        </w:tc>
        <w:tc>
          <w:tcPr>
            <w:tcW w:type="dxa" w:w="2045"/>
          </w:tcPr>
          <w:p>
            <w:pPr>
              <w:spacing w:after="0"/>
            </w:pPr>
            <w:r>
              <w:rPr>
                <w:rFonts w:ascii="Arial" w:hAnsi="Arial"/>
                <w:b w:val="0"/>
                <w:sz w:val="14"/>
              </w:rPr>
              <w:t>Reconstruct evidence chain; validate evidence partition; re-execute acceptance review; document evidence remediation</w:t>
            </w:r>
          </w:p>
        </w:tc>
      </w:tr>
      <w:tr>
        <w:tc>
          <w:tcPr>
            <w:tcW w:type="dxa" w:w="2045"/>
          </w:tcPr>
          <w:p>
            <w:pPr>
              <w:spacing w:after="0"/>
            </w:pPr>
            <w:r>
              <w:rPr>
                <w:rFonts w:ascii="Arial" w:hAnsi="Arial"/>
                <w:b w:val="0"/>
                <w:sz w:val="14"/>
              </w:rPr>
              <w:t>Tool-Action Boundary Violation</w:t>
            </w:r>
          </w:p>
        </w:tc>
        <w:tc>
          <w:tcPr>
            <w:tcW w:type="dxa" w:w="2045"/>
          </w:tcPr>
          <w:p>
            <w:pPr>
              <w:spacing w:after="0"/>
            </w:pPr>
            <w:r>
              <w:rPr>
                <w:rFonts w:ascii="Arial" w:hAnsi="Arial"/>
                <w:b w:val="0"/>
                <w:sz w:val="14"/>
              </w:rPr>
              <w:t>Tool-action liability boundary, authority boundary object, authority drift detection log</w:t>
            </w:r>
          </w:p>
        </w:tc>
        <w:tc>
          <w:tcPr>
            <w:tcW w:type="dxa" w:w="2045"/>
          </w:tcPr>
          <w:p>
            <w:pPr>
              <w:spacing w:after="0"/>
            </w:pPr>
            <w:r>
              <w:rPr>
                <w:rFonts w:ascii="Arial" w:hAnsi="Arial"/>
                <w:b w:val="0"/>
                <w:sz w:val="14"/>
              </w:rPr>
              <w:t>Tool invoked outside delegated scope; tool action exceeded liability boundary; unauthorized tool credential access</w:t>
            </w:r>
          </w:p>
        </w:tc>
        <w:tc>
          <w:tcPr>
            <w:tcW w:type="dxa" w:w="2045"/>
          </w:tcPr>
          <w:p>
            <w:pPr>
              <w:spacing w:after="0"/>
            </w:pPr>
            <w:r>
              <w:rPr>
                <w:rFonts w:ascii="Arial" w:hAnsi="Arial"/>
                <w:b w:val="0"/>
                <w:sz w:val="14"/>
              </w:rPr>
              <w:t>MRO-02, MRO-05, MRO-07</w:t>
            </w:r>
          </w:p>
        </w:tc>
        <w:tc>
          <w:tcPr>
            <w:tcW w:type="dxa" w:w="2045"/>
          </w:tcPr>
          <w:p>
            <w:pPr>
              <w:spacing w:after="0"/>
            </w:pPr>
            <w:r>
              <w:rPr>
                <w:rFonts w:ascii="Arial" w:hAnsi="Arial"/>
                <w:b w:val="0"/>
                <w:sz w:val="14"/>
              </w:rPr>
              <w:t>Halt tool execution; revalidate authority boundary; update tool-action liability boundary; document boundary violation and remediation</w:t>
            </w:r>
          </w:p>
        </w:tc>
      </w:tr>
      <w:tr>
        <w:tc>
          <w:tcPr>
            <w:tcW w:type="dxa" w:w="2045"/>
          </w:tcPr>
          <w:p>
            <w:pPr>
              <w:spacing w:after="0"/>
            </w:pPr>
            <w:r>
              <w:rPr>
                <w:rFonts w:ascii="Arial" w:hAnsi="Arial"/>
                <w:b w:val="0"/>
                <w:sz w:val="14"/>
              </w:rPr>
              <w:t>Human-Role Absence</w:t>
            </w:r>
          </w:p>
        </w:tc>
        <w:tc>
          <w:tcPr>
            <w:tcW w:type="dxa" w:w="2045"/>
          </w:tcPr>
          <w:p>
            <w:pPr>
              <w:spacing w:after="0"/>
            </w:pPr>
            <w:r>
              <w:rPr>
                <w:rFonts w:ascii="Arial" w:hAnsi="Arial"/>
                <w:b w:val="0"/>
                <w:sz w:val="14"/>
              </w:rPr>
              <w:t>Role-responsibility map, accepted outcome state, human review packet</w:t>
            </w:r>
          </w:p>
        </w:tc>
        <w:tc>
          <w:tcPr>
            <w:tcW w:type="dxa" w:w="2045"/>
          </w:tcPr>
          <w:p>
            <w:pPr>
              <w:spacing w:after="0"/>
            </w:pPr>
            <w:r>
              <w:rPr>
                <w:rFonts w:ascii="Arial" w:hAnsi="Arial"/>
                <w:b w:val="0"/>
                <w:sz w:val="14"/>
              </w:rPr>
              <w:t>Human review required but not performed; acceptance decision made without human authority; escalation rule violated</w:t>
            </w:r>
          </w:p>
        </w:tc>
        <w:tc>
          <w:tcPr>
            <w:tcW w:type="dxa" w:w="2045"/>
          </w:tcPr>
          <w:p>
            <w:pPr>
              <w:spacing w:after="0"/>
            </w:pPr>
            <w:r>
              <w:rPr>
                <w:rFonts w:ascii="Arial" w:hAnsi="Arial"/>
                <w:b w:val="0"/>
                <w:sz w:val="14"/>
              </w:rPr>
              <w:t>MRO-01, MRO-04</w:t>
            </w:r>
          </w:p>
        </w:tc>
        <w:tc>
          <w:tcPr>
            <w:tcW w:type="dxa" w:w="2045"/>
          </w:tcPr>
          <w:p>
            <w:pPr>
              <w:spacing w:after="0"/>
            </w:pPr>
            <w:r>
              <w:rPr>
                <w:rFonts w:ascii="Arial" w:hAnsi="Arial"/>
                <w:b w:val="0"/>
                <w:sz w:val="14"/>
              </w:rPr>
              <w:t>Escalate to human authority; re-execute review with human role; update role-responsibility map; document human-role remediation</w:t>
            </w:r>
          </w:p>
        </w:tc>
      </w:tr>
      <w:tr>
        <w:tc>
          <w:tcPr>
            <w:tcW w:type="dxa" w:w="2045"/>
          </w:tcPr>
          <w:p>
            <w:pPr>
              <w:spacing w:after="0"/>
            </w:pPr>
            <w:r>
              <w:rPr>
                <w:rFonts w:ascii="Arial" w:hAnsi="Arial"/>
                <w:b w:val="0"/>
                <w:sz w:val="14"/>
              </w:rPr>
              <w:t>Dispute Backlog</w:t>
            </w:r>
          </w:p>
        </w:tc>
        <w:tc>
          <w:tcPr>
            <w:tcW w:type="dxa" w:w="2045"/>
          </w:tcPr>
          <w:p>
            <w:pPr>
              <w:spacing w:after="0"/>
            </w:pPr>
            <w:r>
              <w:rPr>
                <w:rFonts w:ascii="Arial" w:hAnsi="Arial"/>
                <w:b w:val="0"/>
                <w:sz w:val="14"/>
              </w:rPr>
              <w:t>Dispute resolution record, evidence partition, incident closure record</w:t>
            </w:r>
          </w:p>
        </w:tc>
        <w:tc>
          <w:tcPr>
            <w:tcW w:type="dxa" w:w="2045"/>
          </w:tcPr>
          <w:p>
            <w:pPr>
              <w:spacing w:after="0"/>
            </w:pPr>
            <w:r>
              <w:rPr>
                <w:rFonts w:ascii="Arial" w:hAnsi="Arial"/>
                <w:b w:val="0"/>
                <w:sz w:val="14"/>
              </w:rPr>
              <w:t>Dispute unresolved beyond SLA; dispute escalation path exhausted; dispute closure rate below threshold</w:t>
            </w:r>
          </w:p>
        </w:tc>
        <w:tc>
          <w:tcPr>
            <w:tcW w:type="dxa" w:w="2045"/>
          </w:tcPr>
          <w:p>
            <w:pPr>
              <w:spacing w:after="0"/>
            </w:pPr>
            <w:r>
              <w:rPr>
                <w:rFonts w:ascii="Arial" w:hAnsi="Arial"/>
                <w:b w:val="0"/>
                <w:sz w:val="14"/>
              </w:rPr>
              <w:t>MRO-04, MRO-08, MRO-16</w:t>
            </w:r>
          </w:p>
        </w:tc>
        <w:tc>
          <w:tcPr>
            <w:tcW w:type="dxa" w:w="2045"/>
          </w:tcPr>
          <w:p>
            <w:pPr>
              <w:spacing w:after="0"/>
            </w:pPr>
            <w:r>
              <w:rPr>
                <w:rFonts w:ascii="Arial" w:hAnsi="Arial"/>
                <w:b w:val="0"/>
                <w:sz w:val="14"/>
              </w:rPr>
              <w:t>Escalate dispute resolution; engage external authority if needed; update dispute resolution procedure; document backlog remediation</w:t>
            </w:r>
          </w:p>
        </w:tc>
      </w:tr>
      <w:tr>
        <w:tc>
          <w:tcPr>
            <w:tcW w:type="dxa" w:w="2045"/>
          </w:tcPr>
          <w:p>
            <w:pPr>
              <w:spacing w:after="0"/>
            </w:pPr>
            <w:r>
              <w:rPr>
                <w:rFonts w:ascii="Arial" w:hAnsi="Arial"/>
                <w:b w:val="0"/>
                <w:sz w:val="14"/>
              </w:rPr>
              <w:t>Privacy Data-Flow Deviation</w:t>
            </w:r>
          </w:p>
        </w:tc>
        <w:tc>
          <w:tcPr>
            <w:tcW w:type="dxa" w:w="2045"/>
          </w:tcPr>
          <w:p>
            <w:pPr>
              <w:spacing w:after="0"/>
            </w:pPr>
            <w:r>
              <w:rPr>
                <w:rFonts w:ascii="Arial" w:hAnsi="Arial"/>
                <w:b w:val="0"/>
                <w:sz w:val="14"/>
              </w:rPr>
              <w:t>Privacy lifecycle map, data subject rights reconciliation record, processor chain record</w:t>
            </w:r>
          </w:p>
        </w:tc>
        <w:tc>
          <w:tcPr>
            <w:tcW w:type="dxa" w:w="2045"/>
          </w:tcPr>
          <w:p>
            <w:pPr>
              <w:spacing w:after="0"/>
            </w:pPr>
            <w:r>
              <w:rPr>
                <w:rFonts w:ascii="Arial" w:hAnsi="Arial"/>
                <w:b w:val="0"/>
                <w:sz w:val="14"/>
              </w:rPr>
              <w:t>Data processed outside documented flow; processor/subprocessor not in registry; data subject rights request unresolved</w:t>
            </w:r>
          </w:p>
        </w:tc>
        <w:tc>
          <w:tcPr>
            <w:tcW w:type="dxa" w:w="2045"/>
          </w:tcPr>
          <w:p>
            <w:pPr>
              <w:spacing w:after="0"/>
            </w:pPr>
            <w:r>
              <w:rPr>
                <w:rFonts w:ascii="Arial" w:hAnsi="Arial"/>
                <w:b w:val="0"/>
                <w:sz w:val="14"/>
              </w:rPr>
              <w:t>MRO-10, MRO-13, MRO-14</w:t>
            </w:r>
          </w:p>
        </w:tc>
        <w:tc>
          <w:tcPr>
            <w:tcW w:type="dxa" w:w="2045"/>
          </w:tcPr>
          <w:p>
            <w:pPr>
              <w:spacing w:after="0"/>
            </w:pPr>
            <w:r>
              <w:rPr>
                <w:rFonts w:ascii="Arial" w:hAnsi="Arial"/>
                <w:b w:val="0"/>
                <w:sz w:val="14"/>
              </w:rPr>
              <w:t>Halt data processing; revalidate privacy lifecycle map; update processor chain record; resolve data subject rights request; document privacy remediation</w:t>
            </w:r>
          </w:p>
        </w:tc>
      </w:tr>
      <w:tr>
        <w:tc>
          <w:tcPr>
            <w:tcW w:type="dxa" w:w="2045"/>
          </w:tcPr>
          <w:p>
            <w:pPr>
              <w:spacing w:after="0"/>
            </w:pPr>
            <w:r>
              <w:rPr>
                <w:rFonts w:ascii="Arial" w:hAnsi="Arial"/>
                <w:b w:val="0"/>
                <w:sz w:val="14"/>
              </w:rPr>
              <w:t>Vendor Substitution Alert</w:t>
            </w:r>
          </w:p>
        </w:tc>
        <w:tc>
          <w:tcPr>
            <w:tcW w:type="dxa" w:w="2045"/>
          </w:tcPr>
          <w:p>
            <w:pPr>
              <w:spacing w:after="0"/>
            </w:pPr>
            <w:r>
              <w:rPr>
                <w:rFonts w:ascii="Arial" w:hAnsi="Arial"/>
                <w:b w:val="0"/>
                <w:sz w:val="14"/>
              </w:rPr>
              <w:t>Cross-project reuse record, vendor substitution conformance test, model version registry, processor chain record</w:t>
            </w:r>
          </w:p>
        </w:tc>
        <w:tc>
          <w:tcPr>
            <w:tcW w:type="dxa" w:w="2045"/>
          </w:tcPr>
          <w:p>
            <w:pPr>
              <w:spacing w:after="0"/>
            </w:pPr>
            <w:r>
              <w:rPr>
                <w:rFonts w:ascii="Arial" w:hAnsi="Arial"/>
                <w:b w:val="0"/>
                <w:sz w:val="14"/>
              </w:rPr>
              <w:t>Vendor substitution test failed; model version changed without revalidation; processor chain integrity violated</w:t>
            </w:r>
          </w:p>
        </w:tc>
        <w:tc>
          <w:tcPr>
            <w:tcW w:type="dxa" w:w="2045"/>
          </w:tcPr>
          <w:p>
            <w:pPr>
              <w:spacing w:after="0"/>
            </w:pPr>
            <w:r>
              <w:rPr>
                <w:rFonts w:ascii="Arial" w:hAnsi="Arial"/>
                <w:b w:val="0"/>
                <w:sz w:val="14"/>
              </w:rPr>
              <w:t>MRO-09, MRO-15</w:t>
            </w:r>
          </w:p>
        </w:tc>
        <w:tc>
          <w:tcPr>
            <w:tcW w:type="dxa" w:w="2045"/>
          </w:tcPr>
          <w:p>
            <w:pPr>
              <w:spacing w:after="0"/>
            </w:pPr>
            <w:r>
              <w:rPr>
                <w:rFonts w:ascii="Arial" w:hAnsi="Arial"/>
                <w:b w:val="0"/>
                <w:sz w:val="14"/>
              </w:rPr>
              <w:t>Revalidate vendor substitution conformance; update model version registry; revalidate processor chain; document substitution remediation</w:t>
            </w:r>
          </w:p>
        </w:tc>
      </w:tr>
      <w:tr>
        <w:tc>
          <w:tcPr>
            <w:tcW w:type="dxa" w:w="2045"/>
          </w:tcPr>
          <w:p>
            <w:pPr>
              <w:spacing w:after="0"/>
            </w:pPr>
            <w:r>
              <w:rPr>
                <w:rFonts w:ascii="Arial" w:hAnsi="Arial"/>
                <w:b w:val="0"/>
                <w:sz w:val="14"/>
              </w:rPr>
              <w:t>Continuous Improvement Stall</w:t>
            </w:r>
          </w:p>
        </w:tc>
        <w:tc>
          <w:tcPr>
            <w:tcW w:type="dxa" w:w="2045"/>
          </w:tcPr>
          <w:p>
            <w:pPr>
              <w:spacing w:after="0"/>
            </w:pPr>
            <w:r>
              <w:rPr>
                <w:rFonts w:ascii="Arial" w:hAnsi="Arial"/>
                <w:b w:val="0"/>
                <w:sz w:val="14"/>
              </w:rPr>
              <w:t>Monitoring record, incident/remediation closure record</w:t>
            </w:r>
          </w:p>
        </w:tc>
        <w:tc>
          <w:tcPr>
            <w:tcW w:type="dxa" w:w="2045"/>
          </w:tcPr>
          <w:p>
            <w:pPr>
              <w:spacing w:after="0"/>
            </w:pPr>
            <w:r>
              <w:rPr>
                <w:rFonts w:ascii="Arial" w:hAnsi="Arial"/>
                <w:b w:val="0"/>
                <w:sz w:val="14"/>
              </w:rPr>
              <w:t>Feedback loop inactive beyond threshold; drift detected but not remediated; improvement actions not implemented</w:t>
            </w:r>
          </w:p>
        </w:tc>
        <w:tc>
          <w:tcPr>
            <w:tcW w:type="dxa" w:w="2045"/>
          </w:tcPr>
          <w:p>
            <w:pPr>
              <w:spacing w:after="0"/>
            </w:pPr>
            <w:r>
              <w:rPr>
                <w:rFonts w:ascii="Arial" w:hAnsi="Arial"/>
                <w:b w:val="0"/>
                <w:sz w:val="14"/>
              </w:rPr>
              <w:t>RCCS-10, MRO-16</w:t>
            </w:r>
          </w:p>
        </w:tc>
        <w:tc>
          <w:tcPr>
            <w:tcW w:type="dxa" w:w="2045"/>
          </w:tcPr>
          <w:p>
            <w:pPr>
              <w:spacing w:after="0"/>
            </w:pPr>
            <w:r>
              <w:rPr>
                <w:rFonts w:ascii="Arial" w:hAnsi="Arial"/>
                <w:b w:val="0"/>
                <w:sz w:val="14"/>
              </w:rPr>
              <w:t>Reactivate monitoring review; prioritize drift remediation; implement improvement actions; update incident/remediation closure record</w:t>
            </w:r>
          </w:p>
        </w:tc>
      </w:tr>
    </w:tbl>
    <w:p>
      <w:pPr>
        <w:spacing w:after="56"/>
      </w:pPr>
      <w:r>
        <w:t>Interpretation: Lifecycle monitoring indicators detect governance continuity failures, not only execution performance failures. Alert conditions trigger remediation paths that restore lifecycle conformance. Monitoring without remediation is observation without governance.</w:t>
      </w:r>
    </w:p>
    <w:p>
      <w:pPr>
        <w:pStyle w:val="Heading3"/>
      </w:pPr>
      <w:r>
        <w:t>10.7.3 Continuous Improvement Note</w:t>
      </w:r>
    </w:p>
    <w:p>
      <w:pPr>
        <w:spacing w:after="56"/>
      </w:pPr>
      <w:r>
        <w:t>Lifecycle monitoring feeds back into ALCS lifecycle records, MRO evidence records, and RCCS coverage assessments. This is the governance loop: authorization -&gt; execution -&gt; evidence -&gt; review -&gt; remediation -&gt; improvement -&gt; re-authorization. Continuous improvement is not a separate MRO. It is the feedback mechanism that ensures lifecycle governance adapts to changing systems, roles, tools, vendors, and regulatory requirements.</w:t>
      </w:r>
    </w:p>
    <w:p>
      <w:pPr>
        <w:spacing w:after="56"/>
      </w:pPr>
      <w:r>
        <w:t>Authority drift detection (MRO-07), evidence partitioning (MRO-08), cross-project reuse compliance (MRO-09), privacy lifecycle mapping (MRO-10), substitution conformance (MRO-15), and incident/remediation closure (MRO-16) together show whether governance structures are degrading and whether remediation is documented, accepted, and integrated into lifecycle records. Without this feedback loop, lifecycle governance becomes static and brittle. With it, lifecycle governance becomes adaptive and resilient.</w:t>
      </w:r>
    </w:p>
    <w:p>
      <w:pPr>
        <w:spacing w:after="56"/>
      </w:pPr>
      <w:r>
        <w:t>Boundary: This section is a governance crosswalk for lifecycle monitoring, not a real-time monitoring product specification, SRE framework, or SLA definition. Detailed monitoring implementation procedures and continuous improvement frameworks are reserved for companion papers, as outlined in Chapter 16.</w:t>
      </w:r>
    </w:p>
    <w:p>
      <w:pPr>
        <w:pStyle w:val="Heading2"/>
      </w:pPr>
      <w:r>
        <w:t>10.8 Chapter Closure and Bridge to Chapter 16</w:t>
      </w:r>
    </w:p>
    <w:p>
      <w:pPr>
        <w:pStyle w:val="Heading3"/>
      </w:pPr>
      <w:r>
        <w:t>10.8.1 What Chapter 10 Has Established</w:t>
      </w:r>
    </w:p>
    <w:p>
      <w:pPr>
        <w:spacing w:after="56"/>
      </w:pPr>
      <w:r>
        <w:t>Chapter 10 has established the enterprise control crosswalk for AI Agent Lifecycle Governance. It has shown how lifecycle governance objects—MROs, RCCS dimensions, ALCS dimensions, and lifecycle records—map into enterprise control language: audit, insurance, procurement, board reporting, model risk management, cybersecurity, incident response, and monitoring.</w:t>
      </w:r>
    </w:p>
    <w:p>
      <w:pPr>
        <w:spacing w:after="56"/>
      </w:pPr>
      <w:r>
        <w:t>The crosswalk demonstrates that lifecycle governance is not an abstract protocol or research model. It is a structured method for producing the evidence that enterprise controls require. RCCS and ALCS scores become procurement scorecard inputs. MROs become audit evidence requirements. Lifecycle conformance becomes vendor substitution readiness. Evidence partitioning becomes privacy-preserving validation. Accepted outcome compliance becomes board reporting on agentic risk.</w:t>
      </w:r>
    </w:p>
    <w:p>
      <w:pPr>
        <w:spacing w:after="56"/>
      </w:pPr>
      <w:r>
        <w:t>Enterprise adoption of agentic AI requires this crosswalk layer. Without it, lifecycle governance remains disconnected from enterprise control frameworks, procurement processes, board reporting structures, and audit requirements. With it, lifecycle governance becomes the evidence layer that enterprise controls can rely upon.</w:t>
      </w:r>
    </w:p>
    <w:p>
      <w:pPr>
        <w:spacing w:after="56"/>
      </w:pPr>
      <w:r>
        <w:t>The chapter has provided:</w:t>
      </w:r>
    </w:p>
    <w:p>
      <w:pPr>
        <w:pStyle w:val="ListBullet"/>
        <w:spacing w:after="56"/>
      </w:pPr>
      <w:r>
        <w:t>Enterprise control overlay mapping lifecycle governance to audit, insurance, and board reporting readiness (Section 10.1)</w:t>
      </w:r>
    </w:p>
    <w:p>
      <w:pPr>
        <w:pStyle w:val="ListBullet"/>
        <w:spacing w:after="56"/>
      </w:pPr>
      <w:r>
        <w:t>Enterprise control crosswalk tables mapping control topics to MROs, RCCS/ALCS dimensions, and evidence outputs (Section 10.2)</w:t>
      </w:r>
    </w:p>
    <w:p>
      <w:pPr>
        <w:pStyle w:val="ListBullet"/>
        <w:spacing w:after="56"/>
      </w:pPr>
      <w:r>
        <w:t>Model risk management mapping showing how model changes propagate through lifecycle conformance (Section 10.3)</w:t>
      </w:r>
    </w:p>
    <w:p>
      <w:pPr>
        <w:pStyle w:val="ListBullet"/>
        <w:spacing w:after="56"/>
      </w:pPr>
      <w:r>
        <w:t>Cybersecurity control mapping showing how lifecycle governance supports cybersecurity under attack (Section 10.4)</w:t>
      </w:r>
    </w:p>
    <w:p>
      <w:pPr>
        <w:pStyle w:val="ListBullet"/>
        <w:spacing w:after="56"/>
      </w:pPr>
      <w:r>
        <w:t>Board reporting elements defining structured, auditable lifecycle risk reporting (Section 10.5)</w:t>
      </w:r>
    </w:p>
    <w:p>
      <w:pPr>
        <w:pStyle w:val="ListBullet"/>
        <w:spacing w:after="56"/>
      </w:pPr>
      <w:r>
        <w:t>Procurement scorecard criteria for evaluating vendor lifecycle governance capabilities (Section 10.6)</w:t>
      </w:r>
    </w:p>
    <w:p>
      <w:pPr>
        <w:pStyle w:val="ListBullet"/>
        <w:spacing w:after="56"/>
      </w:pPr>
      <w:r>
        <w:t>Lifecycle monitoring indicators for detecting governance continuity failures (Section 10.7)</w:t>
      </w:r>
    </w:p>
    <w:p>
      <w:pPr>
        <w:pStyle w:val="Heading3"/>
      </w:pPr>
      <w:r>
        <w:t>10.8.2 What Chapter 16 Will Add</w:t>
      </w:r>
    </w:p>
    <w:p>
      <w:pPr>
        <w:spacing w:after="56"/>
      </w:pPr>
      <w:r>
        <w:t>Chapter 10 provides the control language. Chapter 16 provides the boundary to companion papers. Chapter 16 is titled "Boundary to Companion Papers: Evidence, Assurance, and Insurability."</w:t>
      </w:r>
    </w:p>
    <w:p>
      <w:pPr>
        <w:spacing w:after="56"/>
      </w:pPr>
      <w:r>
        <w:t>Chapter 16 will establish:</w:t>
      </w:r>
    </w:p>
    <w:p>
      <w:pPr>
        <w:pStyle w:val="ListBullet"/>
        <w:spacing w:after="56"/>
      </w:pPr>
      <w:r>
        <w:t>The boundary between this white paper and companion papers on evidence-based validation, assurance frameworks, and insurability considerations</w:t>
      </w:r>
    </w:p>
    <w:p>
      <w:pPr>
        <w:pStyle w:val="ListBullet"/>
        <w:spacing w:after="56"/>
      </w:pPr>
      <w:r>
        <w:t>Evidence-based validation patterns that external reviewers, auditors, and insurers can use to validate lifecycle conformance without full raw data disclosure</w:t>
      </w:r>
    </w:p>
    <w:p>
      <w:pPr>
        <w:pStyle w:val="ListBullet"/>
        <w:spacing w:after="56"/>
      </w:pPr>
      <w:r>
        <w:t>Assurance framework mapping showing how lifecycle governance supports ISO 42001, SOC 2, and other assurance standards</w:t>
      </w:r>
    </w:p>
    <w:p>
      <w:pPr>
        <w:pStyle w:val="ListBullet"/>
        <w:spacing w:after="56"/>
      </w:pPr>
      <w:r>
        <w:t>Insurability considerations showing how lifecycle governance evidence supports cyber insurance, professional liability insurance, and AI-specific insurance products</w:t>
      </w:r>
    </w:p>
    <w:p>
      <w:pPr>
        <w:pStyle w:val="ListBullet"/>
        <w:spacing w:after="56"/>
      </w:pPr>
      <w:r>
        <w:t>Companion paper scope definitions clarifying what this white paper establishes and what companion papers will address</w:t>
      </w:r>
    </w:p>
    <w:p>
      <w:pPr>
        <w:spacing w:after="56"/>
      </w:pPr>
      <w:r>
        <w:t>Chapter 16 is the final chapter of this white paper. It does not provide detailed assurance procedures, insurance underwriting models, or certification frameworks. It defines the boundary and provides the bridge to companion work.</w:t>
      </w:r>
    </w:p>
    <w:p>
      <w:pPr>
        <w:pStyle w:val="Heading3"/>
      </w:pPr>
      <w:r>
        <w:t>10.8.3 Chapter 10 Closure Statement</w:t>
      </w:r>
    </w:p>
    <w:p>
      <w:pPr>
        <w:spacing w:after="56"/>
      </w:pPr>
      <w:r>
        <w:t>Chapter 10 has translated lifecycle governance into enterprise control language. It has shown that AI Agent Lifecycle Governance is not only a governance protocol. It is a structured evidence layer that enterprise controls, procurement processes, board reporting, audit frameworks, cybersecurity controls, and monitoring systems can rely upon.</w:t>
      </w:r>
    </w:p>
    <w:p>
      <w:pPr>
        <w:spacing w:after="56"/>
      </w:pPr>
      <w:r>
        <w:t>The crosswalk does not replace internal control frameworks, audit procedures, or procurement policies. It shows where agentic lifecycle objects can provide evidence for enterprise control questions. Organizations should integrate these objects into existing control frameworks rather than treating them as separate compliance requirements.</w:t>
      </w:r>
    </w:p>
    <w:p>
      <w:pPr>
        <w:spacing w:after="56"/>
      </w:pPr>
      <w:r>
        <w:t>Boundary: Chapter 10 is a governance crosswalk, not a certification framework, audit specification, insurance underwriting model, or legal compliance opinion. It provides the mapping from lifecycle governance objects to enterprise control language. Detailed assurance procedures, certification frameworks, and insurance models are reserved for companion papers, as outlined in Chapter 16.</w:t>
      </w:r>
    </w:p>
    <w:p>
      <w:pPr>
        <w:spacing w:after="56"/>
      </w:pPr>
      <w:r>
        <w:t>Chapter 16 will establish the boundary to companion papers and provide the bridge from this white paper to evidence-based validation, assurance frameworks, and insurability considerations.</w:t>
      </w:r>
    </w:p>
    <w:p>
      <w:pPr>
        <w:pStyle w:val="Heading1"/>
      </w:pPr>
      <w:r>
        <w:t>11. Comparative Field and System Positioning</w:t>
      </w:r>
    </w:p>
    <w:p>
      <w:pPr>
        <w:spacing w:after="56"/>
      </w:pPr>
      <w:r>
        <w:t>Version: v0.3.2-FRC-R3</w:t>
      </w:r>
    </w:p>
    <w:p>
      <w:pPr>
        <w:pStyle w:val="Heading2"/>
      </w:pPr>
      <w:r>
        <w:t>11.0 Why System Positioning Matters</w:t>
      </w:r>
    </w:p>
    <w:p>
      <w:pPr>
        <w:spacing w:after="56"/>
      </w:pPr>
      <w:r>
        <w:t>This chapter positions the systems and categories that will be evaluated in Chapter 12. It explains the comparison method, establishes non-ranking boundaries, defines the systems in scope, and provides high-level positioning for each system before detailed mapping begins.</w:t>
      </w:r>
    </w:p>
    <w:p>
      <w:pPr>
        <w:spacing w:after="56"/>
      </w:pPr>
      <w:r>
        <w:t>System positioning matters because the field of agentic AI governance is fragmented. Some systems focus on model governance. Some focus on agent orchestration. Some focus on observability. Some focus on enterprise AI management. Some focus on lifecycle protocol semantics. The comparison in this white paper asks a specific question: does a system expose governance primitives and lifecycle responsibility objects that help prove agentic work moved from intent to accepted outcome under authority, evidence, privacy, and remediation controls?</w:t>
      </w:r>
    </w:p>
    <w:p>
      <w:pPr>
        <w:spacing w:after="56"/>
      </w:pPr>
      <w:r>
        <w:t>This is not a product ranking. This is not a legal compliance judgment. This is not a procurement recommendation. This is not an endorsement or criticism of any vendor. It is a responsibility-semantics mapping based on public evidence and author inference where explicitly disclosed.</w:t>
      </w:r>
    </w:p>
    <w:p>
      <w:pPr>
        <w:spacing w:after="56"/>
      </w:pPr>
      <w:r>
        <w:t>The purpose of this chapter is to prepare the reader for Chapter 12 detailed system mappings by establishing what the comparison evaluates, what it does not evaluate, and how to interpret RCCS and ALCS positioning in the context of system strengths and lifecycle gaps.</w:t>
      </w:r>
    </w:p>
    <w:p>
      <w:pPr>
        <w:pStyle w:val="Heading2"/>
      </w:pPr>
      <w:r>
        <w:t>11.1 Comparison Method and Non-Ranking Boundary</w:t>
      </w:r>
    </w:p>
    <w:p>
      <w:pPr>
        <w:spacing w:after="56"/>
      </w:pPr>
      <w:r>
        <w:t>The comparison method used in this white paper evaluates systems against RCCS and ALCS dimensions. RCCS measures regulatory compliance coverage: whether a system provides the governance primitives that existing regulation requires. ALCS measures agentic lifecycle conformance: whether a system provides the lifecycle objects that make agentic responsibility auditable, provable, and transferable across agents, humans, tools, projects, vendors, and organizational boundaries.</w:t>
      </w:r>
    </w:p>
    <w:p>
      <w:pPr>
        <w:spacing w:after="56"/>
      </w:pPr>
      <w:r>
        <w:t>The comparison asks whether a system exposes governance primitives and lifecycle responsibility objects. It does not ask whether a system is the best product, the most popular framework, the fastest execution engine, the most feature-complete platform, or the right procurement choice for a specific enterprise. Those are different questions that depend on organizational context, deployment requirements, risk appetite, budget, technical stack, and strategic priorities.</w:t>
      </w:r>
    </w:p>
    <w:p>
      <w:pPr>
        <w:spacing w:after="56"/>
      </w:pPr>
      <w:r>
        <w:t>This is a responsibility-semantics mapping, not a product ranking. The comparison evaluates system capability to express governance primitives and lifecycle objects, not product quality, market leadership, developer popularity, execution performance, or procurement suitability.</w:t>
      </w:r>
    </w:p>
    <w:p>
      <w:pPr>
        <w:spacing w:after="56"/>
      </w:pPr>
      <w:r>
        <w:t>What the comparison evaluates:</w:t>
      </w:r>
    </w:p>
    <w:p>
      <w:pPr>
        <w:pStyle w:val="ListBullet"/>
        <w:spacing w:after="56"/>
      </w:pPr>
      <w:r>
        <w:t>Whether a system defines governance primitives for risk management, data governance, documentation, record-keeping, transparency, human oversight, security, accountability, contestability, and monitoring (RCCS dimensions)</w:t>
      </w:r>
    </w:p>
    <w:p>
      <w:pPr>
        <w:pStyle w:val="ListBullet"/>
        <w:spacing w:after="56"/>
      </w:pPr>
      <w:r>
        <w:t>Whether a system defines lifecycle responsibility objects for human-role-to-MAS mapping, delegated authority boundaries, agent role distinction, accepted outcome compliance, tool-action liability, responsibility transfer, authority drift detection, evidence partitioning, cross-project reuse, privacy lifecycle mapping, privacy-preserving validation, evidence minimization, data subject rights reconciliation, processor chain tracking, and vendor substitution conformance (ALCS dimensions)</w:t>
      </w:r>
    </w:p>
    <w:p>
      <w:pPr>
        <w:pStyle w:val="ListBullet"/>
        <w:spacing w:after="56"/>
      </w:pPr>
      <w:r>
        <w:t>Whether public documentation, API specifications, protocol definitions, or reproducible evidence artifacts support the evaluation</w:t>
      </w:r>
    </w:p>
    <w:p>
      <w:pPr>
        <w:pStyle w:val="ListBullet"/>
        <w:spacing w:after="56"/>
      </w:pPr>
      <w:r>
        <w:t>Where evidence is weak or unavailable, whether author inference is explicitly disclosed</w:t>
      </w:r>
    </w:p>
    <w:p>
      <w:pPr>
        <w:spacing w:after="56"/>
      </w:pPr>
      <w:r>
        <w:t>What the comparison does not evaluate:</w:t>
      </w:r>
    </w:p>
    <w:p>
      <w:pPr>
        <w:pStyle w:val="ListBullet"/>
        <w:spacing w:after="56"/>
      </w:pPr>
      <w:r>
        <w:t>Product quality, feature completeness, or execution performance</w:t>
      </w:r>
    </w:p>
    <w:p>
      <w:pPr>
        <w:pStyle w:val="ListBullet"/>
        <w:spacing w:after="56"/>
      </w:pPr>
      <w:r>
        <w:t>Market leadership, developer popularity, or community adoption</w:t>
      </w:r>
    </w:p>
    <w:p>
      <w:pPr>
        <w:pStyle w:val="ListBullet"/>
        <w:spacing w:after="56"/>
      </w:pPr>
      <w:r>
        <w:t>Procurement suitability, pricing, or vendor support</w:t>
      </w:r>
    </w:p>
    <w:p>
      <w:pPr>
        <w:pStyle w:val="ListBullet"/>
        <w:spacing w:after="56"/>
      </w:pPr>
      <w:r>
        <w:t>Legal compliance with specific regulations or jurisdictions</w:t>
      </w:r>
    </w:p>
    <w:p>
      <w:pPr>
        <w:pStyle w:val="ListBullet"/>
        <w:spacing w:after="56"/>
      </w:pPr>
      <w:r>
        <w:t>Certification, conformity assessment, or regulatory approval</w:t>
      </w:r>
    </w:p>
    <w:p>
      <w:pPr>
        <w:pStyle w:val="ListBullet"/>
        <w:spacing w:after="56"/>
      </w:pPr>
      <w:r>
        <w:t>Endorsement or criticism of any vendor or product</w:t>
      </w:r>
    </w:p>
    <w:p>
      <w:pPr>
        <w:spacing w:after="56"/>
      </w:pPr>
      <w:r>
        <w:t>The comparison uses the evidence hierarchy established in the front matter and harmonized through source review follow-up. L1 evidence covers binding legal, regulatory, and formal standards baselines; it does not prove product implementation. L2 evidence covers official product, protocol, API, developer, platform, or repository documentation. L3 evidence covers independent audit reports, credible research papers, or independent reports. L4 evidence covers vendor claims, marketing pages, blogs, and announcements. L5 evidence covers author inference or analytical interpretation and is explicitly disclosed. The canonical multipliers are L1=1.00, L2=0.85, L3=0.75, L4=0.55, and L5=0.35.</w:t>
      </w:r>
    </w:p>
    <w:p>
      <w:pPr>
        <w:spacing w:after="56"/>
      </w:pPr>
      <w:r>
        <w:t>The comparison is not a certification program. It does not certify that any system is compliant with any regulation. It does not guarantee that any system meets all legal obligations. It does not substitute for legal counsel, compliance review, or risk assessment. It measures system capability to express governance primitives and lifecycle objects, not organizational conformance to legal requirements.</w:t>
      </w:r>
    </w:p>
    <w:p>
      <w:pPr>
        <w:pStyle w:val="Heading2"/>
      </w:pPr>
      <w:r>
        <w:t>11.2 System Categories in Scope</w:t>
      </w:r>
    </w:p>
    <w:p>
      <w:pPr>
        <w:spacing w:after="56"/>
      </w:pPr>
      <w:r>
        <w:t>The comparison includes eight systems or system categories. These were selected based on their relevance to enterprise agentic AI governance, their public documentation availability, and their representation of different architectural approaches to agent lifecycle management.</w:t>
      </w:r>
    </w:p>
    <w:p>
      <w:pPr>
        <w:spacing w:after="56"/>
      </w:pPr>
      <w:r>
        <w:t>The eight systems or categories in scope are:</w:t>
      </w:r>
    </w:p>
    <w:p>
      <w:pPr>
        <w:pStyle w:val="ListNumber"/>
        <w:spacing w:after="56"/>
      </w:pPr>
      <w:r>
        <w:t>MPLP (Multi-Agent Lifecycle Protocol) — A lifecycle protocol path with strong ALCS alignment, designed to expose lifecycle responsibility objects as first-class protocol primitives.</w:t>
      </w:r>
    </w:p>
    <w:p>
      <w:pPr>
        <w:pStyle w:val="ListNumber"/>
        <w:spacing w:after="56"/>
      </w:pPr>
      <w:r>
        <w:t>IBM watsonx.governance — An enterprise AI governance platform with strong regulatory compliance coverage, model governance, risk management, and policy enforcement capabilities.</w:t>
      </w:r>
    </w:p>
    <w:p>
      <w:pPr>
        <w:pStyle w:val="ListNumber"/>
        <w:spacing w:after="56"/>
      </w:pPr>
      <w:r>
        <w:t>Microsoft Azure AI Foundry — A cloud-native AI platform with model management, responsible AI tooling, content safety, and enterprise integration capabilities.</w:t>
      </w:r>
    </w:p>
    <w:p>
      <w:pPr>
        <w:pStyle w:val="ListNumber"/>
        <w:spacing w:after="56"/>
      </w:pPr>
      <w:r>
        <w:t>AWS Bedrock / Guardrails / AgentCore — A cloud AI service suite with model access, guardrails, agent orchestration, and enterprise security integration.</w:t>
      </w:r>
    </w:p>
    <w:p>
      <w:pPr>
        <w:pStyle w:val="ListNumber"/>
        <w:spacing w:after="56"/>
      </w:pPr>
      <w:r>
        <w:t>Google Vertex AI / ADK / Model Armor — A cloud AI platform with model management, agent development kit, model armor safety controls, and enterprise AI management.</w:t>
      </w:r>
    </w:p>
    <w:p>
      <w:pPr>
        <w:pStyle w:val="ListNumber"/>
        <w:spacing w:after="56"/>
      </w:pPr>
      <w:r>
        <w:t>LangGraph / LangSmith — An open-source agent orchestration framework with observability, tracing, and workflow management capabilities.</w:t>
      </w:r>
    </w:p>
    <w:p>
      <w:pPr>
        <w:pStyle w:val="ListNumber"/>
        <w:spacing w:after="56"/>
      </w:pPr>
      <w:r>
        <w:t>OpenAI Agents SDK — A developer-focused agent framework with model access, tool use, and execution orchestration capabilities.</w:t>
      </w:r>
    </w:p>
    <w:p>
      <w:pPr>
        <w:pStyle w:val="ListNumber"/>
        <w:spacing w:after="56"/>
      </w:pPr>
      <w:r>
        <w:t>CrewAI — An open-source multi-agent collaboration framework with role-based agent design and task orchestration capabilities.</w:t>
      </w:r>
    </w:p>
    <w:p>
      <w:pPr>
        <w:spacing w:after="56"/>
      </w:pPr>
      <w:r>
        <w:t>These systems represent different architectural approaches:</w:t>
      </w:r>
    </w:p>
    <w:p>
      <w:pPr>
        <w:pStyle w:val="ListBullet"/>
        <w:spacing w:after="56"/>
      </w:pPr>
      <w:r>
        <w:t>Enterprise AI governance platforms (IBM watsonx.governance) focus on policy enforcement, risk management, and regulatory compliance coverage across the AI lifecycle.</w:t>
      </w:r>
    </w:p>
    <w:p>
      <w:pPr>
        <w:pStyle w:val="ListBullet"/>
        <w:spacing w:after="56"/>
      </w:pPr>
      <w:r>
        <w:t>Cloud AI platforms (Microsoft Azure AI Foundry, AWS Bedrock, Google Vertex AI) focus on model access, responsible AI tooling, content safety, and enterprise integration.</w:t>
      </w:r>
    </w:p>
    <w:p>
      <w:pPr>
        <w:pStyle w:val="ListBullet"/>
        <w:spacing w:after="56"/>
      </w:pPr>
      <w:r>
        <w:t>Agent orchestration frameworks (LangGraph, OpenAI Agents SDK, CrewAI) focus on agent execution, tool use, workflow management, and observability.</w:t>
      </w:r>
    </w:p>
    <w:p>
      <w:pPr>
        <w:pStyle w:val="ListBullet"/>
        <w:spacing w:after="56"/>
      </w:pPr>
      <w:r>
        <w:t>Lifecycle protocol paths (MPLP) focus on lifecycle responsibility objects, evidence chain, and governance primitives as first-class protocol semantics.</w:t>
      </w:r>
    </w:p>
    <w:p>
      <w:pPr>
        <w:spacing w:after="56"/>
      </w:pPr>
      <w:r>
        <w:t>The comparison does not claim that these are the only systems worth evaluating. Other systems, frameworks, and platforms exist and may provide strong governance capabilities. The selection reflects systems with sufficient public documentation to support evidence-based evaluation and systems that represent different architectural approaches to agentic AI governance.</w:t>
      </w:r>
    </w:p>
    <w:p>
      <w:pPr>
        <w:spacing w:after="56"/>
      </w:pPr>
      <w:r>
        <w:t>No new systems will be added to the comparison without explicit owner approval. The comparison is scoped to these eight systems or categories to maintain focus and ensure that detailed mapping in Chapter 12 remains feasible within the white paper's scope.</w:t>
      </w:r>
    </w:p>
    <w:p>
      <w:pPr>
        <w:pStyle w:val="Heading2"/>
      </w:pPr>
      <w:r>
        <w:t>11.3 Comparative Field Positioning Matrix</w:t>
      </w:r>
    </w:p>
    <w:p>
      <w:pPr>
        <w:spacing w:after="56"/>
      </w:pPr>
      <w:r>
        <w:t>The following table provides high-level positioning for each system or category. It identifies the primary strength of each system, its likely RCCS posture (regulatory compliance coverage), its likely ALCS posture (agentic lifecycle conformance), and the main lifecycle gap that Chapter 12 will examine.</w:t>
      </w:r>
    </w:p>
    <w:p>
      <w:pPr>
        <w:keepNext/>
      </w:pPr>
      <w:r>
        <w:rPr>
          <w:b/>
          <w:sz w:val="16"/>
        </w:rPr>
        <w:t>Table T-11-01: Comparative Field Positioning Matrix</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System / Category</w:t>
            </w:r>
          </w:p>
        </w:tc>
        <w:tc>
          <w:tcPr>
            <w:tcW w:type="dxa" w:w="2045"/>
          </w:tcPr>
          <w:p>
            <w:pPr>
              <w:spacing w:after="0"/>
            </w:pPr>
            <w:r>
              <w:rPr>
                <w:rFonts w:ascii="Arial" w:hAnsi="Arial"/>
                <w:b/>
                <w:sz w:val="14"/>
              </w:rPr>
              <w:t>Primary Strength</w:t>
            </w:r>
          </w:p>
        </w:tc>
        <w:tc>
          <w:tcPr>
            <w:tcW w:type="dxa" w:w="2045"/>
          </w:tcPr>
          <w:p>
            <w:pPr>
              <w:spacing w:after="0"/>
            </w:pPr>
            <w:r>
              <w:rPr>
                <w:rFonts w:ascii="Arial" w:hAnsi="Arial"/>
                <w:b/>
                <w:sz w:val="14"/>
              </w:rPr>
              <w:t>RCCS Posture</w:t>
            </w:r>
          </w:p>
        </w:tc>
        <w:tc>
          <w:tcPr>
            <w:tcW w:type="dxa" w:w="2045"/>
          </w:tcPr>
          <w:p>
            <w:pPr>
              <w:spacing w:after="0"/>
            </w:pPr>
            <w:r>
              <w:rPr>
                <w:rFonts w:ascii="Arial" w:hAnsi="Arial"/>
                <w:b/>
                <w:sz w:val="14"/>
              </w:rPr>
              <w:t>ALCS Posture</w:t>
            </w:r>
          </w:p>
        </w:tc>
        <w:tc>
          <w:tcPr>
            <w:tcW w:type="dxa" w:w="2045"/>
          </w:tcPr>
          <w:p>
            <w:pPr>
              <w:spacing w:after="0"/>
            </w:pPr>
            <w:r>
              <w:rPr>
                <w:rFonts w:ascii="Arial" w:hAnsi="Arial"/>
                <w:b/>
                <w:sz w:val="14"/>
              </w:rPr>
              <w:t>Main Lifecycle Gap to Examine</w:t>
            </w:r>
          </w:p>
        </w:tc>
      </w:tr>
      <w:tr>
        <w:tc>
          <w:tcPr>
            <w:tcW w:type="dxa" w:w="2045"/>
          </w:tcPr>
          <w:p>
            <w:pPr>
              <w:spacing w:after="0"/>
            </w:pPr>
            <w:r>
              <w:rPr>
                <w:rFonts w:ascii="Arial" w:hAnsi="Arial"/>
                <w:b w:val="0"/>
                <w:sz w:val="14"/>
              </w:rPr>
              <w:t>MPLP</w:t>
            </w:r>
          </w:p>
        </w:tc>
        <w:tc>
          <w:tcPr>
            <w:tcW w:type="dxa" w:w="2045"/>
          </w:tcPr>
          <w:p>
            <w:pPr>
              <w:spacing w:after="0"/>
            </w:pPr>
            <w:r>
              <w:rPr>
                <w:rFonts w:ascii="Arial" w:hAnsi="Arial"/>
                <w:b w:val="0"/>
                <w:sz w:val="14"/>
              </w:rPr>
              <w:t>Lifecycle protocol semantics; governance primitives as first-class objects</w:t>
            </w:r>
          </w:p>
        </w:tc>
        <w:tc>
          <w:tcPr>
            <w:tcW w:type="dxa" w:w="2045"/>
          </w:tcPr>
          <w:p>
            <w:pPr>
              <w:spacing w:after="0"/>
            </w:pPr>
            <w:r>
              <w:rPr>
                <w:rFonts w:ascii="Arial" w:hAnsi="Arial"/>
                <w:b w:val="0"/>
                <w:sz w:val="14"/>
              </w:rPr>
              <w:t>Moderate to Strong (depends on implementation)</w:t>
            </w:r>
          </w:p>
        </w:tc>
        <w:tc>
          <w:tcPr>
            <w:tcW w:type="dxa" w:w="2045"/>
          </w:tcPr>
          <w:p>
            <w:pPr>
              <w:spacing w:after="0"/>
            </w:pPr>
            <w:r>
              <w:rPr>
                <w:rFonts w:ascii="Arial" w:hAnsi="Arial"/>
                <w:b w:val="0"/>
                <w:sz w:val="14"/>
              </w:rPr>
              <w:t>Strong (protocol designed for lifecycle responsibility objects)</w:t>
            </w:r>
          </w:p>
        </w:tc>
        <w:tc>
          <w:tcPr>
            <w:tcW w:type="dxa" w:w="2045"/>
          </w:tcPr>
          <w:p>
            <w:pPr>
              <w:spacing w:after="0"/>
            </w:pPr>
            <w:r>
              <w:rPr>
                <w:rFonts w:ascii="Arial" w:hAnsi="Arial"/>
                <w:b w:val="0"/>
                <w:sz w:val="14"/>
              </w:rPr>
              <w:t>Enterprise integration; adoption pathway; implementation maturity</w:t>
            </w:r>
          </w:p>
        </w:tc>
      </w:tr>
      <w:tr>
        <w:tc>
          <w:tcPr>
            <w:tcW w:type="dxa" w:w="2045"/>
          </w:tcPr>
          <w:p>
            <w:pPr>
              <w:spacing w:after="0"/>
            </w:pPr>
            <w:r>
              <w:rPr>
                <w:rFonts w:ascii="Arial" w:hAnsi="Arial"/>
                <w:b w:val="0"/>
                <w:sz w:val="14"/>
              </w:rPr>
              <w:t>IBM watsonx.governance</w:t>
            </w:r>
          </w:p>
        </w:tc>
        <w:tc>
          <w:tcPr>
            <w:tcW w:type="dxa" w:w="2045"/>
          </w:tcPr>
          <w:p>
            <w:pPr>
              <w:spacing w:after="0"/>
            </w:pPr>
            <w:r>
              <w:rPr>
                <w:rFonts w:ascii="Arial" w:hAnsi="Arial"/>
                <w:b w:val="0"/>
                <w:sz w:val="14"/>
              </w:rPr>
              <w:t>Enterprise AI governance; policy enforcement; model risk management; regulatory compliance coverage</w:t>
            </w:r>
          </w:p>
        </w:tc>
        <w:tc>
          <w:tcPr>
            <w:tcW w:type="dxa" w:w="2045"/>
          </w:tcPr>
          <w:p>
            <w:pPr>
              <w:spacing w:after="0"/>
            </w:pPr>
            <w:r>
              <w:rPr>
                <w:rFonts w:ascii="Arial" w:hAnsi="Arial"/>
                <w:b w:val="0"/>
                <w:sz w:val="14"/>
              </w:rPr>
              <w:t>Strong (designed for regulatory compliance)</w:t>
            </w:r>
          </w:p>
        </w:tc>
        <w:tc>
          <w:tcPr>
            <w:tcW w:type="dxa" w:w="2045"/>
          </w:tcPr>
          <w:p>
            <w:pPr>
              <w:spacing w:after="0"/>
            </w:pPr>
            <w:r>
              <w:rPr>
                <w:rFonts w:ascii="Arial" w:hAnsi="Arial"/>
                <w:b w:val="0"/>
                <w:sz w:val="14"/>
              </w:rPr>
              <w:t>Moderate (governance focus, but lifecycle object semantics require validation)</w:t>
            </w:r>
          </w:p>
        </w:tc>
        <w:tc>
          <w:tcPr>
            <w:tcW w:type="dxa" w:w="2045"/>
          </w:tcPr>
          <w:p>
            <w:pPr>
              <w:spacing w:after="0"/>
            </w:pPr>
            <w:r>
              <w:rPr>
                <w:rFonts w:ascii="Arial" w:hAnsi="Arial"/>
                <w:b w:val="0"/>
                <w:sz w:val="14"/>
              </w:rPr>
              <w:t>Agentic lifecycle object exposure; multi-agent responsibility transfer; evidence partitioning</w:t>
            </w:r>
          </w:p>
        </w:tc>
      </w:tr>
      <w:tr>
        <w:tc>
          <w:tcPr>
            <w:tcW w:type="dxa" w:w="2045"/>
          </w:tcPr>
          <w:p>
            <w:pPr>
              <w:spacing w:after="0"/>
            </w:pPr>
            <w:r>
              <w:rPr>
                <w:rFonts w:ascii="Arial" w:hAnsi="Arial"/>
                <w:b w:val="0"/>
                <w:sz w:val="14"/>
              </w:rPr>
              <w:t>Microsoft Azure AI Foundry</w:t>
            </w:r>
          </w:p>
        </w:tc>
        <w:tc>
          <w:tcPr>
            <w:tcW w:type="dxa" w:w="2045"/>
          </w:tcPr>
          <w:p>
            <w:pPr>
              <w:spacing w:after="0"/>
            </w:pPr>
            <w:r>
              <w:rPr>
                <w:rFonts w:ascii="Arial" w:hAnsi="Arial"/>
                <w:b w:val="0"/>
                <w:sz w:val="14"/>
              </w:rPr>
              <w:t>Cloud-native AI platform; responsible AI tooling; content safety; enterprise integration</w:t>
            </w:r>
          </w:p>
        </w:tc>
        <w:tc>
          <w:tcPr>
            <w:tcW w:type="dxa" w:w="2045"/>
          </w:tcPr>
          <w:p>
            <w:pPr>
              <w:spacing w:after="0"/>
            </w:pPr>
            <w:r>
              <w:rPr>
                <w:rFonts w:ascii="Arial" w:hAnsi="Arial"/>
                <w:b w:val="0"/>
                <w:sz w:val="14"/>
              </w:rPr>
              <w:t>Moderate to Strong (responsible AI focus)</w:t>
            </w:r>
          </w:p>
        </w:tc>
        <w:tc>
          <w:tcPr>
            <w:tcW w:type="dxa" w:w="2045"/>
          </w:tcPr>
          <w:p>
            <w:pPr>
              <w:spacing w:after="0"/>
            </w:pPr>
            <w:r>
              <w:rPr>
                <w:rFonts w:ascii="Arial" w:hAnsi="Arial"/>
                <w:b w:val="0"/>
                <w:sz w:val="14"/>
              </w:rPr>
              <w:t>Moderate (platform capabilities exist, but lifecycle semantics require validation)</w:t>
            </w:r>
          </w:p>
        </w:tc>
        <w:tc>
          <w:tcPr>
            <w:tcW w:type="dxa" w:w="2045"/>
          </w:tcPr>
          <w:p>
            <w:pPr>
              <w:spacing w:after="0"/>
            </w:pPr>
            <w:r>
              <w:rPr>
                <w:rFonts w:ascii="Arial" w:hAnsi="Arial"/>
                <w:b w:val="0"/>
                <w:sz w:val="14"/>
              </w:rPr>
              <w:t>Lifecycle responsibility objects; authority boundary enforcement; accepted outcome compliance</w:t>
            </w:r>
          </w:p>
        </w:tc>
      </w:tr>
      <w:tr>
        <w:tc>
          <w:tcPr>
            <w:tcW w:type="dxa" w:w="2045"/>
          </w:tcPr>
          <w:p>
            <w:pPr>
              <w:spacing w:after="0"/>
            </w:pPr>
            <w:r>
              <w:rPr>
                <w:rFonts w:ascii="Arial" w:hAnsi="Arial"/>
                <w:b w:val="0"/>
                <w:sz w:val="14"/>
              </w:rPr>
              <w:t>AWS Bedrock / Guardrails / AgentCore</w:t>
            </w:r>
          </w:p>
        </w:tc>
        <w:tc>
          <w:tcPr>
            <w:tcW w:type="dxa" w:w="2045"/>
          </w:tcPr>
          <w:p>
            <w:pPr>
              <w:spacing w:after="0"/>
            </w:pPr>
            <w:r>
              <w:rPr>
                <w:rFonts w:ascii="Arial" w:hAnsi="Arial"/>
                <w:b w:val="0"/>
                <w:sz w:val="14"/>
              </w:rPr>
              <w:t>Cloud AI services; guardrails; agent orchestration; enterprise security integration</w:t>
            </w:r>
          </w:p>
        </w:tc>
        <w:tc>
          <w:tcPr>
            <w:tcW w:type="dxa" w:w="2045"/>
          </w:tcPr>
          <w:p>
            <w:pPr>
              <w:spacing w:after="0"/>
            </w:pPr>
            <w:r>
              <w:rPr>
                <w:rFonts w:ascii="Arial" w:hAnsi="Arial"/>
                <w:b w:val="0"/>
                <w:sz w:val="14"/>
              </w:rPr>
              <w:t>Moderate (guardrails and security focus)</w:t>
            </w:r>
          </w:p>
        </w:tc>
        <w:tc>
          <w:tcPr>
            <w:tcW w:type="dxa" w:w="2045"/>
          </w:tcPr>
          <w:p>
            <w:pPr>
              <w:spacing w:after="0"/>
            </w:pPr>
            <w:r>
              <w:rPr>
                <w:rFonts w:ascii="Arial" w:hAnsi="Arial"/>
                <w:b w:val="0"/>
                <w:sz w:val="14"/>
              </w:rPr>
              <w:t>Moderate (agent orchestration exists, but lifecycle object semantics require validation)</w:t>
            </w:r>
          </w:p>
        </w:tc>
        <w:tc>
          <w:tcPr>
            <w:tcW w:type="dxa" w:w="2045"/>
          </w:tcPr>
          <w:p>
            <w:pPr>
              <w:spacing w:after="0"/>
            </w:pPr>
            <w:r>
              <w:rPr>
                <w:rFonts w:ascii="Arial" w:hAnsi="Arial"/>
                <w:b w:val="0"/>
                <w:sz w:val="14"/>
              </w:rPr>
              <w:t>Lifecycle responsibility objects; evidence partitioning; responsibility transfer across agents</w:t>
            </w:r>
          </w:p>
        </w:tc>
      </w:tr>
      <w:tr>
        <w:tc>
          <w:tcPr>
            <w:tcW w:type="dxa" w:w="2045"/>
          </w:tcPr>
          <w:p>
            <w:pPr>
              <w:spacing w:after="0"/>
            </w:pPr>
            <w:r>
              <w:rPr>
                <w:rFonts w:ascii="Arial" w:hAnsi="Arial"/>
                <w:b w:val="0"/>
                <w:sz w:val="14"/>
              </w:rPr>
              <w:t>Google Vertex AI / ADK / Model Armor</w:t>
            </w:r>
          </w:p>
        </w:tc>
        <w:tc>
          <w:tcPr>
            <w:tcW w:type="dxa" w:w="2045"/>
          </w:tcPr>
          <w:p>
            <w:pPr>
              <w:spacing w:after="0"/>
            </w:pPr>
            <w:r>
              <w:rPr>
                <w:rFonts w:ascii="Arial" w:hAnsi="Arial"/>
                <w:b w:val="0"/>
                <w:sz w:val="14"/>
              </w:rPr>
              <w:t>Cloud AI platform; agent development kit; model armor safety controls; enterprise AI management</w:t>
            </w:r>
          </w:p>
        </w:tc>
        <w:tc>
          <w:tcPr>
            <w:tcW w:type="dxa" w:w="2045"/>
          </w:tcPr>
          <w:p>
            <w:pPr>
              <w:spacing w:after="0"/>
            </w:pPr>
            <w:r>
              <w:rPr>
                <w:rFonts w:ascii="Arial" w:hAnsi="Arial"/>
                <w:b w:val="0"/>
                <w:sz w:val="14"/>
              </w:rPr>
              <w:t>Moderate to Strong (safety and management focus)</w:t>
            </w:r>
          </w:p>
        </w:tc>
        <w:tc>
          <w:tcPr>
            <w:tcW w:type="dxa" w:w="2045"/>
          </w:tcPr>
          <w:p>
            <w:pPr>
              <w:spacing w:after="0"/>
            </w:pPr>
            <w:r>
              <w:rPr>
                <w:rFonts w:ascii="Arial" w:hAnsi="Arial"/>
                <w:b w:val="0"/>
                <w:sz w:val="14"/>
              </w:rPr>
              <w:t>Moderate (ADK provides agent primitives, but lifecycle semantics require validation)</w:t>
            </w:r>
          </w:p>
        </w:tc>
        <w:tc>
          <w:tcPr>
            <w:tcW w:type="dxa" w:w="2045"/>
          </w:tcPr>
          <w:p>
            <w:pPr>
              <w:spacing w:after="0"/>
            </w:pPr>
            <w:r>
              <w:rPr>
                <w:rFonts w:ascii="Arial" w:hAnsi="Arial"/>
                <w:b w:val="0"/>
                <w:sz w:val="14"/>
              </w:rPr>
              <w:t>Lifecycle responsibility objects; authority boundary enforcement; privacy lifecycle mapping</w:t>
            </w:r>
          </w:p>
        </w:tc>
      </w:tr>
      <w:tr>
        <w:tc>
          <w:tcPr>
            <w:tcW w:type="dxa" w:w="2045"/>
          </w:tcPr>
          <w:p>
            <w:pPr>
              <w:spacing w:after="0"/>
            </w:pPr>
            <w:r>
              <w:rPr>
                <w:rFonts w:ascii="Arial" w:hAnsi="Arial"/>
                <w:b w:val="0"/>
                <w:sz w:val="14"/>
              </w:rPr>
              <w:t>LangGraph / LangSmith</w:t>
            </w:r>
          </w:p>
        </w:tc>
        <w:tc>
          <w:tcPr>
            <w:tcW w:type="dxa" w:w="2045"/>
          </w:tcPr>
          <w:p>
            <w:pPr>
              <w:spacing w:after="0"/>
            </w:pPr>
            <w:r>
              <w:rPr>
                <w:rFonts w:ascii="Arial" w:hAnsi="Arial"/>
                <w:b w:val="0"/>
                <w:sz w:val="14"/>
              </w:rPr>
              <w:t>Agent orchestration; observability; tracing; workflow management</w:t>
            </w:r>
          </w:p>
        </w:tc>
        <w:tc>
          <w:tcPr>
            <w:tcW w:type="dxa" w:w="2045"/>
          </w:tcPr>
          <w:p>
            <w:pPr>
              <w:spacing w:after="0"/>
            </w:pPr>
            <w:r>
              <w:rPr>
                <w:rFonts w:ascii="Arial" w:hAnsi="Arial"/>
                <w:b w:val="0"/>
                <w:sz w:val="14"/>
              </w:rPr>
              <w:t>Moderate (observability and tracing support governance)</w:t>
            </w:r>
          </w:p>
        </w:tc>
        <w:tc>
          <w:tcPr>
            <w:tcW w:type="dxa" w:w="2045"/>
          </w:tcPr>
          <w:p>
            <w:pPr>
              <w:spacing w:after="0"/>
            </w:pPr>
            <w:r>
              <w:rPr>
                <w:rFonts w:ascii="Arial" w:hAnsi="Arial"/>
                <w:b w:val="0"/>
                <w:sz w:val="14"/>
              </w:rPr>
              <w:t>Moderate (orchestration and tracing exist, but lifecycle object semantics require validation)</w:t>
            </w:r>
          </w:p>
        </w:tc>
        <w:tc>
          <w:tcPr>
            <w:tcW w:type="dxa" w:w="2045"/>
          </w:tcPr>
          <w:p>
            <w:pPr>
              <w:spacing w:after="0"/>
            </w:pPr>
            <w:r>
              <w:rPr>
                <w:rFonts w:ascii="Arial" w:hAnsi="Arial"/>
                <w:b w:val="0"/>
                <w:sz w:val="14"/>
              </w:rPr>
              <w:t>Governance primitives; authority boundary enforcement; accepted outcome compliance; evidence partitioning</w:t>
            </w:r>
          </w:p>
        </w:tc>
      </w:tr>
      <w:tr>
        <w:tc>
          <w:tcPr>
            <w:tcW w:type="dxa" w:w="2045"/>
          </w:tcPr>
          <w:p>
            <w:pPr>
              <w:spacing w:after="0"/>
            </w:pPr>
            <w:r>
              <w:rPr>
                <w:rFonts w:ascii="Arial" w:hAnsi="Arial"/>
                <w:b w:val="0"/>
                <w:sz w:val="14"/>
              </w:rPr>
              <w:t>OpenAI Agents SDK</w:t>
            </w:r>
          </w:p>
        </w:tc>
        <w:tc>
          <w:tcPr>
            <w:tcW w:type="dxa" w:w="2045"/>
          </w:tcPr>
          <w:p>
            <w:pPr>
              <w:spacing w:after="0"/>
            </w:pPr>
            <w:r>
              <w:rPr>
                <w:rFonts w:ascii="Arial" w:hAnsi="Arial"/>
                <w:b w:val="0"/>
                <w:sz w:val="14"/>
              </w:rPr>
              <w:t>Developer-focused agent framework; model access; tool use; execution orchestration</w:t>
            </w:r>
          </w:p>
        </w:tc>
        <w:tc>
          <w:tcPr>
            <w:tcW w:type="dxa" w:w="2045"/>
          </w:tcPr>
          <w:p>
            <w:pPr>
              <w:spacing w:after="0"/>
            </w:pPr>
            <w:r>
              <w:rPr>
                <w:rFonts w:ascii="Arial" w:hAnsi="Arial"/>
                <w:b w:val="0"/>
                <w:sz w:val="14"/>
              </w:rPr>
              <w:t>Low to Moderate (execution focus, governance primitives require validation)</w:t>
            </w:r>
          </w:p>
        </w:tc>
        <w:tc>
          <w:tcPr>
            <w:tcW w:type="dxa" w:w="2045"/>
          </w:tcPr>
          <w:p>
            <w:pPr>
              <w:spacing w:after="0"/>
            </w:pPr>
            <w:r>
              <w:rPr>
                <w:rFonts w:ascii="Arial" w:hAnsi="Arial"/>
                <w:b w:val="0"/>
                <w:sz w:val="14"/>
              </w:rPr>
              <w:t>Low to Moderate (execution orchestration exists, but lifecycle object semantics require validation)</w:t>
            </w:r>
          </w:p>
        </w:tc>
        <w:tc>
          <w:tcPr>
            <w:tcW w:type="dxa" w:w="2045"/>
          </w:tcPr>
          <w:p>
            <w:pPr>
              <w:spacing w:after="0"/>
            </w:pPr>
            <w:r>
              <w:rPr>
                <w:rFonts w:ascii="Arial" w:hAnsi="Arial"/>
                <w:b w:val="0"/>
                <w:sz w:val="14"/>
              </w:rPr>
              <w:t>Governance primitives; lifecycle responsibility objects; authority boundary enforcement; evidence chain</w:t>
            </w:r>
          </w:p>
        </w:tc>
      </w:tr>
      <w:tr>
        <w:tc>
          <w:tcPr>
            <w:tcW w:type="dxa" w:w="2045"/>
          </w:tcPr>
          <w:p>
            <w:pPr>
              <w:spacing w:after="0"/>
            </w:pPr>
            <w:r>
              <w:rPr>
                <w:rFonts w:ascii="Arial" w:hAnsi="Arial"/>
                <w:b w:val="0"/>
                <w:sz w:val="14"/>
              </w:rPr>
              <w:t>CrewAI</w:t>
            </w:r>
          </w:p>
        </w:tc>
        <w:tc>
          <w:tcPr>
            <w:tcW w:type="dxa" w:w="2045"/>
          </w:tcPr>
          <w:p>
            <w:pPr>
              <w:spacing w:after="0"/>
            </w:pPr>
            <w:r>
              <w:rPr>
                <w:rFonts w:ascii="Arial" w:hAnsi="Arial"/>
                <w:b w:val="0"/>
                <w:sz w:val="14"/>
              </w:rPr>
              <w:t>Multi-agent collaboration; role-based agent design; task orchestration</w:t>
            </w:r>
          </w:p>
        </w:tc>
        <w:tc>
          <w:tcPr>
            <w:tcW w:type="dxa" w:w="2045"/>
          </w:tcPr>
          <w:p>
            <w:pPr>
              <w:spacing w:after="0"/>
            </w:pPr>
            <w:r>
              <w:rPr>
                <w:rFonts w:ascii="Arial" w:hAnsi="Arial"/>
                <w:b w:val="0"/>
                <w:sz w:val="14"/>
              </w:rPr>
              <w:t>Low to Moderate (collaboration focus, governance primitives require validation)</w:t>
            </w:r>
          </w:p>
        </w:tc>
        <w:tc>
          <w:tcPr>
            <w:tcW w:type="dxa" w:w="2045"/>
          </w:tcPr>
          <w:p>
            <w:pPr>
              <w:spacing w:after="0"/>
            </w:pPr>
            <w:r>
              <w:rPr>
                <w:rFonts w:ascii="Arial" w:hAnsi="Arial"/>
                <w:b w:val="0"/>
                <w:sz w:val="14"/>
              </w:rPr>
              <w:t>Low to Moderate (role-based design exists, but lifecycle object semantics require validation)</w:t>
            </w:r>
          </w:p>
        </w:tc>
        <w:tc>
          <w:tcPr>
            <w:tcW w:type="dxa" w:w="2045"/>
          </w:tcPr>
          <w:p>
            <w:pPr>
              <w:spacing w:after="0"/>
            </w:pPr>
            <w:r>
              <w:rPr>
                <w:rFonts w:ascii="Arial" w:hAnsi="Arial"/>
                <w:b w:val="0"/>
                <w:sz w:val="14"/>
              </w:rPr>
              <w:t>Governance primitives; lifecycle responsibility objects; authority boundary enforcement; evidence chain</w:t>
            </w:r>
          </w:p>
        </w:tc>
      </w:tr>
    </w:tbl>
    <w:p>
      <w:pPr>
        <w:spacing w:after="56"/>
      </w:pPr>
      <w:r>
        <w:t>This table provides initial positioning based on public documentation, system architecture, and stated design goals. Chapter 12 tests these positions through evidence-qualified, provisional system mappings. Where numerical scoring is not fully source-bound, mappings remain qualitative and non-ranking.</w:t>
      </w:r>
    </w:p>
    <w:p>
      <w:pPr>
        <w:spacing w:after="56"/>
      </w:pPr>
      <w:r>
        <w:t>The table shows that systems have different strengths. Enterprise AI governance platforms tend to score higher on RCCS (regulatory compliance coverage) because they are designed for policy enforcement, risk management, and regulatory compliance. Lifecycle protocol paths tend to score higher on ALCS (agentic lifecycle conformance) because they are designed to expose lifecycle responsibility objects as first-class protocol primitives. Cloud AI platforms and agent orchestration frameworks tend to score in the moderate range on both RCCS and ALCS because they provide some governance capabilities and some lifecycle primitives, but may not expose full lifecycle responsibility semantics.</w:t>
      </w:r>
    </w:p>
    <w:p>
      <w:pPr>
        <w:spacing w:after="56"/>
      </w:pPr>
      <w:r>
        <w:t>The main lifecycle gaps identified in the table reflect the areas where Chapter 12 will focus detailed evaluation. For systems with strong RCCS posture, the gap is often agentic lifecycle object exposure. For systems with strong ALCS posture, the gap is often enterprise integration and adoption maturity. For systems with moderate posture on both dimensions, the gap is often governance primitives and lifecycle responsibility objects that require validation against public documentation.</w:t>
      </w:r>
    </w:p>
    <w:p>
      <w:pPr>
        <w:pStyle w:val="Heading2"/>
      </w:pPr>
      <w:r>
        <w:t>11.4 Reading the RCCS / ALCS Positioning</w:t>
      </w:r>
    </w:p>
    <w:p>
      <w:pPr>
        <w:spacing w:after="56"/>
      </w:pPr>
      <w:r>
        <w:t>RCCS and ALCS measure different layers. RCCS measures regulatory compliance coverage: whether a system provides the governance primitives that existing regulation requires. ALCS measures agentic lifecycle conformance: whether a system provides the lifecycle objects that make agentic responsibility auditable, provable, and transferable.</w:t>
      </w:r>
    </w:p>
    <w:p>
      <w:pPr>
        <w:spacing w:after="56"/>
      </w:pPr>
      <w:r>
        <w:t>A system can have a strong RCCS score and a weak ALCS score. This is not a contradiction. It means the system may provide strong regulatory compliance coverage through risk management, documentation, record-keeping, transparency, human oversight, security, accountability, contestability, and monitoring capabilities while lacking the deeper lifecycle responsibility objects required to prove authority boundaries, responsibility transfer, evidence partitioning, privacy lifecycle mapping, and vendor substitution conformance in multi-agent execution.</w:t>
      </w:r>
    </w:p>
    <w:p>
      <w:pPr>
        <w:spacing w:after="56"/>
      </w:pPr>
      <w:r>
        <w:t>A system can have a strong ALCS score and a moderate RCCS score. This is also not a contradiction. It means the system may provide strong lifecycle responsibility objects for human-role-to-MAS mapping, delegated authority boundaries, agent role distinction, accepted outcome compliance, tool-action liability, responsibility transfer, authority drift detection, evidence partitioning, and other lifecycle semantics while having less mature regulatory compliance coverage for risk management, documentation, record-keeping, or monitoring.</w:t>
      </w:r>
    </w:p>
    <w:p>
      <w:pPr>
        <w:spacing w:after="56"/>
      </w:pPr>
      <w:r>
        <w:t>The ideal system provides both strong RCCS and strong ALCS. This means the system provides the governance primitives that existing regulation requires and the lifecycle objects that make agentic responsibility auditable and transferable. Few systems currently achieve this profile because regulatory compliance coverage and agentic lifecycle conformance have evolved as separate concerns. Enterprise AI governance platforms focus on regulatory compliance. Agent orchestration frameworks focus on execution. Lifecycle protocol paths focus on responsibility semantics. The field is converging, but integration remains incomplete.</w:t>
      </w:r>
    </w:p>
    <w:p>
      <w:pPr>
        <w:spacing w:after="56"/>
      </w:pPr>
      <w:r>
        <w:t>The positioning in Table T-11-01 reflects this fragmentation. Systems with strong RCCS posture tend to be enterprise AI governance platforms designed for regulatory compliance. Systems with strong ALCS posture tend to be lifecycle protocol paths designed for responsibility semantics. Systems with moderate posture on both dimensions tend to be cloud AI platforms or agent orchestration frameworks that provide some governance capabilities and some lifecycle primitives, but may not expose full lifecycle responsibility semantics.</w:t>
      </w:r>
    </w:p>
    <w:p>
      <w:pPr>
        <w:spacing w:after="56"/>
      </w:pPr>
      <w:r>
        <w:t>Chapter 12 tests these positions through evidence-qualified, provisional system mappings. The positioning in this chapter is preliminary and based on public documentation, system architecture, and stated design goals. Detailed evaluation may reveal stronger or weaker capabilities than the preliminary positioning suggests, but system-level mappings remain qualitative and non-ranking unless numerical scoring is explicitly source-bound and approved.</w:t>
      </w:r>
    </w:p>
    <w:p>
      <w:pPr>
        <w:pStyle w:val="Heading2"/>
      </w:pPr>
      <w:r>
        <w:t>11.5 What the Comparison Does Not Claim</w:t>
      </w:r>
    </w:p>
    <w:p>
      <w:pPr>
        <w:spacing w:after="56"/>
      </w:pPr>
      <w:r>
        <w:t>The comparison does not claim that any system is certified, compliant, approved, endorsed, or recommended. It does not claim that any system is the best product, the right procurement choice, or the only solution. It does not claim that any system guarantees legal compliance, regulatory approval, or audit readiness.</w:t>
      </w:r>
    </w:p>
    <w:p>
      <w:pPr>
        <w:spacing w:after="56"/>
      </w:pPr>
      <w:r>
        <w:t>The comparison is a responsibility-semantics mapping based on public evidence and author inference where explicitly disclosed. It measures system capability to express governance primitives and lifecycle objects, not organizational conformance to legal requirements. It provides a structured method for comparing systems against RCCS and ALCS dimensions, not a certification program or procurement recommendation.</w:t>
      </w:r>
    </w:p>
    <w:p>
      <w:pPr>
        <w:spacing w:after="56"/>
      </w:pPr>
      <w:r>
        <w:t>The comparison does not claim:</w:t>
      </w:r>
    </w:p>
    <w:p>
      <w:pPr>
        <w:pStyle w:val="ListBullet"/>
        <w:spacing w:after="56"/>
      </w:pPr>
      <w:r>
        <w:t>Certification or conformity assessment: The comparison does not certify that any system is compliant with any regulation or standard. It does not substitute for conformity assessment, regulatory approval, or third-party certification.</w:t>
      </w:r>
    </w:p>
    <w:p>
      <w:pPr>
        <w:pStyle w:val="ListBullet"/>
        <w:spacing w:after="56"/>
      </w:pPr>
      <w:r>
        <w:t>Legal compliance judgment: The comparison does not determine whether any system meets legal obligations in any jurisdiction. Legal compliance depends on organizational practice, deployment context, risk class, and how the system is used.</w:t>
      </w:r>
    </w:p>
    <w:p>
      <w:pPr>
        <w:pStyle w:val="ListBullet"/>
        <w:spacing w:after="56"/>
      </w:pPr>
      <w:r>
        <w:t>Procurement recommendation: The comparison does not recommend any system for procurement. Procurement decisions depend on organizational requirements, budget, technical stack, risk appetite, vendor relationships, and strategic priorities.</w:t>
      </w:r>
    </w:p>
    <w:p>
      <w:pPr>
        <w:pStyle w:val="ListBullet"/>
        <w:spacing w:after="56"/>
      </w:pPr>
      <w:r>
        <w:t>Endorsement or criticism: The comparison does not endorse any system as superior or criticize any system as inadequate. It evaluates system capability against RCCS and ALCS dimensions, not product quality or market fitness.</w:t>
      </w:r>
    </w:p>
    <w:p>
      <w:pPr>
        <w:pStyle w:val="ListBullet"/>
        <w:spacing w:after="56"/>
      </w:pPr>
      <w:r>
        <w:t>Vendor quality judgment: The comparison does not evaluate vendor quality, support, pricing, or business practices. It evaluates system capability to express governance primitives and lifecycle objects based on public documentation.</w:t>
      </w:r>
    </w:p>
    <w:p>
      <w:pPr>
        <w:pStyle w:val="ListBullet"/>
        <w:spacing w:after="56"/>
      </w:pPr>
      <w:r>
        <w:t>Execution performance or feature completeness: The comparison does not evaluate execution performance, feature completeness, developer experience, or operational maturity. It evaluates governance primitives and lifecycle responsibility objects.</w:t>
      </w:r>
    </w:p>
    <w:p>
      <w:pPr>
        <w:pStyle w:val="ListBullet"/>
        <w:spacing w:after="56"/>
      </w:pPr>
      <w:r>
        <w:t>Market leadership or developer popularity: The comparison does not evaluate market share, developer adoption, community size, or ecosystem maturity. It evaluates system capability against RCCS and ALCS dimensions.</w:t>
      </w:r>
    </w:p>
    <w:p>
      <w:pPr>
        <w:spacing w:after="56"/>
      </w:pPr>
      <w:r>
        <w:t>MPLP-specific non-claim discipline:</w:t>
      </w:r>
    </w:p>
    <w:p>
      <w:pPr>
        <w:pStyle w:val="ListBullet"/>
        <w:spacing w:after="56"/>
      </w:pPr>
      <w:r>
        <w:t>MPLP is positioned as a lifecycle protocol path with strong ALCS alignment. This does not mean MPLP is a required compliance mechanism, a certification program, or a regulatory standard.</w:t>
      </w:r>
    </w:p>
    <w:p>
      <w:pPr>
        <w:pStyle w:val="ListBullet"/>
        <w:spacing w:after="56"/>
      </w:pPr>
      <w:r>
        <w:t>MPLP is not a certification authority. It does not certify that any system is compliant with any regulation.</w:t>
      </w:r>
    </w:p>
    <w:p>
      <w:pPr>
        <w:pStyle w:val="ListBullet"/>
        <w:spacing w:after="56"/>
      </w:pPr>
      <w:r>
        <w:t>MPLP is not a regulator. It does not enforce legal obligations or issue regulatory approvals.</w:t>
      </w:r>
    </w:p>
    <w:p>
      <w:pPr>
        <w:pStyle w:val="ListBullet"/>
        <w:spacing w:after="56"/>
      </w:pPr>
      <w:r>
        <w:t>MPLP is not a conformity assessment body. It does not issue conformity certificates or compliance attestations.</w:t>
      </w:r>
    </w:p>
    <w:p>
      <w:pPr>
        <w:pStyle w:val="ListBullet"/>
        <w:spacing w:after="56"/>
      </w:pPr>
      <w:r>
        <w:t>MPLP may be positioned as a lifecycle protocol path that exposes governance primitives and lifecycle responsibility objects as first-class protocol semantics. This is an architectural observation, not a legal claim or procurement recommendation.</w:t>
      </w:r>
    </w:p>
    <w:p>
      <w:pPr>
        <w:spacing w:after="56"/>
      </w:pPr>
      <w:r>
        <w:t>Validation Lab-specific non-claim discipline:</w:t>
      </w:r>
    </w:p>
    <w:p>
      <w:pPr>
        <w:pStyle w:val="ListBullet"/>
        <w:spacing w:after="56"/>
      </w:pPr>
      <w:r>
        <w:t>The Validation Lab is referenced in Chapter 14 as an evidence-based validation pattern. It is not a certification authority, regulator, or conformity assessment body.</w:t>
      </w:r>
    </w:p>
    <w:p>
      <w:pPr>
        <w:pStyle w:val="ListBullet"/>
        <w:spacing w:after="56"/>
      </w:pPr>
      <w:r>
        <w:t>The Validation Lab does not certify that any system is compliant with any regulation.</w:t>
      </w:r>
    </w:p>
    <w:p>
      <w:pPr>
        <w:pStyle w:val="ListBullet"/>
        <w:spacing w:after="56"/>
      </w:pPr>
      <w:r>
        <w:t>The Validation Lab does not issue audit opinions, legal compliance judgments, or regulatory approvals.</w:t>
      </w:r>
    </w:p>
    <w:p>
      <w:pPr>
        <w:pStyle w:val="ListBullet"/>
        <w:spacing w:after="56"/>
      </w:pPr>
      <w:r>
        <w:t>The Validation Lab is a validation pattern for evidence-based testing, not a certification program.</w:t>
      </w:r>
    </w:p>
    <w:p>
      <w:pPr>
        <w:spacing w:after="56"/>
      </w:pPr>
      <w:r>
        <w:t>The comparison is an analytical framework for comparing systems against RCCS and ALCS dimensions. It provides a structured method for evaluating whether systems provide the governance primitives and lifecycle objects that regulation and lifecycle responsibility require. It does not substitute for legal counsel, compliance review, risk assessment, procurement evaluation, or vendor due diligence.</w:t>
      </w:r>
    </w:p>
    <w:p>
      <w:pPr>
        <w:pStyle w:val="Heading2"/>
      </w:pPr>
      <w:r>
        <w:t>11.6 Bridge to Detailed System Mappings</w:t>
      </w:r>
    </w:p>
    <w:p>
      <w:pPr>
        <w:spacing w:after="56"/>
      </w:pPr>
      <w:r>
        <w:t>Chapter 12 will provide detailed system mappings for each of the eight systems or categories in scope. For each system, Chapter 12 will evaluate:</w:t>
      </w:r>
    </w:p>
    <w:p>
      <w:pPr>
        <w:pStyle w:val="ListBullet"/>
        <w:spacing w:after="56"/>
      </w:pPr>
      <w:r>
        <w:t>RCCS dimensions: Risk Management, Data Governance, Documentation, Record-Keeping, Transparency, Human Oversight, Security, Accountability, Contestability, Monitoring</w:t>
      </w:r>
    </w:p>
    <w:p>
      <w:pPr>
        <w:pStyle w:val="ListBullet"/>
        <w:spacing w:after="56"/>
      </w:pPr>
      <w:r>
        <w:t>ALCS dimensions: Human-Role-to-MAS Responsibility Mapping, Delegated Authority Boundary, Agent Role vs Human Role Distinction, Accepted Outcome Compliance, Tool-Action Liability Boundary, Responsibility Transfer Across Agents, Authority Drift Detection, MAS Evidence Partitioning, Cross-Project Reuse Compliance, Privacy/GDPR Lifecycle Mapping, Privacy-Preserving Third-Party Validation, Evidence Minimization and Selective Disclosure, Data Subject Rights vs Evidence Retention, Third-Party Processor/Subprocessor Chain, Vendor/Model/Runtime Substitution Conformance</w:t>
      </w:r>
    </w:p>
    <w:p>
      <w:pPr>
        <w:pStyle w:val="ListBullet"/>
        <w:spacing w:after="56"/>
      </w:pPr>
      <w:r>
        <w:t>Evidence basis: What evidence supports the evaluation (L1, L2, L3, L4, or L5)</w:t>
      </w:r>
    </w:p>
    <w:p>
      <w:pPr>
        <w:pStyle w:val="ListBullet"/>
        <w:spacing w:after="56"/>
      </w:pPr>
      <w:r>
        <w:t>Analytical posture: qualitative RCCS/ALCS mapping strength and evidence level; no published numerical system assessment unless explicitly source-bound and approved</w:t>
      </w:r>
    </w:p>
    <w:p>
      <w:pPr>
        <w:pStyle w:val="ListBullet"/>
        <w:spacing w:after="56"/>
      </w:pPr>
      <w:r>
        <w:t>Lifecycle gaps: What lifecycle responsibility objects or governance primitives are missing or require further validation</w:t>
      </w:r>
    </w:p>
    <w:p>
      <w:pPr>
        <w:spacing w:after="56"/>
      </w:pPr>
      <w:r>
        <w:t>Chapter 12 does not create published numerical system assessments, final procurement recommendations, certification, endorsement, or legal compliance judgments. Any numerical worksheet, if used, remains internal analytical support unless explicitly source-bound and approved for publication.</w:t>
      </w:r>
    </w:p>
    <w:p>
      <w:pPr>
        <w:spacing w:after="56"/>
      </w:pPr>
      <w:r>
        <w:t>Chapter 12 will provide evidence-based system mappings that allow buyers, auditors, governance teams, and protocol designers to evaluate whether systems provide the governance primitives and lifecycle objects that regulation and lifecycle responsibility require. It will make visible the difference between systems that provide regulatory compliance coverage, systems that provide lifecycle responsibility semantics, and systems that provide both.</w:t>
      </w:r>
    </w:p>
    <w:p>
      <w:pPr>
        <w:spacing w:after="56"/>
      </w:pPr>
      <w:r>
        <w:t>The positioning in this chapter prepares the reader for Chapter 12 by establishing the comparison method, defining the systems in scope, providing preliminary positioning, and clarifying what the comparison evaluates and what it does not evaluate. Chapter 12 then tests these positions with detailed evidence-qualified mapping across RCCS and ALCS dimensions.</w:t>
      </w:r>
    </w:p>
    <w:p>
      <w:pPr>
        <w:spacing w:after="56"/>
      </w:pPr>
      <w:r>
        <w:t>Figure F-05 - Lifecycle Conformance Mapping Strength Heatmap</w:t>
      </w:r>
    </w:p>
    <w:p>
      <w:pPr>
        <w:spacing w:after="56"/>
      </w:pPr>
      <w:r>
        <w:t>Figure F-05 is a qualitative, non-ranking map of lifecycle conformance visibility across systems and MRO / ALCS dimensions. It must not be read as a product ranking, procurement recommendation, or final vendor assessment.</w:t>
      </w:r>
    </w:p>
    <w:p>
      <w:pPr>
        <w:keepNext/>
      </w:pPr>
      <w:r>
        <w:rPr>
          <w:b/>
          <w:sz w:val="16"/>
        </w:rPr>
        <w:t>Table T-11-02: Comparison Boundary Table</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Comparison Dimension</w:t>
            </w:r>
          </w:p>
        </w:tc>
        <w:tc>
          <w:tcPr>
            <w:tcW w:type="dxa" w:w="3408"/>
          </w:tcPr>
          <w:p>
            <w:pPr>
              <w:spacing w:after="0"/>
            </w:pPr>
            <w:r>
              <w:rPr>
                <w:rFonts w:ascii="Arial" w:hAnsi="Arial"/>
                <w:b/>
                <w:sz w:val="14"/>
              </w:rPr>
              <w:t>What This Paper Evaluates</w:t>
            </w:r>
          </w:p>
        </w:tc>
        <w:tc>
          <w:tcPr>
            <w:tcW w:type="dxa" w:w="3408"/>
          </w:tcPr>
          <w:p>
            <w:pPr>
              <w:spacing w:after="0"/>
            </w:pPr>
            <w:r>
              <w:rPr>
                <w:rFonts w:ascii="Arial" w:hAnsi="Arial"/>
                <w:b/>
                <w:sz w:val="14"/>
              </w:rPr>
              <w:t>What This Paper Does Not Evaluate</w:t>
            </w:r>
          </w:p>
        </w:tc>
      </w:tr>
      <w:tr>
        <w:tc>
          <w:tcPr>
            <w:tcW w:type="dxa" w:w="3408"/>
          </w:tcPr>
          <w:p>
            <w:pPr>
              <w:spacing w:after="0"/>
            </w:pPr>
            <w:r>
              <w:rPr>
                <w:rFonts w:ascii="Arial" w:hAnsi="Arial"/>
                <w:b w:val="0"/>
                <w:sz w:val="14"/>
              </w:rPr>
              <w:t>Regulatory coverage</w:t>
            </w:r>
          </w:p>
        </w:tc>
        <w:tc>
          <w:tcPr>
            <w:tcW w:type="dxa" w:w="3408"/>
          </w:tcPr>
          <w:p>
            <w:pPr>
              <w:spacing w:after="0"/>
            </w:pPr>
            <w:r>
              <w:rPr>
                <w:rFonts w:ascii="Arial" w:hAnsi="Arial"/>
                <w:b w:val="0"/>
                <w:sz w:val="14"/>
              </w:rPr>
              <w:t>Whether a system provides governance primitives for risk management, data governance, documentation, record-keeping, transparency, human oversight, security, accountability, contestability, and monitoring (RCCS dimensions)</w:t>
            </w:r>
          </w:p>
        </w:tc>
        <w:tc>
          <w:tcPr>
            <w:tcW w:type="dxa" w:w="3408"/>
          </w:tcPr>
          <w:p>
            <w:pPr>
              <w:spacing w:after="0"/>
            </w:pPr>
            <w:r>
              <w:rPr>
                <w:rFonts w:ascii="Arial" w:hAnsi="Arial"/>
                <w:b w:val="0"/>
                <w:sz w:val="14"/>
              </w:rPr>
              <w:t>Legal compliance with specific regulations or jurisdictions; conformity assessment; regulatory approval; certification</w:t>
            </w:r>
          </w:p>
        </w:tc>
      </w:tr>
      <w:tr>
        <w:tc>
          <w:tcPr>
            <w:tcW w:type="dxa" w:w="3408"/>
          </w:tcPr>
          <w:p>
            <w:pPr>
              <w:spacing w:after="0"/>
            </w:pPr>
            <w:r>
              <w:rPr>
                <w:rFonts w:ascii="Arial" w:hAnsi="Arial"/>
                <w:b w:val="0"/>
                <w:sz w:val="14"/>
              </w:rPr>
              <w:t>Lifecycle object semantics</w:t>
            </w:r>
          </w:p>
        </w:tc>
        <w:tc>
          <w:tcPr>
            <w:tcW w:type="dxa" w:w="3408"/>
          </w:tcPr>
          <w:p>
            <w:pPr>
              <w:spacing w:after="0"/>
            </w:pPr>
            <w:r>
              <w:rPr>
                <w:rFonts w:ascii="Arial" w:hAnsi="Arial"/>
                <w:b w:val="0"/>
                <w:sz w:val="14"/>
              </w:rPr>
              <w:t>Whether a system provides lifecycle responsibility objects for human-role-to-MAS mapping, delegated authority boundaries, agent role distinction, accepted outcome compliance, tool-action liability, responsibility transfer, authority drift detection, evidence partitioning, cross-project reuse, privacy lifecycle mapping, privacy-preserving validation, evidence minimization, data subject rights reconciliation, processor chain tracking, and vendor substitution conformance (ALCS dimensions)</w:t>
            </w:r>
          </w:p>
        </w:tc>
        <w:tc>
          <w:tcPr>
            <w:tcW w:type="dxa" w:w="3408"/>
          </w:tcPr>
          <w:p>
            <w:pPr>
              <w:spacing w:after="0"/>
            </w:pPr>
            <w:r>
              <w:rPr>
                <w:rFonts w:ascii="Arial" w:hAnsi="Arial"/>
                <w:b w:val="0"/>
                <w:sz w:val="14"/>
              </w:rPr>
              <w:t>Organizational conformance to legal requirements; deployment context; risk class; how the system is used</w:t>
            </w:r>
          </w:p>
        </w:tc>
      </w:tr>
      <w:tr>
        <w:tc>
          <w:tcPr>
            <w:tcW w:type="dxa" w:w="3408"/>
          </w:tcPr>
          <w:p>
            <w:pPr>
              <w:spacing w:after="0"/>
            </w:pPr>
            <w:r>
              <w:rPr>
                <w:rFonts w:ascii="Arial" w:hAnsi="Arial"/>
                <w:b w:val="0"/>
                <w:sz w:val="14"/>
              </w:rPr>
              <w:t>Evidence basis</w:t>
            </w:r>
          </w:p>
        </w:tc>
        <w:tc>
          <w:tcPr>
            <w:tcW w:type="dxa" w:w="3408"/>
          </w:tcPr>
          <w:p>
            <w:pPr>
              <w:spacing w:after="0"/>
            </w:pPr>
            <w:r>
              <w:rPr>
                <w:rFonts w:ascii="Arial" w:hAnsi="Arial"/>
                <w:b w:val="0"/>
                <w:sz w:val="14"/>
              </w:rPr>
              <w:t>Whether public documentation, API specifications, protocol definitions, or reproducible evidence artifacts support the evaluation; where evidence is weak or unavailable, whether author inference is explicitly disclosed</w:t>
            </w:r>
          </w:p>
        </w:tc>
        <w:tc>
          <w:tcPr>
            <w:tcW w:type="dxa" w:w="3408"/>
          </w:tcPr>
          <w:p>
            <w:pPr>
              <w:spacing w:after="0"/>
            </w:pPr>
            <w:r>
              <w:rPr>
                <w:rFonts w:ascii="Arial" w:hAnsi="Arial"/>
                <w:b w:val="0"/>
                <w:sz w:val="14"/>
              </w:rPr>
              <w:t>Vendor quality; support; pricing; business practices; market leadership; developer popularity; community size; ecosystem maturity</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System capability to express governance primitives and lifecycle objects based on public documentation and evidence-based evaluation</w:t>
            </w:r>
          </w:p>
        </w:tc>
        <w:tc>
          <w:tcPr>
            <w:tcW w:type="dxa" w:w="3408"/>
          </w:tcPr>
          <w:p>
            <w:pPr>
              <w:spacing w:after="0"/>
            </w:pPr>
            <w:r>
              <w:rPr>
                <w:rFonts w:ascii="Arial" w:hAnsi="Arial"/>
                <w:b w:val="0"/>
                <w:sz w:val="14"/>
              </w:rPr>
              <w:t>Product quality; feature completeness; execution performance; developer experience; operational maturity; procurement suitability; vendor relationships; strategic fit</w:t>
            </w:r>
          </w:p>
        </w:tc>
      </w:tr>
      <w:tr>
        <w:tc>
          <w:tcPr>
            <w:tcW w:type="dxa" w:w="3408"/>
          </w:tcPr>
          <w:p>
            <w:pPr>
              <w:spacing w:after="0"/>
            </w:pPr>
            <w:r>
              <w:rPr>
                <w:rFonts w:ascii="Arial" w:hAnsi="Arial"/>
                <w:b w:val="0"/>
                <w:sz w:val="14"/>
              </w:rPr>
              <w:t>Product quality</w:t>
            </w:r>
          </w:p>
        </w:tc>
        <w:tc>
          <w:tcPr>
            <w:tcW w:type="dxa" w:w="3408"/>
          </w:tcPr>
          <w:p>
            <w:pPr>
              <w:spacing w:after="0"/>
            </w:pPr>
            <w:r>
              <w:rPr>
                <w:rFonts w:ascii="Arial" w:hAnsi="Arial"/>
                <w:b w:val="0"/>
                <w:sz w:val="14"/>
              </w:rPr>
              <w:t>Not evaluated</w:t>
            </w:r>
          </w:p>
        </w:tc>
        <w:tc>
          <w:tcPr>
            <w:tcW w:type="dxa" w:w="3408"/>
          </w:tcPr>
          <w:p>
            <w:pPr>
              <w:spacing w:after="0"/>
            </w:pPr>
            <w:r>
              <w:rPr>
                <w:rFonts w:ascii="Arial" w:hAnsi="Arial"/>
                <w:b w:val="0"/>
                <w:sz w:val="14"/>
              </w:rPr>
              <w:t>Execution performance; feature completeness; developer experience; operational maturity; reliability; scalability; usability</w:t>
            </w:r>
          </w:p>
        </w:tc>
      </w:tr>
      <w:tr>
        <w:tc>
          <w:tcPr>
            <w:tcW w:type="dxa" w:w="3408"/>
          </w:tcPr>
          <w:p>
            <w:pPr>
              <w:spacing w:after="0"/>
            </w:pPr>
            <w:r>
              <w:rPr>
                <w:rFonts w:ascii="Arial" w:hAnsi="Arial"/>
                <w:b w:val="0"/>
                <w:sz w:val="14"/>
              </w:rPr>
              <w:t>Procurement suitability</w:t>
            </w:r>
          </w:p>
        </w:tc>
        <w:tc>
          <w:tcPr>
            <w:tcW w:type="dxa" w:w="3408"/>
          </w:tcPr>
          <w:p>
            <w:pPr>
              <w:spacing w:after="0"/>
            </w:pPr>
            <w:r>
              <w:rPr>
                <w:rFonts w:ascii="Arial" w:hAnsi="Arial"/>
                <w:b w:val="0"/>
                <w:sz w:val="14"/>
              </w:rPr>
              <w:t>Not evaluated</w:t>
            </w:r>
          </w:p>
        </w:tc>
        <w:tc>
          <w:tcPr>
            <w:tcW w:type="dxa" w:w="3408"/>
          </w:tcPr>
          <w:p>
            <w:pPr>
              <w:spacing w:after="0"/>
            </w:pPr>
            <w:r>
              <w:rPr>
                <w:rFonts w:ascii="Arial" w:hAnsi="Arial"/>
                <w:b w:val="0"/>
                <w:sz w:val="14"/>
              </w:rPr>
              <w:t>Organizational requirements; budget; technical stack; risk appetite; vendor relationships; strategic priorities; total cost of ownership; support quality</w:t>
            </w:r>
          </w:p>
        </w:tc>
      </w:tr>
      <w:tr>
        <w:tc>
          <w:tcPr>
            <w:tcW w:type="dxa" w:w="3408"/>
          </w:tcPr>
          <w:p>
            <w:pPr>
              <w:spacing w:after="0"/>
            </w:pPr>
            <w:r>
              <w:rPr>
                <w:rFonts w:ascii="Arial" w:hAnsi="Arial"/>
                <w:b w:val="0"/>
                <w:sz w:val="14"/>
              </w:rPr>
              <w:t>Legal compliance</w:t>
            </w:r>
          </w:p>
        </w:tc>
        <w:tc>
          <w:tcPr>
            <w:tcW w:type="dxa" w:w="3408"/>
          </w:tcPr>
          <w:p>
            <w:pPr>
              <w:spacing w:after="0"/>
            </w:pPr>
            <w:r>
              <w:rPr>
                <w:rFonts w:ascii="Arial" w:hAnsi="Arial"/>
                <w:b w:val="0"/>
                <w:sz w:val="14"/>
              </w:rPr>
              <w:t>Not evaluated</w:t>
            </w:r>
          </w:p>
        </w:tc>
        <w:tc>
          <w:tcPr>
            <w:tcW w:type="dxa" w:w="3408"/>
          </w:tcPr>
          <w:p>
            <w:pPr>
              <w:spacing w:after="0"/>
            </w:pPr>
            <w:r>
              <w:rPr>
                <w:rFonts w:ascii="Arial" w:hAnsi="Arial"/>
                <w:b w:val="0"/>
                <w:sz w:val="14"/>
              </w:rPr>
              <w:t>Legal compliance with specific regulations or jurisdictions; legal counsel; compliance review; risk assessment; regulatory examination</w:t>
            </w:r>
          </w:p>
        </w:tc>
      </w:tr>
      <w:tr>
        <w:tc>
          <w:tcPr>
            <w:tcW w:type="dxa" w:w="3408"/>
          </w:tcPr>
          <w:p>
            <w:pPr>
              <w:spacing w:after="0"/>
            </w:pPr>
            <w:r>
              <w:rPr>
                <w:rFonts w:ascii="Arial" w:hAnsi="Arial"/>
                <w:b w:val="0"/>
                <w:sz w:val="14"/>
              </w:rPr>
              <w:t>Certification / endorsement</w:t>
            </w:r>
          </w:p>
        </w:tc>
        <w:tc>
          <w:tcPr>
            <w:tcW w:type="dxa" w:w="3408"/>
          </w:tcPr>
          <w:p>
            <w:pPr>
              <w:spacing w:after="0"/>
            </w:pPr>
            <w:r>
              <w:rPr>
                <w:rFonts w:ascii="Arial" w:hAnsi="Arial"/>
                <w:b w:val="0"/>
                <w:sz w:val="14"/>
              </w:rPr>
              <w:t>Not evaluated</w:t>
            </w:r>
          </w:p>
        </w:tc>
        <w:tc>
          <w:tcPr>
            <w:tcW w:type="dxa" w:w="3408"/>
          </w:tcPr>
          <w:p>
            <w:pPr>
              <w:spacing w:after="0"/>
            </w:pPr>
            <w:r>
              <w:rPr>
                <w:rFonts w:ascii="Arial" w:hAnsi="Arial"/>
                <w:b w:val="0"/>
                <w:sz w:val="14"/>
              </w:rPr>
              <w:t>Certification; conformity assessment; regulatory approval; endorsement; criticism; vendor quality judgment; market leadership judgment</w:t>
            </w:r>
          </w:p>
        </w:tc>
      </w:tr>
    </w:tbl>
    <w:p>
      <w:pPr>
        <w:spacing w:after="56"/>
      </w:pPr>
      <w:r>
        <w:t>This table clarifies the boundaries of the comparison. It ensures that readers understand what the comparison evaluates and what it does not evaluate. It prevents scope confusion and establishes clear expectations about what the white paper claims and what it does not claim.</w:t>
      </w:r>
    </w:p>
    <w:p>
      <w:pPr>
        <w:pStyle w:val="Heading1"/>
      </w:pPr>
      <w:r>
        <w:t>Chapter 12: Detailed System Mappings</w:t>
      </w:r>
    </w:p>
    <w:p>
      <w:pPr>
        <w:spacing w:after="56"/>
      </w:pPr>
      <w:r>
        <w:t>Version: v0.3.2-FRC-R3</w:t>
      </w:r>
    </w:p>
    <w:p>
      <w:pPr>
        <w:pStyle w:val="Heading2"/>
      </w:pPr>
      <w:r>
        <w:t>12.0 Purpose of Detailed System Mappings</w:t>
      </w:r>
    </w:p>
    <w:p>
      <w:pPr>
        <w:spacing w:after="56"/>
      </w:pPr>
      <w:r>
        <w:t>This chapter performs detailed system mappings for the eight systems introduced in Chapter 11. It evaluates public evidence of governance primitives and lifecycle responsibility objects against RCCS and ALCS dimensions. The purpose is to make visible which systems provide which capabilities, where evidence is strong, where evidence is weak, and where lifecycle gaps remain.</w:t>
      </w:r>
    </w:p>
    <w:p>
      <w:pPr>
        <w:spacing w:after="56"/>
      </w:pPr>
      <w:r>
        <w:t>This chapter is not a product ranking. It is not a legal compliance judgment. It is not a procurement recommendation. It is not an endorsement or criticism of any vendor. It is a responsibility-semantics mapping based on public evidence and author inference where explicitly disclosed.</w:t>
      </w:r>
    </w:p>
    <w:p>
      <w:pPr>
        <w:spacing w:after="56"/>
      </w:pPr>
      <w:r>
        <w:t>The chapter evaluates whether systems expose governance primitives and lifecycle responsibility objects. It does not evaluate product quality, market leadership, pricing, procurement suitability, developer experience, or legal compliance. Those are different questions that depend on organizational context, deployment requirements, risk appetite, budget, technical stack, and strategic priorities.</w:t>
      </w:r>
    </w:p>
    <w:p>
      <w:pPr>
        <w:spacing w:after="56"/>
      </w:pPr>
      <w:r>
        <w:t>What this chapter evaluates:</w:t>
      </w:r>
    </w:p>
    <w:p>
      <w:pPr>
        <w:pStyle w:val="ListBullet"/>
        <w:spacing w:after="56"/>
      </w:pPr>
      <w:r>
        <w:t>Whether a system defines governance primitives for risk management, data governance, documentation, record-keeping, transparency, human oversight, security, accountability, contestability, and monitoring (RCCS dimensions)</w:t>
      </w:r>
    </w:p>
    <w:p>
      <w:pPr>
        <w:pStyle w:val="ListBullet"/>
        <w:spacing w:after="56"/>
      </w:pPr>
      <w:r>
        <w:t>Whether a system defines lifecycle responsibility objects for human-role-to-MAS mapping, delegated authority boundaries, agent role distinction, accepted outcome compliance, tool-action liability, responsibility transfer, authority drift detection, evidence partitioning, cross-project reuse, privacy lifecycle mapping, privacy-preserving validation, evidence minimization, data subject rights reconciliation, processor chain tracking, and vendor substitution conformance (ALCS dimensions)</w:t>
      </w:r>
    </w:p>
    <w:p>
      <w:pPr>
        <w:pStyle w:val="ListBullet"/>
        <w:spacing w:after="56"/>
      </w:pPr>
      <w:r>
        <w:t>Whether public documentation, API specifications, protocol definitions, or reproducible evidence artifacts support the evaluation</w:t>
      </w:r>
    </w:p>
    <w:p>
      <w:pPr>
        <w:pStyle w:val="ListBullet"/>
        <w:spacing w:after="56"/>
      </w:pPr>
      <w:r>
        <w:t>Where evidence is weak or unavailable, whether author inference is explicitly disclosed</w:t>
      </w:r>
    </w:p>
    <w:p>
      <w:pPr>
        <w:spacing w:after="56"/>
      </w:pPr>
      <w:r>
        <w:t>What this chapter does not evaluate:</w:t>
      </w:r>
    </w:p>
    <w:p>
      <w:pPr>
        <w:pStyle w:val="ListBullet"/>
        <w:spacing w:after="56"/>
      </w:pPr>
      <w:r>
        <w:t>Product quality, feature completeness, or execution performance</w:t>
      </w:r>
    </w:p>
    <w:p>
      <w:pPr>
        <w:pStyle w:val="ListBullet"/>
        <w:spacing w:after="56"/>
      </w:pPr>
      <w:r>
        <w:t>Market leadership, developer popularity, or community adoption</w:t>
      </w:r>
    </w:p>
    <w:p>
      <w:pPr>
        <w:pStyle w:val="ListBullet"/>
        <w:spacing w:after="56"/>
      </w:pPr>
      <w:r>
        <w:t>Procurement suitability, pricing, or vendor support</w:t>
      </w:r>
    </w:p>
    <w:p>
      <w:pPr>
        <w:pStyle w:val="ListBullet"/>
        <w:spacing w:after="56"/>
      </w:pPr>
      <w:r>
        <w:t>Legal compliance with specific regulations or jurisdictions</w:t>
      </w:r>
    </w:p>
    <w:p>
      <w:pPr>
        <w:pStyle w:val="ListBullet"/>
        <w:spacing w:after="56"/>
      </w:pPr>
      <w:r>
        <w:t>Certification, conformity assessment, or regulatory approval</w:t>
      </w:r>
    </w:p>
    <w:p>
      <w:pPr>
        <w:pStyle w:val="ListBullet"/>
        <w:spacing w:after="56"/>
      </w:pPr>
      <w:r>
        <w:t>Endorsement or criticism of any vendor or product</w:t>
      </w:r>
    </w:p>
    <w:p>
      <w:pPr>
        <w:spacing w:after="56"/>
      </w:pPr>
      <w:r>
        <w:t>Evidence boundary:</w:t>
      </w:r>
    </w:p>
    <w:p>
      <w:pPr>
        <w:pStyle w:val="ListBullet"/>
        <w:spacing w:after="56"/>
      </w:pPr>
      <w:r>
        <w:t>Public documentation may be incomplete. Absence of evidence is not evidence of absence.</w:t>
      </w:r>
    </w:p>
    <w:p>
      <w:pPr>
        <w:pStyle w:val="ListBullet"/>
        <w:spacing w:after="56"/>
      </w:pPr>
      <w:r>
        <w:t>Vendor capability claims require official documentation or are marked as author inference.</w:t>
      </w:r>
    </w:p>
    <w:p>
      <w:pPr>
        <w:pStyle w:val="ListBullet"/>
        <w:spacing w:after="56"/>
      </w:pPr>
      <w:r>
        <w:t>Scores and mappings are analytical and evidence-qualified.</w:t>
      </w:r>
    </w:p>
    <w:p>
      <w:pPr>
        <w:pStyle w:val="ListBullet"/>
        <w:spacing w:after="56"/>
      </w:pPr>
      <w:r>
        <w:t>This is not a certification program. It does not certify that any system is compliant with any regulation.</w:t>
      </w:r>
    </w:p>
    <w:p>
      <w:pPr>
        <w:pStyle w:val="Heading2"/>
      </w:pPr>
      <w:r>
        <w:t>12.1 Mapping Method and Evidence Boundary</w:t>
      </w:r>
    </w:p>
    <w:p>
      <w:pPr>
        <w:spacing w:after="56"/>
      </w:pPr>
      <w:r>
        <w:t>The mapping method evaluates systems against RCCS and ALCS dimensions using the evidence hierarchy established in Chapter 1 and the scoring rubrics defined in Chapters 7 and 8.</w:t>
      </w:r>
    </w:p>
    <w:p>
      <w:pPr>
        <w:pStyle w:val="Heading3"/>
      </w:pPr>
      <w:r>
        <w:t>Evidence Hierarchy</w:t>
      </w:r>
    </w:p>
    <w:p>
      <w:pPr>
        <w:spacing w:after="56"/>
      </w:pPr>
      <w:r>
        <w:t>The evidence hierarchy used in this chapter is:</w:t>
      </w:r>
    </w:p>
    <w:p>
      <w:pPr>
        <w:pStyle w:val="ListBullet"/>
        <w:spacing w:after="56"/>
      </w:pPr>
      <w:r>
        <w:t>L1 — Binding Legal / Regulatory / Standards Text: Legal, regulatory, or formal standards baseline. L1 does not prove product implementation.</w:t>
      </w:r>
    </w:p>
    <w:p>
      <w:pPr>
        <w:pStyle w:val="ListBullet"/>
        <w:spacing w:after="56"/>
      </w:pPr>
      <w:r>
        <w:t>L2 — Official Product, Protocol, API, or Repository Documentation: Official documentation, API docs, developer documentation, protocol specifications, platform architecture docs, or official repository documentation.</w:t>
      </w:r>
    </w:p>
    <w:p>
      <w:pPr>
        <w:pStyle w:val="ListBullet"/>
        <w:spacing w:after="56"/>
      </w:pPr>
      <w:r>
        <w:t>L3 — Independent Audit / Third-Party Evaluation: Third-party audit reports, credible research papers, independent reports, or assurance evidence.</w:t>
      </w:r>
    </w:p>
    <w:p>
      <w:pPr>
        <w:pStyle w:val="ListBullet"/>
        <w:spacing w:after="56"/>
      </w:pPr>
      <w:r>
        <w:t>L4 — Vendor Claim / Marketing Page / Announcement: Vendor white papers, product pages, blogs, announcements, or positioning material.</w:t>
      </w:r>
    </w:p>
    <w:p>
      <w:pPr>
        <w:pStyle w:val="ListBullet"/>
        <w:spacing w:after="56"/>
      </w:pPr>
      <w:r>
        <w:t>L5 — Author Inference / Analytical Interpretation: Author inference, conceptual analysis, or mapping judgment. Explicitly disclosed.</w:t>
      </w:r>
    </w:p>
    <w:p>
      <w:pPr>
        <w:spacing w:after="56"/>
      </w:pPr>
      <w:r>
        <w:t>The canonical evidence multipliers are L1=1.00, L2=0.85, L3=0.75, L4=0.55, and L5=0.35. Protocol specifications are treated as L2 unless they are binding legal or standards text. Mapping a product or protocol feature to RCCS/ALCS remains an analytical interpretation unless the source directly defines the lifecycle governance object.</w:t>
      </w:r>
    </w:p>
    <w:p>
      <w:pPr>
        <w:pStyle w:val="Heading3"/>
      </w:pPr>
      <w:r>
        <w:t>Evidence Limitation</w:t>
      </w:r>
    </w:p>
    <w:p>
      <w:pPr>
        <w:spacing w:after="56"/>
      </w:pPr>
      <w:r>
        <w:t>Public documentation may be incomplete. Absence of evidence is not evidence of absence. A system may provide a capability that is not documented publicly. A system may provide a capability that is documented but not yet validated by independent audit. A system may provide a capability that is in development but not yet released.</w:t>
      </w:r>
    </w:p>
    <w:p>
      <w:pPr>
        <w:spacing w:after="56"/>
      </w:pPr>
      <w:r>
        <w:t>This chapter evaluates public evidence available as of May 2026. Vendor capability claims are source-qualified or marked as author inference. No unsupported final numeric scores are introduced without evidence basis, and this publication draft does not present published numerical system assessments or rankings.</w:t>
      </w:r>
    </w:p>
    <w:p>
      <w:pPr>
        <w:pStyle w:val="Heading3"/>
      </w:pPr>
      <w:r>
        <w:t>Mapping Strength Scale</w:t>
      </w:r>
    </w:p>
    <w:p>
      <w:pPr>
        <w:spacing w:after="56"/>
      </w:pPr>
      <w:r>
        <w:t>Instead of numeric scores for every dimension in this phase, the chapter uses qualitative mapping strength:</w:t>
      </w:r>
    </w:p>
    <w:p>
      <w:pPr>
        <w:pStyle w:val="ListBullet"/>
        <w:spacing w:after="56"/>
      </w:pPr>
      <w:r>
        <w:t>Strong: Public documentation shows clear primitives, API support, or protocol semantics for the dimension.</w:t>
      </w:r>
    </w:p>
    <w:p>
      <w:pPr>
        <w:pStyle w:val="ListBullet"/>
        <w:spacing w:after="56"/>
      </w:pPr>
      <w:r>
        <w:t>Moderate: Public documentation suggests capability exists, but coverage is partial or requires validation.</w:t>
      </w:r>
    </w:p>
    <w:p>
      <w:pPr>
        <w:pStyle w:val="ListBullet"/>
        <w:spacing w:after="56"/>
      </w:pPr>
      <w:r>
        <w:t>Partial: Some evidence exists, but significant gaps or limitations are evident.</w:t>
      </w:r>
    </w:p>
    <w:p>
      <w:pPr>
        <w:pStyle w:val="ListBullet"/>
        <w:spacing w:after="56"/>
      </w:pPr>
      <w:r>
        <w:t>Weak: Minimal evidence or capability is conceptual only.</w:t>
      </w:r>
    </w:p>
    <w:p>
      <w:pPr>
        <w:pStyle w:val="ListBullet"/>
        <w:spacing w:after="56"/>
      </w:pPr>
      <w:r>
        <w:t>Not Evaluated: Insufficient public evidence to evaluate, or outside system scope.</w:t>
      </w:r>
    </w:p>
    <w:p>
      <w:pPr>
        <w:spacing w:after="56"/>
      </w:pPr>
      <w:r>
        <w:t>This chapter uses qualitative mapping strength. Numerical worksheets, if used, remain internal analytical support and are not presented as published numerical system assessments or rankings in this publication draft.</w:t>
      </w:r>
    </w:p>
    <w:p>
      <w:pPr>
        <w:pStyle w:val="Heading3"/>
      </w:pPr>
      <w:r>
        <w:t>Evidence Basis Table</w:t>
      </w:r>
    </w:p>
    <w:p>
      <w:pPr>
        <w:spacing w:after="56"/>
      </w:pPr>
      <w:r>
        <w:t>The following table defines the evidence scale used in system mappings.</w:t>
      </w:r>
    </w:p>
    <w:p>
      <w:pPr>
        <w:keepNext/>
      </w:pPr>
      <w:r>
        <w:rPr>
          <w:b/>
          <w:sz w:val="16"/>
        </w:rPr>
        <w:t>Table T-12-01: System Mapping Evidence Scale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Use in Mapping</w:t>
            </w:r>
          </w:p>
        </w:tc>
        <w:tc>
          <w:tcPr>
            <w:tcW w:type="dxa" w:w="2556"/>
          </w:tcPr>
          <w:p>
            <w:pPr>
              <w:spacing w:after="0"/>
            </w:pPr>
            <w:r>
              <w:rPr>
                <w:rFonts w:ascii="Arial" w:hAnsi="Arial"/>
                <w:b/>
                <w:sz w:val="14"/>
              </w:rPr>
              <w:t>Limitation</w:t>
            </w:r>
          </w:p>
        </w:tc>
      </w:tr>
      <w:tr>
        <w:tc>
          <w:tcPr>
            <w:tcW w:type="dxa" w:w="2556"/>
          </w:tcPr>
          <w:p>
            <w:pPr>
              <w:spacing w:after="0"/>
            </w:pPr>
            <w:r>
              <w:rPr>
                <w:rFonts w:ascii="Arial" w:hAnsi="Arial"/>
                <w:b w:val="0"/>
                <w:sz w:val="14"/>
              </w:rPr>
              <w:t>L1</w:t>
            </w:r>
          </w:p>
        </w:tc>
        <w:tc>
          <w:tcPr>
            <w:tcW w:type="dxa" w:w="2556"/>
          </w:tcPr>
          <w:p>
            <w:pPr>
              <w:spacing w:after="0"/>
            </w:pPr>
            <w:r>
              <w:rPr>
                <w:rFonts w:ascii="Arial" w:hAnsi="Arial"/>
                <w:b w:val="0"/>
                <w:sz w:val="14"/>
              </w:rPr>
              <w:t>Binding legal / regulatory / standards text</w:t>
            </w:r>
          </w:p>
        </w:tc>
        <w:tc>
          <w:tcPr>
            <w:tcW w:type="dxa" w:w="2556"/>
          </w:tcPr>
          <w:p>
            <w:pPr>
              <w:spacing w:after="0"/>
            </w:pPr>
            <w:r>
              <w:rPr>
                <w:rFonts w:ascii="Arial" w:hAnsi="Arial"/>
                <w:b w:val="0"/>
                <w:sz w:val="14"/>
              </w:rPr>
              <w:t>Establishes baseline obligations or framework requirements</w:t>
            </w:r>
          </w:p>
        </w:tc>
        <w:tc>
          <w:tcPr>
            <w:tcW w:type="dxa" w:w="2556"/>
          </w:tcPr>
          <w:p>
            <w:pPr>
              <w:spacing w:after="0"/>
            </w:pPr>
            <w:r>
              <w:rPr>
                <w:rFonts w:ascii="Arial" w:hAnsi="Arial"/>
                <w:b w:val="0"/>
                <w:sz w:val="14"/>
              </w:rPr>
              <w:t>Does not prove system implementation</w:t>
            </w:r>
          </w:p>
        </w:tc>
      </w:tr>
      <w:tr>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Official product, protocol, API, developer, platform, or repository documentation</w:t>
            </w:r>
          </w:p>
        </w:tc>
        <w:tc>
          <w:tcPr>
            <w:tcW w:type="dxa" w:w="2556"/>
          </w:tcPr>
          <w:p>
            <w:pPr>
              <w:spacing w:after="0"/>
            </w:pPr>
            <w:r>
              <w:rPr>
                <w:rFonts w:ascii="Arial" w:hAnsi="Arial"/>
                <w:b w:val="0"/>
                <w:sz w:val="14"/>
              </w:rPr>
              <w:t>Supports documented product/protocol capability claims</w:t>
            </w:r>
          </w:p>
        </w:tc>
        <w:tc>
          <w:tcPr>
            <w:tcW w:type="dxa" w:w="2556"/>
          </w:tcPr>
          <w:p>
            <w:pPr>
              <w:spacing w:after="0"/>
            </w:pPr>
            <w:r>
              <w:rPr>
                <w:rFonts w:ascii="Arial" w:hAnsi="Arial"/>
                <w:b w:val="0"/>
                <w:sz w:val="14"/>
              </w:rPr>
              <w:t>Does not prove deployment practice, audit success, or legal compliance</w:t>
            </w:r>
          </w:p>
        </w:tc>
      </w:tr>
      <w:tr>
        <w:tc>
          <w:tcPr>
            <w:tcW w:type="dxa" w:w="2556"/>
          </w:tcPr>
          <w:p>
            <w:pPr>
              <w:spacing w:after="0"/>
            </w:pPr>
            <w:r>
              <w:rPr>
                <w:rFonts w:ascii="Arial" w:hAnsi="Arial"/>
                <w:b w:val="0"/>
                <w:sz w:val="14"/>
              </w:rPr>
              <w:t>L3</w:t>
            </w:r>
          </w:p>
        </w:tc>
        <w:tc>
          <w:tcPr>
            <w:tcW w:type="dxa" w:w="2556"/>
          </w:tcPr>
          <w:p>
            <w:pPr>
              <w:spacing w:after="0"/>
            </w:pPr>
            <w:r>
              <w:rPr>
                <w:rFonts w:ascii="Arial" w:hAnsi="Arial"/>
                <w:b w:val="0"/>
                <w:sz w:val="14"/>
              </w:rPr>
              <w:t>Independent audit report, credible research paper, independent report</w:t>
            </w:r>
          </w:p>
        </w:tc>
        <w:tc>
          <w:tcPr>
            <w:tcW w:type="dxa" w:w="2556"/>
          </w:tcPr>
          <w:p>
            <w:pPr>
              <w:spacing w:after="0"/>
            </w:pPr>
            <w:r>
              <w:rPr>
                <w:rFonts w:ascii="Arial" w:hAnsi="Arial"/>
                <w:b w:val="0"/>
                <w:sz w:val="14"/>
              </w:rPr>
              <w:t>Supports independently reviewed implementation or methodology claims</w:t>
            </w:r>
          </w:p>
        </w:tc>
        <w:tc>
          <w:tcPr>
            <w:tcW w:type="dxa" w:w="2556"/>
          </w:tcPr>
          <w:p>
            <w:pPr>
              <w:spacing w:after="0"/>
            </w:pPr>
            <w:r>
              <w:rPr>
                <w:rFonts w:ascii="Arial" w:hAnsi="Arial"/>
                <w:b w:val="0"/>
                <w:sz w:val="14"/>
              </w:rPr>
              <w:t>May lag product updates or have limited scope</w:t>
            </w:r>
          </w:p>
        </w:tc>
      </w:tr>
      <w:tr>
        <w:tc>
          <w:tcPr>
            <w:tcW w:type="dxa" w:w="2556"/>
          </w:tcPr>
          <w:p>
            <w:pPr>
              <w:spacing w:after="0"/>
            </w:pPr>
            <w:r>
              <w:rPr>
                <w:rFonts w:ascii="Arial" w:hAnsi="Arial"/>
                <w:b w:val="0"/>
                <w:sz w:val="14"/>
              </w:rPr>
              <w:t>L4</w:t>
            </w:r>
          </w:p>
        </w:tc>
        <w:tc>
          <w:tcPr>
            <w:tcW w:type="dxa" w:w="2556"/>
          </w:tcPr>
          <w:p>
            <w:pPr>
              <w:spacing w:after="0"/>
            </w:pPr>
            <w:r>
              <w:rPr>
                <w:rFonts w:ascii="Arial" w:hAnsi="Arial"/>
                <w:b w:val="0"/>
                <w:sz w:val="14"/>
              </w:rPr>
              <w:t>Vendor claim, marketing page, blog, announcement</w:t>
            </w:r>
          </w:p>
        </w:tc>
        <w:tc>
          <w:tcPr>
            <w:tcW w:type="dxa" w:w="2556"/>
          </w:tcPr>
          <w:p>
            <w:pPr>
              <w:spacing w:after="0"/>
            </w:pPr>
            <w:r>
              <w:rPr>
                <w:rFonts w:ascii="Arial" w:hAnsi="Arial"/>
                <w:b w:val="0"/>
                <w:sz w:val="14"/>
              </w:rPr>
              <w:t>Supports positioning claims only</w:t>
            </w:r>
          </w:p>
        </w:tc>
        <w:tc>
          <w:tcPr>
            <w:tcW w:type="dxa" w:w="2556"/>
          </w:tcPr>
          <w:p>
            <w:pPr>
              <w:spacing w:after="0"/>
            </w:pPr>
            <w:r>
              <w:rPr>
                <w:rFonts w:ascii="Arial" w:hAnsi="Arial"/>
                <w:b w:val="0"/>
                <w:sz w:val="14"/>
              </w:rPr>
              <w:t>May overstate implementation detail</w:t>
            </w:r>
          </w:p>
        </w:tc>
      </w:tr>
      <w:tr>
        <w:tc>
          <w:tcPr>
            <w:tcW w:type="dxa" w:w="2556"/>
          </w:tcPr>
          <w:p>
            <w:pPr>
              <w:spacing w:after="0"/>
            </w:pPr>
            <w:r>
              <w:rPr>
                <w:rFonts w:ascii="Arial" w:hAnsi="Arial"/>
                <w:b w:val="0"/>
                <w:sz w:val="14"/>
              </w:rPr>
              <w:t>L5</w:t>
            </w:r>
          </w:p>
        </w:tc>
        <w:tc>
          <w:tcPr>
            <w:tcW w:type="dxa" w:w="2556"/>
          </w:tcPr>
          <w:p>
            <w:pPr>
              <w:spacing w:after="0"/>
            </w:pPr>
            <w:r>
              <w:rPr>
                <w:rFonts w:ascii="Arial" w:hAnsi="Arial"/>
                <w:b w:val="0"/>
                <w:sz w:val="14"/>
              </w:rPr>
              <w:t>Author inference, conceptual analysis, mapping judgment</w:t>
            </w:r>
          </w:p>
        </w:tc>
        <w:tc>
          <w:tcPr>
            <w:tcW w:type="dxa" w:w="2556"/>
          </w:tcPr>
          <w:p>
            <w:pPr>
              <w:spacing w:after="0"/>
            </w:pPr>
            <w:r>
              <w:rPr>
                <w:rFonts w:ascii="Arial" w:hAnsi="Arial"/>
                <w:b w:val="0"/>
                <w:sz w:val="14"/>
              </w:rPr>
              <w:t>Supports disclosed analytical interpretation</w:t>
            </w:r>
          </w:p>
        </w:tc>
        <w:tc>
          <w:tcPr>
            <w:tcW w:type="dxa" w:w="2556"/>
          </w:tcPr>
          <w:p>
            <w:pPr>
              <w:spacing w:after="0"/>
            </w:pPr>
            <w:r>
              <w:rPr>
                <w:rFonts w:ascii="Arial" w:hAnsi="Arial"/>
                <w:b w:val="0"/>
                <w:sz w:val="14"/>
              </w:rPr>
              <w:t>Must not be presented as verified product fact</w:t>
            </w:r>
          </w:p>
        </w:tc>
      </w:tr>
    </w:tbl>
    <w:p>
      <w:pPr>
        <w:pStyle w:val="Heading2"/>
      </w:pPr>
      <w:r>
        <w:t>12.2 How to Read System Mapping Tables</w:t>
      </w:r>
    </w:p>
    <w:p>
      <w:pPr>
        <w:spacing w:after="56"/>
      </w:pPr>
      <w:r>
        <w:t>Each system section in this chapter uses the same structure:</w:t>
      </w:r>
    </w:p>
    <w:p>
      <w:pPr>
        <w:pStyle w:val="Heading3"/>
      </w:pPr>
      <w:r>
        <w:t>System Positioning</w:t>
      </w:r>
    </w:p>
    <w:p>
      <w:pPr>
        <w:spacing w:after="56"/>
      </w:pPr>
      <w:r>
        <w:t>Briefly states:</w:t>
      </w:r>
    </w:p>
    <w:p>
      <w:pPr>
        <w:pStyle w:val="ListBullet"/>
        <w:spacing w:after="56"/>
      </w:pPr>
      <w:r>
        <w:t>What the system primarily is</w:t>
      </w:r>
    </w:p>
    <w:p>
      <w:pPr>
        <w:pStyle w:val="ListBullet"/>
        <w:spacing w:after="56"/>
      </w:pPr>
      <w:r>
        <w:t>What it is strong at</w:t>
      </w:r>
    </w:p>
    <w:p>
      <w:pPr>
        <w:pStyle w:val="ListBullet"/>
        <w:spacing w:after="56"/>
      </w:pPr>
      <w:r>
        <w:t>Why it is relevant to RCCS / ALCS</w:t>
      </w:r>
    </w:p>
    <w:p>
      <w:pPr>
        <w:pStyle w:val="ListBullet"/>
        <w:spacing w:after="56"/>
      </w:pPr>
      <w:r>
        <w:t>What this paper does and does not infer</w:t>
      </w:r>
    </w:p>
    <w:p>
      <w:pPr>
        <w:pStyle w:val="Heading3"/>
      </w:pPr>
      <w:r>
        <w:t>Evidence Basis</w:t>
      </w:r>
    </w:p>
    <w:p>
      <w:pPr>
        <w:spacing w:after="56"/>
      </w:pPr>
      <w:r>
        <w:t>Uses citation placeholders and evidence levels. Includes a mini-table: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[Area]</w:t>
            </w:r>
          </w:p>
        </w:tc>
        <w:tc>
          <w:tcPr>
            <w:tcW w:type="dxa" w:w="2556"/>
          </w:tcPr>
          <w:p>
            <w:pPr>
              <w:spacing w:after="0"/>
            </w:pPr>
            <w:r>
              <w:rPr>
                <w:rFonts w:ascii="Arial" w:hAnsi="Arial"/>
                <w:b w:val="0"/>
                <w:sz w:val="14"/>
              </w:rPr>
              <w:t>[Type]</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[source-bound at entry-point level / narrowed or partially validated / L5 analytical interpretation / exact page-level support unresolved]</w:t>
            </w:r>
          </w:p>
        </w:tc>
      </w:tr>
    </w:tbl>
    <w:p>
      <w:pPr>
        <w:pStyle w:val="Heading3"/>
      </w:pPr>
      <w:r>
        <w:t>RCCS Mapping Summary</w:t>
      </w:r>
    </w:p>
    <w:p>
      <w:pPr>
        <w:spacing w:after="56"/>
      </w:pPr>
      <w:r>
        <w:t>Compact table: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[Dimension]</w:t>
            </w:r>
          </w:p>
        </w:tc>
        <w:tc>
          <w:tcPr>
            <w:tcW w:type="dxa" w:w="2556"/>
          </w:tcPr>
          <w:p>
            <w:pPr>
              <w:spacing w:after="0"/>
            </w:pPr>
            <w:r>
              <w:rPr>
                <w:rFonts w:ascii="Arial" w:hAnsi="Arial"/>
                <w:b w:val="0"/>
                <w:sz w:val="14"/>
              </w:rPr>
              <w:t>[Strong/Moderate/Partial/Weak/Not Evaluated]</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bl>
    <w:p>
      <w:pPr>
        <w:pStyle w:val="Heading3"/>
      </w:pPr>
      <w:r>
        <w:t>ALCS Mapping Summary</w:t>
      </w:r>
    </w:p>
    <w:p>
      <w:pPr>
        <w:spacing w:after="56"/>
      </w:pPr>
      <w:r>
        <w:t>Compact table grouping ALCS dimensions into five areas: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bl>
    <w:p>
      <w:pPr>
        <w:pStyle w:val="Heading3"/>
      </w:pPr>
      <w:r>
        <w:t>Main Lifecycle Gaps</w:t>
      </w:r>
    </w:p>
    <w:p>
      <w:pPr>
        <w:spacing w:after="56"/>
      </w:pPr>
      <w:r>
        <w:t>Lists 3-5 specific gaps or revalidation needs.</w:t>
      </w:r>
    </w:p>
    <w:p>
      <w:pPr>
        <w:pStyle w:val="Heading3"/>
      </w:pPr>
      <w:r>
        <w:t>Boundary Note</w:t>
      </w:r>
    </w:p>
    <w:p>
      <w:pPr>
        <w:spacing w:after="56"/>
      </w:pPr>
      <w:r>
        <w:t>Each system section closes with:</w:t>
      </w:r>
    </w:p>
    <w:p>
      <w:pPr>
        <w:spacing w:after="56"/>
      </w:pPr>
      <w:r>
        <w:t>This section maps public evidence to RCCS/ALCS dimensions. It is not a legal compliance judgment, procurement recommendation, certification, or endorsement.</w:t>
      </w:r>
    </w:p>
    <w:p>
      <w:pPr>
        <w:pStyle w:val="Heading2"/>
      </w:pPr>
      <w:r>
        <w:t>12.3 MPLP — Lifecycle Protocol Path</w:t>
      </w:r>
    </w:p>
    <w:p>
      <w:pPr>
        <w:pStyle w:val="Heading3"/>
      </w:pPr>
      <w:r>
        <w:t>System Positioning</w:t>
      </w:r>
    </w:p>
    <w:p>
      <w:pPr>
        <w:spacing w:after="56"/>
      </w:pPr>
      <w:r>
        <w:t>MPLP (Multi-Agent Lifecycle Protocol) is a lifecycle protocol path designed to expose lifecycle responsibility objects as first-class protocol primitives. It is relevant to RCCS and ALCS because it provides protocol-level semantics for human-role-to-MAS mapping, delegated authority boundaries, accepted outcome compliance, responsibility transfer, evidence partitioning, privacy lifecycle mapping, and vendor substitution conformance.</w:t>
      </w:r>
    </w:p>
    <w:p>
      <w:pPr>
        <w:spacing w:after="56"/>
      </w:pPr>
      <w:r>
        <w:t>MPLP is strong at lifecycle protocol semantics. It defines governance primitives and lifecycle objects as protocol-level constructs rather than application-level features. This makes MPLP relevant for systems that require provable lifecycle responsibility compliance across agents, tools, vendors, and organizational boundaries.</w:t>
      </w:r>
    </w:p>
    <w:p>
      <w:pPr>
        <w:spacing w:after="56"/>
      </w:pPr>
      <w:r>
        <w:t>What this paper evaluates:</w:t>
      </w:r>
    </w:p>
    <w:p>
      <w:pPr>
        <w:pStyle w:val="ListBullet"/>
        <w:spacing w:after="56"/>
      </w:pPr>
      <w:r>
        <w:t>Whether MPLP protocol specification defines governance primitives and lifecycle objects</w:t>
      </w:r>
    </w:p>
    <w:p>
      <w:pPr>
        <w:pStyle w:val="ListBullet"/>
        <w:spacing w:after="56"/>
      </w:pPr>
      <w:r>
        <w:t>Whether MPLP semantics map to RCCS and ALCS dimensions</w:t>
      </w:r>
    </w:p>
    <w:p>
      <w:pPr>
        <w:pStyle w:val="ListBullet"/>
        <w:spacing w:after="56"/>
      </w:pPr>
      <w:r>
        <w:t>Whether MPLP provides protocol-level support for lifecycle responsibility compliance</w:t>
      </w:r>
    </w:p>
    <w:p>
      <w:pPr>
        <w:spacing w:after="56"/>
      </w:pPr>
      <w:r>
        <w:t>What this paper does not infer:</w:t>
      </w:r>
    </w:p>
    <w:p>
      <w:pPr>
        <w:pStyle w:val="ListBullet"/>
        <w:spacing w:after="56"/>
      </w:pPr>
      <w:r>
        <w:t>MPLP is not required for compliance. It is one example of a lifecycle protocol path.</w:t>
      </w:r>
    </w:p>
    <w:p>
      <w:pPr>
        <w:pStyle w:val="ListBullet"/>
        <w:spacing w:after="56"/>
      </w:pPr>
      <w:r>
        <w:t>MPLP is not a certification program. It does not certify systems or organizations.</w:t>
      </w:r>
    </w:p>
    <w:p>
      <w:pPr>
        <w:pStyle w:val="ListBullet"/>
        <w:spacing w:after="56"/>
      </w:pPr>
      <w:r>
        <w:t>MPLP is not a regulator or legal authority. It is a protocol specification.</w:t>
      </w:r>
    </w:p>
    <w:p>
      <w:pPr>
        <w:pStyle w:val="ListBullet"/>
        <w:spacing w:after="56"/>
      </w:pPr>
      <w:r>
        <w:t>MPLP implementation maturity, enterprise integration, and vendor adoption require separate evaluation.</w:t>
      </w:r>
    </w:p>
    <w:p>
      <w:pPr>
        <w:pStyle w:val="ListBullet"/>
        <w:spacing w:after="56"/>
      </w:pPr>
      <w:r>
        <w:t>Validation Lab is a non-certifying evidence adjudication example. Detailed treatment belongs to Chapter 14.</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Protocol specification</w:t>
            </w:r>
          </w:p>
        </w:tc>
        <w:tc>
          <w:tcPr>
            <w:tcW w:type="dxa" w:w="2556"/>
          </w:tcPr>
          <w:p>
            <w:pPr>
              <w:spacing w:after="0"/>
            </w:pPr>
            <w:r>
              <w:rPr>
                <w:rFonts w:ascii="Arial" w:hAnsi="Arial"/>
                <w:b w:val="0"/>
                <w:sz w:val="14"/>
              </w:rPr>
              <w:t>Protocol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Claim-level reviewed; mapping remains L5 analytical interpretation where the protocol does not directly prove implementation</w:t>
            </w:r>
          </w:p>
        </w:tc>
      </w:tr>
      <w:tr>
        <w:tc>
          <w:tcPr>
            <w:tcW w:type="dxa" w:w="2556"/>
          </w:tcPr>
          <w:p>
            <w:pPr>
              <w:spacing w:after="0"/>
            </w:pPr>
            <w:r>
              <w:rPr>
                <w:rFonts w:ascii="Arial" w:hAnsi="Arial"/>
                <w:b w:val="0"/>
                <w:sz w:val="14"/>
              </w:rPr>
              <w:t>Lifecycle object semantics</w:t>
            </w:r>
          </w:p>
        </w:tc>
        <w:tc>
          <w:tcPr>
            <w:tcW w:type="dxa" w:w="2556"/>
          </w:tcPr>
          <w:p>
            <w:pPr>
              <w:spacing w:after="0"/>
            </w:pPr>
            <w:r>
              <w:rPr>
                <w:rFonts w:ascii="Arial" w:hAnsi="Arial"/>
                <w:b w:val="0"/>
                <w:sz w:val="14"/>
              </w:rPr>
              <w:t>Protocol docs</w:t>
            </w:r>
          </w:p>
        </w:tc>
        <w:tc>
          <w:tcPr>
            <w:tcW w:type="dxa" w:w="2556"/>
          </w:tcPr>
          <w:p>
            <w:pPr>
              <w:spacing w:after="0"/>
            </w:pPr>
            <w:r>
              <w:rPr>
                <w:rFonts w:ascii="Arial" w:hAnsi="Arial"/>
                <w:b w:val="0"/>
                <w:sz w:val="14"/>
              </w:rPr>
              <w:t>L2 + L5</w:t>
            </w:r>
          </w:p>
        </w:tc>
        <w:tc>
          <w:tcPr>
            <w:tcW w:type="dxa" w:w="2556"/>
          </w:tcPr>
          <w:p>
            <w:pPr>
              <w:spacing w:after="0"/>
            </w:pPr>
            <w:r>
              <w:rPr>
                <w:rFonts w:ascii="Arial" w:hAnsi="Arial"/>
                <w:b w:val="0"/>
                <w:sz w:val="14"/>
              </w:rPr>
              <w:t>Claim-level reviewed; semantic fit remains analytical interpretation</w:t>
            </w:r>
          </w:p>
        </w:tc>
      </w:tr>
      <w:tr>
        <w:tc>
          <w:tcPr>
            <w:tcW w:type="dxa" w:w="2556"/>
          </w:tcPr>
          <w:p>
            <w:pPr>
              <w:spacing w:after="0"/>
            </w:pPr>
            <w:r>
              <w:rPr>
                <w:rFonts w:ascii="Arial" w:hAnsi="Arial"/>
                <w:b w:val="0"/>
                <w:sz w:val="14"/>
              </w:rPr>
              <w:t>Governance primitives</w:t>
            </w:r>
          </w:p>
        </w:tc>
        <w:tc>
          <w:tcPr>
            <w:tcW w:type="dxa" w:w="2556"/>
          </w:tcPr>
          <w:p>
            <w:pPr>
              <w:spacing w:after="0"/>
            </w:pPr>
            <w:r>
              <w:rPr>
                <w:rFonts w:ascii="Arial" w:hAnsi="Arial"/>
                <w:b w:val="0"/>
                <w:sz w:val="14"/>
              </w:rPr>
              <w:t>Protocol docs</w:t>
            </w:r>
          </w:p>
        </w:tc>
        <w:tc>
          <w:tcPr>
            <w:tcW w:type="dxa" w:w="2556"/>
          </w:tcPr>
          <w:p>
            <w:pPr>
              <w:spacing w:after="0"/>
            </w:pPr>
            <w:r>
              <w:rPr>
                <w:rFonts w:ascii="Arial" w:hAnsi="Arial"/>
                <w:b w:val="0"/>
                <w:sz w:val="14"/>
              </w:rPr>
              <w:t>L2 + L5</w:t>
            </w:r>
          </w:p>
        </w:tc>
        <w:tc>
          <w:tcPr>
            <w:tcW w:type="dxa" w:w="2556"/>
          </w:tcPr>
          <w:p>
            <w:pPr>
              <w:spacing w:after="0"/>
            </w:pPr>
            <w:r>
              <w:rPr>
                <w:rFonts w:ascii="Arial" w:hAnsi="Arial"/>
                <w:b w:val="0"/>
                <w:sz w:val="14"/>
              </w:rPr>
              <w:t>Claim-level reviewed; implementation maturity remains unresolved</w:t>
            </w:r>
          </w:p>
        </w:tc>
      </w:tr>
      <w:tr>
        <w:tc>
          <w:tcPr>
            <w:tcW w:type="dxa" w:w="2556"/>
          </w:tcPr>
          <w:p>
            <w:pPr>
              <w:spacing w:after="0"/>
            </w:pPr>
            <w:r>
              <w:rPr>
                <w:rFonts w:ascii="Arial" w:hAnsi="Arial"/>
                <w:b w:val="0"/>
                <w:sz w:val="14"/>
              </w:rPr>
              <w:t>Implementation examples</w:t>
            </w:r>
          </w:p>
        </w:tc>
        <w:tc>
          <w:tcPr>
            <w:tcW w:type="dxa" w:w="2556"/>
          </w:tcPr>
          <w:p>
            <w:pPr>
              <w:spacing w:after="0"/>
            </w:pPr>
            <w:r>
              <w:rPr>
                <w:rFonts w:ascii="Arial" w:hAnsi="Arial"/>
                <w:b w:val="0"/>
                <w:sz w:val="14"/>
              </w:rPr>
              <w:t>Developer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 deployment maturity remains unresolved</w:t>
            </w:r>
          </w:p>
        </w:tc>
      </w:tr>
      <w:tr>
        <w:tc>
          <w:tcPr>
            <w:tcW w:type="dxa" w:w="2556"/>
          </w:tcPr>
          <w:p>
            <w:pPr>
              <w:spacing w:after="0"/>
            </w:pPr>
            <w:r>
              <w:rPr>
                <w:rFonts w:ascii="Arial" w:hAnsi="Arial"/>
                <w:b w:val="0"/>
                <w:sz w:val="14"/>
              </w:rPr>
              <w:t>Validation Lab methodology</w:t>
            </w:r>
          </w:p>
        </w:tc>
        <w:tc>
          <w:tcPr>
            <w:tcW w:type="dxa" w:w="2556"/>
          </w:tcPr>
          <w:p>
            <w:pPr>
              <w:spacing w:after="0"/>
            </w:pPr>
            <w:r>
              <w:rPr>
                <w:rFonts w:ascii="Arial" w:hAnsi="Arial"/>
                <w:b w:val="0"/>
                <w:sz w:val="14"/>
              </w:rPr>
              <w:t>Methodology / lab docs</w:t>
            </w:r>
          </w:p>
        </w:tc>
        <w:tc>
          <w:tcPr>
            <w:tcW w:type="dxa" w:w="2556"/>
          </w:tcPr>
          <w:p>
            <w:pPr>
              <w:spacing w:after="0"/>
            </w:pPr>
            <w:r>
              <w:rPr>
                <w:rFonts w:ascii="Arial" w:hAnsi="Arial"/>
                <w:b w:val="0"/>
                <w:sz w:val="14"/>
              </w:rPr>
              <w:t>L2 + L5</w:t>
            </w:r>
          </w:p>
        </w:tc>
        <w:tc>
          <w:tcPr>
            <w:tcW w:type="dxa" w:w="2556"/>
          </w:tcPr>
          <w:p>
            <w:pPr>
              <w:spacing w:after="0"/>
            </w:pPr>
            <w:r>
              <w:rPr>
                <w:rFonts w:ascii="Arial" w:hAnsi="Arial"/>
                <w:b w:val="0"/>
                <w:sz w:val="14"/>
              </w:rPr>
              <w:t>Claim-level support remains boundary-limited; defer to Chapter 14</w:t>
            </w:r>
          </w:p>
        </w:tc>
      </w:tr>
    </w:tbl>
    <w:p>
      <w:pPr>
        <w:spacing w:after="56"/>
      </w:pPr>
      <w:r>
        <w:t>Citation placeholders:</w:t>
      </w:r>
    </w:p>
    <w:p>
      <w:pPr>
        <w:pStyle w:val="ListBullet"/>
        <w:spacing w:after="56"/>
      </w:pPr>
      <w:r>
        <w:t>[MPLP-DOCS]</w:t>
      </w:r>
    </w:p>
    <w:p>
      <w:pPr>
        <w:pStyle w:val="ListBullet"/>
        <w:spacing w:after="56"/>
      </w:pPr>
      <w:r>
        <w:t>[MPLP-SPEC]</w:t>
      </w:r>
    </w:p>
    <w:p>
      <w:pPr>
        <w:pStyle w:val="Heading3"/>
      </w:pPr>
      <w:r>
        <w:t>RCCS Mapping Summary</w:t>
      </w:r>
    </w:p>
    <w:p>
      <w:pPr>
        <w:keepNext/>
      </w:pPr>
      <w:r>
        <w:rPr>
          <w:b/>
          <w:sz w:val="16"/>
        </w:rPr>
        <w:t>Table T-12-02: MPLP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risk boundaries; implementation maturity requires validation</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data lineage; implementation requires validation</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specification provides documentation primitives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chain is core protocol primitive</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transparency primitives; implementation requires validation</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Delegated authority and accepted outcome are core protocol primitives</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security boundaries; implementation requires validation</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Responsibility transfer and evidence partitioning are core protocol primitives</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dispute primitives; implementation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monitoring primitives; implementation requires validation</w:t>
            </w:r>
          </w:p>
        </w:tc>
      </w:tr>
    </w:tbl>
    <w:p>
      <w:pPr>
        <w:pStyle w:val="Heading3"/>
      </w:pPr>
      <w:r>
        <w:t>ALCS Mapping Summary</w:t>
      </w:r>
    </w:p>
    <w:p>
      <w:pPr>
        <w:keepNext/>
      </w:pPr>
      <w:r>
        <w:rPr>
          <w:b/>
          <w:sz w:val="16"/>
        </w:rPr>
        <w:t>Table T-12-03: MPLP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designed for human-role-to-MAS mapping, delegated authority boundary, agent role distinction, accepted outcome compliance</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designed for tool-action liability, responsibility transfer, authority drift detection, MAS evidence partitioning</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cross-project reuse, privacy lifecycle mapping, privacy-preserving validation; implementation requires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evidence minimization, data subject rights reconciliation, processor chain tracking; implementation requires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designed for vendor/model/runtime substitution conformance</w:t>
            </w:r>
          </w:p>
        </w:tc>
      </w:tr>
    </w:tbl>
    <w:p>
      <w:pPr>
        <w:pStyle w:val="Heading3"/>
      </w:pPr>
      <w:r>
        <w:t>Main Lifecycle Gaps</w:t>
      </w:r>
    </w:p>
    <w:p>
      <w:pPr>
        <w:pStyle w:val="ListNumber"/>
        <w:spacing w:after="56"/>
      </w:pPr>
      <w:r>
        <w:t>Implementation Maturity: MPLP protocol specification may be strong, but implementation maturity in production systems requires validation.</w:t>
      </w:r>
    </w:p>
    <w:p>
      <w:pPr>
        <w:pStyle w:val="ListNumber"/>
        <w:spacing w:after="56"/>
      </w:pPr>
      <w:r>
        <w:t>Enterprise Integration: MPLP integration with existing enterprise AI governance platforms, cloud AI platforms, and agent orchestration frameworks requires validation.</w:t>
      </w:r>
    </w:p>
    <w:p>
      <w:pPr>
        <w:pStyle w:val="ListNumber"/>
        <w:spacing w:after="56"/>
      </w:pPr>
      <w:r>
        <w:t>Vendor Adoption: MPLP adoption by vendors, platforms, and frameworks requires validation.</w:t>
      </w:r>
    </w:p>
    <w:p>
      <w:pPr>
        <w:pStyle w:val="ListNumber"/>
        <w:spacing w:after="56"/>
      </w:pPr>
      <w:r>
        <w:t>Operational Deployment Evidence: MPLP deployment in production agentic systems requires validation.</w:t>
      </w:r>
    </w:p>
    <w:p>
      <w:pPr>
        <w:pStyle w:val="ListNumber"/>
        <w:spacing w:after="56"/>
      </w:pPr>
      <w:r>
        <w:t>Regulator / Auditor Familiarity: MPLP familiarity among regulators, auditors, and compliance teams requires validation.</w:t>
      </w:r>
    </w:p>
    <w:p>
      <w:pPr>
        <w:pStyle w:val="Heading3"/>
      </w:pPr>
      <w:r>
        <w:t>Boundary Note</w:t>
      </w:r>
    </w:p>
    <w:p>
      <w:pPr>
        <w:spacing w:after="56"/>
      </w:pPr>
      <w:r>
        <w:t>This section maps public evidence to RCCS/ALCS dimensions. It is not a legal compliance judgment, procurement recommendation, certification, or endorsement. MPLP is one example of a lifecycle protocol path. It is not required for compliance. It is not a certification program. It is not a regulator or legal authority.</w:t>
      </w:r>
    </w:p>
    <w:p>
      <w:pPr>
        <w:pStyle w:val="Heading2"/>
      </w:pPr>
      <w:r>
        <w:t>12.4 IBM watsonx.governance — Enterprise AI Governance Platform</w:t>
      </w:r>
    </w:p>
    <w:p>
      <w:pPr>
        <w:pStyle w:val="Heading3"/>
      </w:pPr>
      <w:r>
        <w:t>System Positioning</w:t>
      </w:r>
    </w:p>
    <w:p>
      <w:pPr>
        <w:spacing w:after="56"/>
      </w:pPr>
      <w:r>
        <w:t>IBM watsonx.governance is an enterprise AI governance platform designed for policy enforcement, model risk management, regulatory compliance coverage, and AI lifecycle management. It is relevant to RCCS and ALCS because it provides enterprise-grade governance capabilities for risk management, data governance, documentation, record-keeping, transparency, human oversight, security, accountability, contestability, and monitoring.</w:t>
      </w:r>
    </w:p>
    <w:p>
      <w:pPr>
        <w:spacing w:after="56"/>
      </w:pPr>
      <w:r>
        <w:t>IBM watsonx.governance is strong at enterprise AI governance. It provides policy enforcement, model governance, risk management workflows, compliance tracking, and enterprise integration capabilities. This makes IBM watsonx.governance relevant for organizations that require regulatory compliance coverage across the AI lifecycle.</w:t>
      </w:r>
    </w:p>
    <w:p>
      <w:pPr>
        <w:spacing w:after="56"/>
      </w:pPr>
      <w:r>
        <w:t>What this paper evaluates:</w:t>
      </w:r>
    </w:p>
    <w:p>
      <w:pPr>
        <w:pStyle w:val="ListBullet"/>
        <w:spacing w:after="56"/>
      </w:pPr>
      <w:r>
        <w:t>Whether IBM watsonx.governance provides governance primitives for RCCS dimensions</w:t>
      </w:r>
    </w:p>
    <w:p>
      <w:pPr>
        <w:pStyle w:val="ListBullet"/>
        <w:spacing w:after="56"/>
      </w:pPr>
      <w:r>
        <w:t>Whether IBM watsonx.governance provides lifecycle responsibility objects for ALCS dimensions</w:t>
      </w:r>
    </w:p>
    <w:p>
      <w:pPr>
        <w:pStyle w:val="ListBullet"/>
        <w:spacing w:after="56"/>
      </w:pPr>
      <w:r>
        <w:t>Whether public documentation supports RCCS and ALCS mapping</w:t>
      </w:r>
    </w:p>
    <w:p>
      <w:pPr>
        <w:spacing w:after="56"/>
      </w:pPr>
      <w:r>
        <w:t>What this paper does not infer:</w:t>
      </w:r>
    </w:p>
    <w:p>
      <w:pPr>
        <w:pStyle w:val="ListBullet"/>
        <w:spacing w:after="56"/>
      </w:pPr>
      <w:r>
        <w:t>IBM watsonx.governance is not evaluated for product quality, market leadership, or procurement suitability.</w:t>
      </w:r>
    </w:p>
    <w:p>
      <w:pPr>
        <w:pStyle w:val="ListBullet"/>
        <w:spacing w:after="56"/>
      </w:pPr>
      <w:r>
        <w:t>ALCS posture requires validation: lifecycle objects for multi-agent responsibility transfer, accepted outcome, tool-action liability, and MAS evidence partitioning require evidence validation.</w:t>
      </w:r>
    </w:p>
    <w:p>
      <w:pPr>
        <w:pStyle w:val="ListBullet"/>
        <w:spacing w:after="56"/>
      </w:pPr>
      <w:r>
        <w:t>Model governance and AI governance are not identical to agentic lifecycle governance.</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AI governance platform</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Policy enforcement</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Model risk management</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Compliance workflows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[IBM-WATSONX-GOVERNANCE-DOCS]</w:t>
      </w:r>
    </w:p>
    <w:p>
      <w:pPr>
        <w:pStyle w:val="Heading3"/>
      </w:pPr>
      <w:r>
        <w:t>RCCS Mapping Summary</w:t>
      </w:r>
    </w:p>
    <w:p>
      <w:pPr>
        <w:keepNext/>
      </w:pPr>
      <w:r>
        <w:rPr>
          <w:b/>
          <w:sz w:val="16"/>
        </w:rPr>
        <w:t>Table T-12-04: IBM watsonx.governance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Enterprise AI governance platform designed for risk management</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data lineage and governance capabilities</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documentation and policy management</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audit trails and compliance records</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transparency and explainability features</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human review and approval workflows</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Enterprise platform with security and access controls</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accountability and responsibility tracking</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dispute and appeal mechanisms;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continuous monitoring and incident detection</w:t>
            </w:r>
          </w:p>
        </w:tc>
      </w:tr>
    </w:tbl>
    <w:p>
      <w:pPr>
        <w:pStyle w:val="Heading3"/>
      </w:pPr>
      <w:r>
        <w:t>ALCS Mapping Summary</w:t>
      </w:r>
    </w:p>
    <w:p>
      <w:pPr>
        <w:keepNext/>
      </w:pPr>
      <w:r>
        <w:rPr>
          <w:b/>
          <w:sz w:val="16"/>
        </w:rPr>
        <w:t>Table T-12-05: IBM watsonx.governance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Human-role-to-MAS mapping, delegated authority boundary, agent role distinction, accepted outcome compliance require validation</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Tool-action liability, responsibility transfer, authority drift detection, MAS evidence partitioning require validation</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Cross-project reuse, privacy lifecycle mapping, privacy-preserving validation require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minimization, data subject rights reconciliation, processor chain tracking require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Vendor/model/runtime substitution conformance requires validation</w:t>
            </w:r>
          </w:p>
        </w:tc>
      </w:tr>
    </w:tbl>
    <w:p>
      <w:pPr>
        <w:pStyle w:val="Heading3"/>
      </w:pPr>
      <w:r>
        <w:t>Main Lifecycle Gaps</w:t>
      </w:r>
    </w:p>
    <w:p>
      <w:pPr>
        <w:pStyle w:val="ListNumber"/>
        <w:spacing w:after="56"/>
      </w:pPr>
      <w:r>
        <w:t>Multi-Agent Responsibility Transfer: Whether IBM watsonx.governance tracks responsibility transfer across agents in multi-agent workflows requires validation.</w:t>
      </w:r>
    </w:p>
    <w:p>
      <w:pPr>
        <w:pStyle w:val="ListNumber"/>
        <w:spacing w:after="56"/>
      </w:pPr>
      <w:r>
        <w:t>Accepted Outcome Governance: Whether IBM watsonx.governance separates execution completion from outcome acceptance requires validation.</w:t>
      </w:r>
    </w:p>
    <w:p>
      <w:pPr>
        <w:pStyle w:val="ListNumber"/>
        <w:spacing w:after="56"/>
      </w:pPr>
      <w:r>
        <w:t>Tool-Action Liability Boundary: Whether IBM watsonx.governance records liability boundaries for consequential tool actions requires validation.</w:t>
      </w:r>
    </w:p>
    <w:p>
      <w:pPr>
        <w:pStyle w:val="ListNumber"/>
        <w:spacing w:after="56"/>
      </w:pPr>
      <w:r>
        <w:t>MAS Evidence Partitioning: Whether IBM watsonx.governance partitions evidence by agent, tool, authority, and privacy boundaries requires validation.</w:t>
      </w:r>
    </w:p>
    <w:p>
      <w:pPr>
        <w:pStyle w:val="ListNumber"/>
        <w:spacing w:after="56"/>
      </w:pPr>
      <w:r>
        <w:t>Cross-Project Reuse Controls: Whether IBM watsonx.governance enforces revalidation when workflows are reused across projects requires validation.</w:t>
      </w:r>
    </w:p>
    <w:p>
      <w:pPr>
        <w:pStyle w:val="Heading3"/>
      </w:pPr>
      <w:r>
        <w:t>Boundary Note</w:t>
      </w:r>
    </w:p>
    <w:p>
      <w:pPr>
        <w:spacing w:after="56"/>
      </w:pPr>
      <w:r>
        <w:t>This section maps public evidence to RCCS/ALCS dimensions. It is not a legal compliance judgment, procurement recommendation, certification, or endorsement. IBM watsonx.governance is evaluated for governance primitives and lifecycle responsibility objects based on public documentation. Model governance and AI governance are not identical to agentic lifecycle governance.</w:t>
      </w:r>
    </w:p>
    <w:p>
      <w:pPr>
        <w:pStyle w:val="Heading2"/>
      </w:pPr>
      <w:r>
        <w:t>12.5 Microsoft Azure AI Foundry — Cloud AI Platform and Enterprise AI Tooling</w:t>
      </w:r>
    </w:p>
    <w:p>
      <w:pPr>
        <w:pStyle w:val="Heading3"/>
      </w:pPr>
      <w:r>
        <w:t>System Positioning</w:t>
      </w:r>
    </w:p>
    <w:p>
      <w:pPr>
        <w:spacing w:after="56"/>
      </w:pPr>
      <w:r>
        <w:t>Microsoft Azure AI Foundry is a cloud-native AI platform designed for model management, responsible AI tooling, content safety, tracing, evaluation, and enterprise integration. It is relevant to RCCS and ALCS because it provides cloud platform capabilities for risk management, data governance, documentation, record-keeping, transparency, human oversight, security, accountability, and monitoring.</w:t>
      </w:r>
    </w:p>
    <w:p>
      <w:pPr>
        <w:spacing w:after="56"/>
      </w:pPr>
      <w:r>
        <w:t>Microsoft Azure AI Foundry is strong at cloud AI platform capabilities. It provides model access, responsible AI tooling, content safety, tracing, observability, evaluation, and enterprise integration. This makes Microsoft Azure AI Foundry relevant for organizations that require cloud-native AI platform capabilities with responsible AI tooling.</w:t>
      </w:r>
    </w:p>
    <w:p>
      <w:pPr>
        <w:spacing w:after="56"/>
      </w:pPr>
      <w:r>
        <w:t>What this paper evaluates:</w:t>
      </w:r>
    </w:p>
    <w:p>
      <w:pPr>
        <w:pStyle w:val="ListBullet"/>
        <w:spacing w:after="56"/>
      </w:pPr>
      <w:r>
        <w:t>Whether Microsoft Azure AI Foundry provides governance primitives for RCCS dimensions</w:t>
      </w:r>
    </w:p>
    <w:p>
      <w:pPr>
        <w:pStyle w:val="ListBullet"/>
        <w:spacing w:after="56"/>
      </w:pPr>
      <w:r>
        <w:t>Whether Microsoft Azure AI Foundry provides lifecycle responsibility objects for ALCS dimensions</w:t>
      </w:r>
    </w:p>
    <w:p>
      <w:pPr>
        <w:pStyle w:val="ListBullet"/>
        <w:spacing w:after="56"/>
      </w:pPr>
      <w:r>
        <w:t>Whether public documentation supports RCCS and ALCS mapping</w:t>
      </w:r>
    </w:p>
    <w:p>
      <w:pPr>
        <w:spacing w:after="56"/>
      </w:pPr>
      <w:r>
        <w:t>What this paper does not infer:</w:t>
      </w:r>
    </w:p>
    <w:p>
      <w:pPr>
        <w:pStyle w:val="ListBullet"/>
        <w:spacing w:after="56"/>
      </w:pPr>
      <w:r>
        <w:t>Microsoft Azure AI Foundry is not evaluated for product quality, market leadership, or procurement suitability.</w:t>
      </w:r>
    </w:p>
    <w:p>
      <w:pPr>
        <w:pStyle w:val="ListBullet"/>
        <w:spacing w:after="56"/>
      </w:pPr>
      <w:r>
        <w:t>ALCS posture requires validation: authority boundaries, accepted outcomes, MAS evidence partitioning, and responsibility transfer require evidence validation.</w:t>
      </w:r>
    </w:p>
    <w:p>
      <w:pPr>
        <w:pStyle w:val="ListBullet"/>
        <w:spacing w:after="56"/>
      </w:pPr>
      <w:r>
        <w:t>Responsible AI tooling and cloud platform features are not identical to lifecycle responsibility objects.</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Cloud AI platform</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Responsible AI tooling</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Content safety</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Tracing and observability</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[MICROSOFT-AZURE-AI-FOUNDRY-DOCS]</w:t>
      </w:r>
    </w:p>
    <w:p>
      <w:pPr>
        <w:pStyle w:val="ListBullet"/>
        <w:spacing w:after="56"/>
      </w:pPr>
      <w:r>
        <w:t>[MICROSOFT-RESPONSIBLE-AI-DOCS]</w:t>
      </w:r>
    </w:p>
    <w:p>
      <w:pPr>
        <w:pStyle w:val="Heading3"/>
      </w:pPr>
      <w:r>
        <w:t>RCCS Mapping Summary</w:t>
      </w:r>
    </w:p>
    <w:p>
      <w:pPr>
        <w:keepNext/>
      </w:pPr>
      <w:r>
        <w:rPr>
          <w:b/>
          <w:sz w:val="16"/>
        </w:rPr>
        <w:t>Table T-12-06: Microsoft Azure AI Foundry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Responsible AI tooling provides risk management capabilities</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provides data governance and lineage capabilities</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documentation and model cards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tracing and audit trails</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Responsible AI tooling provides transparency and explainability</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human review and approval capabilities</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with enterprise security and access controls</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accountability features; agentic accountability requires validation</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dispute mechanisms;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continuous monitoring and observability</w:t>
            </w:r>
          </w:p>
        </w:tc>
      </w:tr>
    </w:tbl>
    <w:p>
      <w:pPr>
        <w:pStyle w:val="Heading3"/>
      </w:pPr>
      <w:r>
        <w:t>ALCS Mapping Summary</w:t>
      </w:r>
    </w:p>
    <w:p>
      <w:pPr>
        <w:keepNext/>
      </w:pPr>
      <w:r>
        <w:rPr>
          <w:b/>
          <w:sz w:val="16"/>
        </w:rPr>
        <w:t>Table T-12-07: Microsoft Azure AI Foundry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Human-role-to-MAS mapping, delegated authority boundary, agent role distinction, accepted outcome compliance require validation</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Tool-action liability, responsibility transfer, authority drift detection, MAS evidence partitioning require validation</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Cross-project reuse, privacy lifecycle mapping, privacy-preserving validation require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minimization, data subject rights reconciliation, processor chain tracking require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Vendor/model/runtime substitution conformance requires validation</w:t>
            </w:r>
          </w:p>
        </w:tc>
      </w:tr>
    </w:tbl>
    <w:p>
      <w:pPr>
        <w:pStyle w:val="Heading3"/>
      </w:pPr>
      <w:r>
        <w:t>Main Lifecycle Gaps</w:t>
      </w:r>
    </w:p>
    <w:p>
      <w:pPr>
        <w:pStyle w:val="ListNumber"/>
        <w:spacing w:after="56"/>
      </w:pPr>
      <w:r>
        <w:t>Accepted Outcome Compliance: Whether Microsoft Azure AI Foundry separates execution completion from outcome acceptance requires validation.</w:t>
      </w:r>
    </w:p>
    <w:p>
      <w:pPr>
        <w:pStyle w:val="ListNumber"/>
        <w:spacing w:after="56"/>
      </w:pPr>
      <w:r>
        <w:t>Delegated Authority Boundary: Whether Microsoft Azure AI Foundry defines and enforces authority boundaries for agent actions requires validation.</w:t>
      </w:r>
    </w:p>
    <w:p>
      <w:pPr>
        <w:pStyle w:val="ListNumber"/>
        <w:spacing w:after="56"/>
      </w:pPr>
      <w:r>
        <w:t>Cross-Agent Responsibility Transfer: Whether Microsoft Azure AI Foundry tracks responsibility transfer during agent handoffs requires validation.</w:t>
      </w:r>
    </w:p>
    <w:p>
      <w:pPr>
        <w:pStyle w:val="ListNumber"/>
        <w:spacing w:after="56"/>
      </w:pPr>
      <w:r>
        <w:t>Evidence Partitioning: Whether Microsoft Azure AI Foundry partitions evidence by agent, tool, authority, and privacy boundaries requires validation.</w:t>
      </w:r>
    </w:p>
    <w:p>
      <w:pPr>
        <w:pStyle w:val="ListNumber"/>
        <w:spacing w:after="56"/>
      </w:pPr>
      <w:r>
        <w:t>Vendor/Model/Runtime Substitution Conformance: Whether Microsoft Azure AI Foundry enforces conformance revalidation when vendors are substituted requires validation.</w:t>
      </w:r>
    </w:p>
    <w:p>
      <w:pPr>
        <w:pStyle w:val="Heading3"/>
      </w:pPr>
      <w:r>
        <w:t>Boundary Note</w:t>
      </w:r>
    </w:p>
    <w:p>
      <w:pPr>
        <w:spacing w:after="56"/>
      </w:pPr>
      <w:r>
        <w:t>This section maps public evidence to RCCS/ALCS dimensions. It is not a legal compliance judgment, procurement recommendation, certification, or endorsement. Microsoft Azure AI Foundry is evaluated for governance primitives and lifecycle responsibility objects based on public documentation. Responsible AI tooling and cloud platform features are not identical to lifecycle responsibility objects.</w:t>
      </w:r>
    </w:p>
    <w:p>
      <w:pPr>
        <w:pStyle w:val="Heading2"/>
      </w:pPr>
      <w:r>
        <w:t>12.6 AWS Bedrock / Guardrails / AgentCore — Cloud AI Service Suite</w:t>
      </w:r>
    </w:p>
    <w:p>
      <w:pPr>
        <w:pStyle w:val="Heading3"/>
      </w:pPr>
      <w:r>
        <w:t>System Positioning</w:t>
      </w:r>
    </w:p>
    <w:p>
      <w:pPr>
        <w:spacing w:after="56"/>
      </w:pPr>
      <w:r>
        <w:t>AWS Bedrock / Guardrails / AgentCore is a cloud AI service suite designed for model access, guardrails, agent orchestration, and enterprise security integration. It is relevant to RCCS and ALCS because it provides cloud service capabilities for guardrails, security, access control, monitoring, and agent orchestration.</w:t>
      </w:r>
    </w:p>
    <w:p>
      <w:pPr>
        <w:spacing w:after="56"/>
      </w:pPr>
      <w:r>
        <w:t>AWS Bedrock / Guardrails / AgentCore is strong at cloud AI services. It provides model access, guardrails, agent orchestration, tool use, and enterprise security integration. This makes AWS Bedrock / Guardrails / AgentCore relevant for organizations that require cloud-native AI services with guardrails and agent orchestration.</w:t>
      </w:r>
    </w:p>
    <w:p>
      <w:pPr>
        <w:spacing w:after="56"/>
      </w:pPr>
      <w:r>
        <w:t>What this paper evaluates:</w:t>
      </w:r>
    </w:p>
    <w:p>
      <w:pPr>
        <w:pStyle w:val="ListBullet"/>
        <w:spacing w:after="56"/>
      </w:pPr>
      <w:r>
        <w:t>Whether AWS Bedrock / Guardrails / AgentCore provides governance primitives for RCCS dimensions</w:t>
      </w:r>
    </w:p>
    <w:p>
      <w:pPr>
        <w:pStyle w:val="ListBullet"/>
        <w:spacing w:after="56"/>
      </w:pPr>
      <w:r>
        <w:t>Whether AWS Bedrock / Guardrails / AgentCore provides lifecycle responsibility objects for ALCS dimensions</w:t>
      </w:r>
    </w:p>
    <w:p>
      <w:pPr>
        <w:pStyle w:val="ListBullet"/>
        <w:spacing w:after="56"/>
      </w:pPr>
      <w:r>
        <w:t>Whether public documentation supports RCCS and ALCS mapping</w:t>
      </w:r>
    </w:p>
    <w:p>
      <w:pPr>
        <w:spacing w:after="56"/>
      </w:pPr>
      <w:r>
        <w:t>What this paper does not infer:</w:t>
      </w:r>
    </w:p>
    <w:p>
      <w:pPr>
        <w:pStyle w:val="ListBullet"/>
        <w:spacing w:after="56"/>
      </w:pPr>
      <w:r>
        <w:t>AWS Bedrock / Guardrails / AgentCore is not evaluated for product quality, market leadership, or procurement suitability.</w:t>
      </w:r>
    </w:p>
    <w:p>
      <w:pPr>
        <w:pStyle w:val="ListBullet"/>
        <w:spacing w:after="56"/>
      </w:pPr>
      <w:r>
        <w:t>ALCS posture requires validation: orchestration and guardrails do not automatically prove lifecycle responsibility semantics.</w:t>
      </w:r>
    </w:p>
    <w:p>
      <w:pPr>
        <w:pStyle w:val="ListBullet"/>
        <w:spacing w:after="56"/>
      </w:pPr>
      <w:r>
        <w:t>Guardrails and tool permission are not identical to delegated authority boundary.</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Cloud AI services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Guardrails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Agent orchestration</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Enterprise security</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[AWS-BEDROCK-DOCS]</w:t>
      </w:r>
    </w:p>
    <w:p>
      <w:pPr>
        <w:pStyle w:val="ListBullet"/>
        <w:spacing w:after="56"/>
      </w:pPr>
      <w:r>
        <w:t>[AWS-BEDROCK-GUARDRAILS-DOCS]</w:t>
      </w:r>
    </w:p>
    <w:p>
      <w:pPr>
        <w:pStyle w:val="ListBullet"/>
        <w:spacing w:after="56"/>
      </w:pPr>
      <w:r>
        <w:t>[AWS-AGENTCORE-DOCS]</w:t>
      </w:r>
    </w:p>
    <w:p>
      <w:pPr>
        <w:pStyle w:val="Heading3"/>
      </w:pPr>
      <w:r>
        <w:t>RCCS Mapping Summary</w:t>
      </w:r>
    </w:p>
    <w:p>
      <w:pPr>
        <w:keepNext/>
      </w:pPr>
      <w:r>
        <w:rPr>
          <w:b/>
          <w:sz w:val="16"/>
        </w:rPr>
        <w:t>Table T-12-08: AWS Bedrock / Guardrails / AgentCore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Guardrails provide risk mitigation; broader risk management requires validation</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provides data governance capabilities; agentic data governance requires validation</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documentation capabilities; agentic documentation requires validation</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logging and audit trails; agentic record-keeping requires validation</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transparency features; requires validation</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human oversight capabilities; requires validation</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with enterprise security and access controls</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accountability features; agentic accountability requires validation</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Platform may provide dispute mechanisms;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continuous monitoring and observability</w:t>
            </w:r>
          </w:p>
        </w:tc>
      </w:tr>
    </w:tbl>
    <w:p>
      <w:pPr>
        <w:pStyle w:val="Heading3"/>
      </w:pPr>
      <w:r>
        <w:t>ALCS Mapping Summary</w:t>
      </w:r>
    </w:p>
    <w:p>
      <w:pPr>
        <w:keepNext/>
      </w:pPr>
      <w:r>
        <w:rPr>
          <w:b/>
          <w:sz w:val="16"/>
        </w:rPr>
        <w:t>Table T-12-09: AWS Bedrock / Guardrails / AgentCore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Human-role-to-MAS mapping, delegated authority boundary, agent role distinction, accepted outcome compliance require validation; guardrails ≠ delegated authority boundary</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Tool-action liability, responsibility transfer, authority drift detection, MAS evidence partitioning require validation</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Cross-project reuse, privacy lifecycle mapping, privacy-preserving validation require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minimization, data subject rights reconciliation, processor chain tracking require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Vendor/model/runtime substitution conformance requires validation</w:t>
            </w:r>
          </w:p>
        </w:tc>
      </w:tr>
    </w:tbl>
    <w:p>
      <w:pPr>
        <w:pStyle w:val="Heading3"/>
      </w:pPr>
      <w:r>
        <w:t>Main Lifecycle Gaps</w:t>
      </w:r>
    </w:p>
    <w:p>
      <w:pPr>
        <w:pStyle w:val="ListNumber"/>
        <w:spacing w:after="56"/>
      </w:pPr>
      <w:r>
        <w:t>Delegated Authority vs IAM/Tool Permission: Whether AWS Bedrock / Guardrails / AgentCore distinguishes delegated authority boundary from IAM and tool permission requires validation.</w:t>
      </w:r>
    </w:p>
    <w:p>
      <w:pPr>
        <w:pStyle w:val="ListNumber"/>
        <w:spacing w:after="56"/>
      </w:pPr>
      <w:r>
        <w:t>Accepted Outcome Governance: Whether AWS Bedrock / Guardrails / AgentCore separates execution completion from outcome acceptance requires validation.</w:t>
      </w:r>
    </w:p>
    <w:p>
      <w:pPr>
        <w:pStyle w:val="ListNumber"/>
        <w:spacing w:after="56"/>
      </w:pPr>
      <w:r>
        <w:t>Tool-Action Liability Boundary: Whether AWS Bedrock / Guardrails / AgentCore records liability boundaries for consequential tool actions requires validation.</w:t>
      </w:r>
    </w:p>
    <w:p>
      <w:pPr>
        <w:pStyle w:val="ListNumber"/>
        <w:spacing w:after="56"/>
      </w:pPr>
      <w:r>
        <w:t>MAS Evidence Partitioning: Whether AWS Bedrock / Guardrails / AgentCore partitions evidence by agent, tool, authority, and privacy boundaries requires validation.</w:t>
      </w:r>
    </w:p>
    <w:p>
      <w:pPr>
        <w:pStyle w:val="ListNumber"/>
        <w:spacing w:after="56"/>
      </w:pPr>
      <w:r>
        <w:t>Incident/Dispute/Remediation Closure: Whether AWS Bedrock / Guardrails / AgentCore provides incident, dispute, and remediation closure mechanisms requires validation.</w:t>
      </w:r>
    </w:p>
    <w:p>
      <w:pPr>
        <w:pStyle w:val="Heading3"/>
      </w:pPr>
      <w:r>
        <w:t>Boundary Note</w:t>
      </w:r>
    </w:p>
    <w:p>
      <w:pPr>
        <w:spacing w:after="56"/>
      </w:pPr>
      <w:r>
        <w:t>This section maps public evidence to RCCS/ALCS dimensions. It is not a legal compliance judgment, procurement recommendation, certification, or endorsement. AWS Bedrock / Guardrails / AgentCore is evaluated for governance primitives and lifecycle responsibility objects based on public documentation. Guardrails and tool permission are not identical to delegated authority boundary.</w:t>
      </w:r>
    </w:p>
    <w:p>
      <w:pPr>
        <w:pStyle w:val="Heading2"/>
      </w:pPr>
      <w:r>
        <w:t>12.7 Google Vertex AI / ADK / Model Armor — Cloud AI Platform, Agent Development, and Safety Controls</w:t>
      </w:r>
    </w:p>
    <w:p>
      <w:pPr>
        <w:pStyle w:val="Heading3"/>
      </w:pPr>
      <w:r>
        <w:t>System Positioning</w:t>
      </w:r>
    </w:p>
    <w:p>
      <w:pPr>
        <w:spacing w:after="56"/>
      </w:pPr>
      <w:r>
        <w:t>Google Vertex AI / ADK / Model Armor is a cloud AI platform suite designed for model management, agent development tooling, and model/content safety controls. It is relevant to RCCS and ALCS because it provides cloud platform capabilities for model governance, agent development, safety evaluation, content filtering, and enterprise integration.</w:t>
      </w:r>
    </w:p>
    <w:p>
      <w:pPr>
        <w:spacing w:after="56"/>
      </w:pPr>
      <w:r>
        <w:t>Google Vertex AI / ADK / Model Armor is strong at cloud AI platform capabilities, agent development tooling, and model safety controls. It provides model access, agent development kit (ADK), model armor safety features, evaluation frameworks, and enterprise security integration. This makes Google Vertex AI / ADK / Model Armor relevant for organizations that require cloud-native AI platform capabilities with agent development and safety tooling.</w:t>
      </w:r>
    </w:p>
    <w:p>
      <w:pPr>
        <w:spacing w:after="56"/>
      </w:pPr>
      <w:r>
        <w:t>What this paper evaluates:</w:t>
      </w:r>
    </w:p>
    <w:p>
      <w:pPr>
        <w:pStyle w:val="ListBullet"/>
        <w:spacing w:after="56"/>
      </w:pPr>
      <w:r>
        <w:t>Whether Google Vertex AI / ADK / Model Armor provides governance primitives for RCCS dimensions</w:t>
      </w:r>
    </w:p>
    <w:p>
      <w:pPr>
        <w:pStyle w:val="ListBullet"/>
        <w:spacing w:after="56"/>
      </w:pPr>
      <w:r>
        <w:t>Whether Google Vertex AI / ADK / Model Armor provides lifecycle responsibility objects for ALCS dimensions</w:t>
      </w:r>
    </w:p>
    <w:p>
      <w:pPr>
        <w:pStyle w:val="ListBullet"/>
        <w:spacing w:after="56"/>
      </w:pPr>
      <w:r>
        <w:t>Whether public documentation supports RCCS and ALCS mapping</w:t>
      </w:r>
    </w:p>
    <w:p>
      <w:pPr>
        <w:spacing w:after="56"/>
      </w:pPr>
      <w:r>
        <w:t>What this paper does not infer:</w:t>
      </w:r>
    </w:p>
    <w:p>
      <w:pPr>
        <w:pStyle w:val="ListBullet"/>
        <w:spacing w:after="56"/>
      </w:pPr>
      <w:r>
        <w:t>Google Vertex AI / ADK / Model Armor is not evaluated for product quality, market leadership, or procurement suitability.</w:t>
      </w:r>
    </w:p>
    <w:p>
      <w:pPr>
        <w:pStyle w:val="ListBullet"/>
        <w:spacing w:after="56"/>
      </w:pPr>
      <w:r>
        <w:t>ALCS posture requires validation: agent development and model safety controls do not automatically prove lifecycle responsibility semantics.</w:t>
      </w:r>
    </w:p>
    <w:p>
      <w:pPr>
        <w:pStyle w:val="ListBullet"/>
        <w:spacing w:after="56"/>
      </w:pPr>
      <w:r>
        <w:t>Model safety, content safety, and platform governance are not identical to lifecycle responsibility objects.</w:t>
      </w:r>
    </w:p>
    <w:p>
      <w:pPr>
        <w:pStyle w:val="ListBullet"/>
        <w:spacing w:after="56"/>
      </w:pPr>
      <w:r>
        <w:t>ADK agent development primitives are not identical to human-role-to-MAS responsibility mapping.</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Cloud AI platform</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Agent Development Kit (ADK)</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Model Armor safety controls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Model evaluation and monitoring</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[GOOGLE-VERTEX-AI-DOCS]</w:t>
      </w:r>
    </w:p>
    <w:p>
      <w:pPr>
        <w:pStyle w:val="ListBullet"/>
        <w:spacing w:after="56"/>
      </w:pPr>
      <w:r>
        <w:t>[GOOGLE-ADK-DOCS]</w:t>
      </w:r>
    </w:p>
    <w:p>
      <w:pPr>
        <w:pStyle w:val="ListBullet"/>
        <w:spacing w:after="56"/>
      </w:pPr>
      <w:r>
        <w:t>[GOOGLE-MODEL-ARMOR-DOCS]</w:t>
      </w:r>
    </w:p>
    <w:p>
      <w:pPr>
        <w:pStyle w:val="Heading3"/>
      </w:pPr>
      <w:r>
        <w:t>RCCS Mapping Summary</w:t>
      </w:r>
    </w:p>
    <w:p>
      <w:pPr>
        <w:keepNext/>
      </w:pPr>
      <w:r>
        <w:rPr>
          <w:b/>
          <w:sz w:val="16"/>
        </w:rPr>
        <w:t>Table T-12-10: Google Vertex AI / ADK / Model Armor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Model Armor and evaluation frameworks provide risk management capabilities</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provides data governance and lineage capabilities</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documentation and model cards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logging and audit trails</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transparency and explainability features</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human review capabilities; requires validation</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with enterprise security and access controls</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accountability features; agentic accountability requires validation</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dispute mechanisms;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continuous monitoring and observability</w:t>
            </w:r>
          </w:p>
        </w:tc>
      </w:tr>
    </w:tbl>
    <w:p>
      <w:pPr>
        <w:pStyle w:val="Heading3"/>
      </w:pPr>
      <w:r>
        <w:t>ALCS Mapping Summary</w:t>
      </w:r>
    </w:p>
    <w:p>
      <w:pPr>
        <w:keepNext/>
      </w:pPr>
      <w:r>
        <w:rPr>
          <w:b/>
          <w:sz w:val="16"/>
        </w:rPr>
        <w:t>Table T-12-11: Google Vertex AI / ADK / Model Armor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Human-role-to-MAS mapping, delegated authority boundary, agent role distinction, accepted outcome compliance require validation; ADK agent primitives ≠ lifecycle responsibility semantics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Tool-action liability, responsibility transfer, authority drift detection, MAS evidence partitioning require validation</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Cross-project reuse, privacy lifecycle mapping, privacy-preserving validation require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minimization, data subject rights reconciliation, processor chain tracking require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Vendor/model/runtime substitution conformance requires validation</w:t>
            </w:r>
          </w:p>
        </w:tc>
      </w:tr>
    </w:tbl>
    <w:p>
      <w:pPr>
        <w:pStyle w:val="Heading3"/>
      </w:pPr>
      <w:r>
        <w:t>Main Lifecycle Gaps</w:t>
      </w:r>
    </w:p>
    <w:p>
      <w:pPr>
        <w:pStyle w:val="ListNumber"/>
        <w:spacing w:after="56"/>
      </w:pPr>
      <w:r>
        <w:t>Agent Development vs Lifecycle Responsibility: Whether Google ADK agent development primitives map to human-role-to-MAS responsibility semantics requires validation.</w:t>
      </w:r>
    </w:p>
    <w:p>
      <w:pPr>
        <w:pStyle w:val="ListNumber"/>
        <w:spacing w:after="56"/>
      </w:pPr>
      <w:r>
        <w:t>Delegated Authority Boundary: Whether Google Vertex AI / ADK / Model Armor defines and enforces authority boundaries for agent actions requires validation.</w:t>
      </w:r>
    </w:p>
    <w:p>
      <w:pPr>
        <w:pStyle w:val="ListNumber"/>
        <w:spacing w:after="56"/>
      </w:pPr>
      <w:r>
        <w:t>Accepted Outcome Compliance: Whether Google Vertex AI / ADK / Model Armor separates execution completion from outcome acceptance requires validation.</w:t>
      </w:r>
    </w:p>
    <w:p>
      <w:pPr>
        <w:pStyle w:val="ListNumber"/>
        <w:spacing w:after="56"/>
      </w:pPr>
      <w:r>
        <w:t>Model Safety vs Lifecycle Governance: Whether Model Armor safety controls extend to lifecycle responsibility governance requires validation.</w:t>
      </w:r>
    </w:p>
    <w:p>
      <w:pPr>
        <w:pStyle w:val="ListNumber"/>
        <w:spacing w:after="56"/>
      </w:pPr>
      <w:r>
        <w:t>Cross-Agent Responsibility Transfer: Whether Google Vertex AI / ADK / Model Armor tracks responsibility transfer during agent handoffs requires validation.</w:t>
      </w:r>
    </w:p>
    <w:p>
      <w:pPr>
        <w:pStyle w:val="Heading3"/>
      </w:pPr>
      <w:r>
        <w:t>Boundary Note</w:t>
      </w:r>
    </w:p>
    <w:p>
      <w:pPr>
        <w:spacing w:after="56"/>
      </w:pPr>
      <w:r>
        <w:t>This section maps public evidence to RCCS/ALCS dimensions. It is not a legal compliance judgment, procurement recommendation, certification, or endorsement. Google Vertex AI / ADK / Model Armor is evaluated for governance primitives and lifecycle responsibility objects based on public documentation. Model safety, content safety, and platform governance are not identical to lifecycle responsibility objects.</w:t>
      </w:r>
    </w:p>
    <w:p>
      <w:pPr>
        <w:pStyle w:val="Heading2"/>
      </w:pPr>
      <w:r>
        <w:t>12.8 LangGraph / LangSmith — Agent Orchestration and Observability Framework</w:t>
      </w:r>
    </w:p>
    <w:p>
      <w:pPr>
        <w:pStyle w:val="Heading3"/>
      </w:pPr>
      <w:r>
        <w:t>System Positioning</w:t>
      </w:r>
    </w:p>
    <w:p>
      <w:pPr>
        <w:spacing w:after="56"/>
      </w:pPr>
      <w:r>
        <w:t>LangGraph / LangSmith is an agent orchestration and observability framework designed for workflow graphs, state management, checkpoints, traces, and observability. It is relevant to RCCS and ALCS because it provides orchestration and observability capabilities that can support governance, monitoring, transparency, and evidence collection.</w:t>
      </w:r>
    </w:p>
    <w:p>
      <w:pPr>
        <w:spacing w:after="56"/>
      </w:pPr>
      <w:r>
        <w:t>LangGraph / LangSmith is strong at agent orchestration and observability. It provides workflow graphs, state management, checkpoints, traces, debugging, evaluation, and observability features. This makes LangGraph / LangSmith relevant for organizations that require agent orchestration with observability and debugging capabilities.</w:t>
      </w:r>
    </w:p>
    <w:p>
      <w:pPr>
        <w:spacing w:after="56"/>
      </w:pPr>
      <w:r>
        <w:t>What this paper evaluates:</w:t>
      </w:r>
    </w:p>
    <w:p>
      <w:pPr>
        <w:pStyle w:val="ListBullet"/>
        <w:spacing w:after="56"/>
      </w:pPr>
      <w:r>
        <w:t>Whether LangGraph / LangSmith provides governance primitives for RCCS dimensions</w:t>
      </w:r>
    </w:p>
    <w:p>
      <w:pPr>
        <w:pStyle w:val="ListBullet"/>
        <w:spacing w:after="56"/>
      </w:pPr>
      <w:r>
        <w:t>Whether LangGraph / LangSmith provides lifecycle responsibility objects for ALCS dimensions</w:t>
      </w:r>
    </w:p>
    <w:p>
      <w:pPr>
        <w:pStyle w:val="ListBullet"/>
        <w:spacing w:after="56"/>
      </w:pPr>
      <w:r>
        <w:t>Whether public documentation supports RCCS and ALCS mapping</w:t>
      </w:r>
    </w:p>
    <w:p>
      <w:pPr>
        <w:spacing w:after="56"/>
      </w:pPr>
      <w:r>
        <w:t>What this paper does not infer:</w:t>
      </w:r>
    </w:p>
    <w:p>
      <w:pPr>
        <w:pStyle w:val="ListBullet"/>
        <w:spacing w:after="56"/>
      </w:pPr>
      <w:r>
        <w:t>LangGraph / LangSmith is not evaluated for product quality, market leadership, or procurement suitability.</w:t>
      </w:r>
    </w:p>
    <w:p>
      <w:pPr>
        <w:pStyle w:val="ListBullet"/>
        <w:spacing w:after="56"/>
      </w:pPr>
      <w:r>
        <w:t>ALCS posture requires validation: orchestration and observability can support governance but do not automatically provide regulatory compliance coverage.</w:t>
      </w:r>
    </w:p>
    <w:p>
      <w:pPr>
        <w:pStyle w:val="ListBullet"/>
        <w:spacing w:after="56"/>
      </w:pPr>
      <w:r>
        <w:t>Workflow graphs, state, checkpoints, and traces are not identical to lifecycle responsibility objects.</w:t>
      </w:r>
    </w:p>
    <w:p>
      <w:pPr>
        <w:pStyle w:val="ListBullet"/>
        <w:spacing w:after="56"/>
      </w:pPr>
      <w:r>
        <w:t>Observability traces are not identical to MAS evidence partitioning.</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Agent orchestration</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Workflow graphs and state</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Checkpoints and persistence</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Traces and observability</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[LANGGRAPH-DOCS]</w:t>
      </w:r>
    </w:p>
    <w:p>
      <w:pPr>
        <w:pStyle w:val="ListBullet"/>
        <w:spacing w:after="56"/>
      </w:pPr>
      <w:r>
        <w:t>[LANGSMITH-DOCS]</w:t>
      </w:r>
    </w:p>
    <w:p>
      <w:pPr>
        <w:pStyle w:val="Heading3"/>
      </w:pPr>
      <w:r>
        <w:t>RCCS Mapping Summary</w:t>
      </w:r>
    </w:p>
    <w:p>
      <w:pPr>
        <w:keepNext/>
      </w:pPr>
      <w:r>
        <w:rPr>
          <w:b/>
          <w:sz w:val="16"/>
        </w:rPr>
        <w:t>Table T-12-12: LangGraph / LangSmith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risk management requires additional governance layer</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State management exists; data governance requires additional governance layer</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Workflow graphs and traces provide documentation primitives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Checkpoints and traces provide record-keeping primitives</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Traces and observability provide transparency primitives</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human oversight requires additional governance layer</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Framework security depends on deployment environment</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Traces provide observability; accountability requires additional governance layer</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contestability requires additional governance layer</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Observability and traces provide monitoring primitives</w:t>
            </w:r>
          </w:p>
        </w:tc>
      </w:tr>
    </w:tbl>
    <w:p>
      <w:pPr>
        <w:pStyle w:val="Heading3"/>
      </w:pPr>
      <w:r>
        <w:t>ALCS Mapping Summary</w:t>
      </w:r>
    </w:p>
    <w:p>
      <w:pPr>
        <w:keepNext/>
      </w:pPr>
      <w:r>
        <w:rPr>
          <w:b/>
          <w:sz w:val="16"/>
        </w:rPr>
        <w:t>Table T-12-13: LangGraph / LangSmith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Partial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Workflow graphs and state provide useful primitives; human-role-to-MAS mapping, delegated authority boundary, agent role distinction, accepted outcome compliance require additional governance semantics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Partial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Traces and state transitions provide useful primitives; tool-action liability, responsibility transfer, authority drift detection, MAS evidence partitioning require additional governance semantics</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Workflow reuse exists; cross-project reuse compliance, privacy lifecycle mapping, privacy-preserving validation require additional governance semantics</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evidence minimization, data subject rights reconciliation, processor chain tracking require additional governance layer</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vendor/model/runtime substitution conformance requires additional governance layer</w:t>
            </w:r>
          </w:p>
        </w:tc>
      </w:tr>
    </w:tbl>
    <w:p>
      <w:pPr>
        <w:pStyle w:val="Heading3"/>
      </w:pPr>
      <w:r>
        <w:t>Main Lifecycle Gaps</w:t>
      </w:r>
    </w:p>
    <w:p>
      <w:pPr>
        <w:pStyle w:val="ListNumber"/>
        <w:spacing w:after="56"/>
      </w:pPr>
      <w:r>
        <w:t>Orchestration vs Governance: Whether LangGraph / LangSmith orchestration and observability primitives extend to lifecycle responsibility governance requires validation.</w:t>
      </w:r>
    </w:p>
    <w:p>
      <w:pPr>
        <w:pStyle w:val="ListNumber"/>
        <w:spacing w:after="56"/>
      </w:pPr>
      <w:r>
        <w:t>Traces vs Evidence Partitioning: Whether LangSmith traces map to MAS evidence partitioning with agent, tool, authority, and privacy boundaries requires validation.</w:t>
      </w:r>
    </w:p>
    <w:p>
      <w:pPr>
        <w:pStyle w:val="ListNumber"/>
        <w:spacing w:after="56"/>
      </w:pPr>
      <w:r>
        <w:t>Human-Role-to-MAS Responsibility Mapping: Whether LangGraph / LangSmith maps human roles to MAS responsibility semantics requires validation.</w:t>
      </w:r>
    </w:p>
    <w:p>
      <w:pPr>
        <w:pStyle w:val="ListNumber"/>
        <w:spacing w:after="56"/>
      </w:pPr>
      <w:r>
        <w:t>Delegated Authority Boundary: Whether LangGraph / LangSmith defines and enforces authority boundaries for agent actions requires validation.</w:t>
      </w:r>
    </w:p>
    <w:p>
      <w:pPr>
        <w:pStyle w:val="ListNumber"/>
        <w:spacing w:after="56"/>
      </w:pPr>
      <w:r>
        <w:t>Accepted Outcome Compliance: Whether LangGraph / LangSmith separates execution completion from outcome acceptance requires validation.</w:t>
      </w:r>
    </w:p>
    <w:p>
      <w:pPr>
        <w:pStyle w:val="ListNumber"/>
        <w:spacing w:after="56"/>
      </w:pPr>
      <w:r>
        <w:t>Incident/Dispute/Remediation Closure: Whether LangGraph / LangSmith provides incident, dispute, and remediation closure mechanisms requires validation.</w:t>
      </w:r>
    </w:p>
    <w:p>
      <w:pPr>
        <w:pStyle w:val="Heading3"/>
      </w:pPr>
      <w:r>
        <w:t>Boundary Note</w:t>
      </w:r>
    </w:p>
    <w:p>
      <w:pPr>
        <w:spacing w:after="56"/>
      </w:pPr>
      <w:r>
        <w:t>This section maps public evidence to RCCS/ALCS dimensions. It is not a legal compliance judgment, procurement recommendation, certification, or endorsement. LangGraph / LangSmith is evaluated for governance primitives and lifecycle responsibility objects based on public documentation. Orchestration and observability can support governance but do not automatically provide regulatory compliance coverage.</w:t>
      </w:r>
    </w:p>
    <w:p>
      <w:pPr>
        <w:pStyle w:val="Heading2"/>
      </w:pPr>
      <w:r>
        <w:t>12.9 OpenAI Agents SDK — Developer-Focused Agent Execution Framework</w:t>
      </w:r>
    </w:p>
    <w:p>
      <w:pPr>
        <w:pStyle w:val="Heading3"/>
      </w:pPr>
      <w:r>
        <w:t>System Positioning</w:t>
      </w:r>
    </w:p>
    <w:p>
      <w:pPr>
        <w:spacing w:after="56"/>
      </w:pPr>
      <w:r>
        <w:t>OpenAI Agents SDK is a developer-focused agent execution framework designed for model access, tool use, agent execution patterns, and developer primitives. It is relevant to RCCS and ALCS because it provides execution capabilities that can support agent workflows, tool actions, and observability.</w:t>
      </w:r>
    </w:p>
    <w:p>
      <w:pPr>
        <w:spacing w:after="56"/>
      </w:pPr>
      <w:r>
        <w:t>OpenAI Agents SDK is strong at agent execution and tool use. It provides model access, tool calling, agent execution patterns, streaming, and developer-friendly APIs. This makes OpenAI Agents SDK relevant for developers building agentic applications with tool use and execution capabilities.</w:t>
      </w:r>
    </w:p>
    <w:p>
      <w:pPr>
        <w:spacing w:after="56"/>
      </w:pPr>
      <w:r>
        <w:t>What this paper evaluates:</w:t>
      </w:r>
    </w:p>
    <w:p>
      <w:pPr>
        <w:pStyle w:val="ListBullet"/>
        <w:spacing w:after="56"/>
      </w:pPr>
      <w:r>
        <w:t>Whether OpenAI Agents SDK provides governance primitives for RCCS dimensions</w:t>
      </w:r>
    </w:p>
    <w:p>
      <w:pPr>
        <w:pStyle w:val="ListBullet"/>
        <w:spacing w:after="56"/>
      </w:pPr>
      <w:r>
        <w:t>Whether OpenAI Agents SDK provides lifecycle responsibility objects for ALCS dimensions</w:t>
      </w:r>
    </w:p>
    <w:p>
      <w:pPr>
        <w:pStyle w:val="ListBullet"/>
        <w:spacing w:after="56"/>
      </w:pPr>
      <w:r>
        <w:t>Whether public documentation supports RCCS and ALCS mapping</w:t>
      </w:r>
    </w:p>
    <w:p>
      <w:pPr>
        <w:spacing w:after="56"/>
      </w:pPr>
      <w:r>
        <w:t>What this paper does not infer:</w:t>
      </w:r>
    </w:p>
    <w:p>
      <w:pPr>
        <w:pStyle w:val="ListBullet"/>
        <w:spacing w:after="56"/>
      </w:pPr>
      <w:r>
        <w:t>OpenAI Agents SDK is not evaluated for product quality, market leadership, or procurement suitability.</w:t>
      </w:r>
    </w:p>
    <w:p>
      <w:pPr>
        <w:pStyle w:val="ListBullet"/>
        <w:spacing w:after="56"/>
      </w:pPr>
      <w:r>
        <w:t>RCCS and ALCS posture requires validation: execution framework features do not automatically provide enterprise governance, audit readiness, accepted outcome, or lifecycle responsibility semantics.</w:t>
      </w:r>
    </w:p>
    <w:p>
      <w:pPr>
        <w:pStyle w:val="ListBullet"/>
        <w:spacing w:after="56"/>
      </w:pPr>
      <w:r>
        <w:t>Tool calling and agent execution are not identical to tool-action liability boundary.</w:t>
      </w:r>
    </w:p>
    <w:p>
      <w:pPr>
        <w:pStyle w:val="ListBullet"/>
        <w:spacing w:after="56"/>
      </w:pPr>
      <w:r>
        <w:t>Developer primitives are not identical to enterprise lifecycle governance objects.</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Agent execution framework</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Tool calling and tool use</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Model access and APIs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Developer primitives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[OPENAI-AGENTS-SDK-DOCS]</w:t>
      </w:r>
    </w:p>
    <w:p>
      <w:pPr>
        <w:pStyle w:val="ListBullet"/>
        <w:spacing w:after="56"/>
      </w:pPr>
      <w:r>
        <w:t>[OPENAI-TOOLS-DOCS]</w:t>
      </w:r>
    </w:p>
    <w:p>
      <w:pPr>
        <w:pStyle w:val="Heading3"/>
      </w:pPr>
      <w:r>
        <w:t>RCCS Mapping Summary</w:t>
      </w:r>
    </w:p>
    <w:p>
      <w:pPr>
        <w:keepNext/>
      </w:pPr>
      <w:r>
        <w:rPr>
          <w:b/>
          <w:sz w:val="16"/>
        </w:rPr>
        <w:t>Table T-12-14: OpenAI Agents SDK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risk management requires additional governance layer</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data governance requires additional governance layer</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Developer docs exist; governance documentation requires additional layer</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logs may exist; audit-ready record-keeping requires additional layer</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transparency requires additional governance layer</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human oversight requires additional governance layer</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API security exists; enterprise security depends on deployment</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accountability requires additional governance layer</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contestability requires additional governance layer</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logs may exist; governance monitoring requires additional layer</w:t>
            </w:r>
          </w:p>
        </w:tc>
      </w:tr>
    </w:tbl>
    <w:p>
      <w:pPr>
        <w:pStyle w:val="Heading3"/>
      </w:pPr>
      <w:r>
        <w:t>ALCS Mapping Summary</w:t>
      </w:r>
    </w:p>
    <w:p>
      <w:pPr>
        <w:keepNext/>
      </w:pPr>
      <w:r>
        <w:rPr>
          <w:b/>
          <w:sz w:val="16"/>
        </w:rPr>
        <w:t>Table T-12-15: OpenAI Agents SDK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provides developer primitives; human-role-to-MAS mapping, delegated authority boundary, agent role distinction, accepted outcome compliance require additional governance semantics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 calling exists; tool-action liability, responsibility transfer, authority drift detection, MAS evidence partitioning require additional governance semantics</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cross-project reuse compliance, privacy lifecycle mapping, privacy-preserving validation require additional governance layer</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evidence minimization, data subject rights reconciliation, processor chain tracking require additional governance layer</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vendor/model/runtime substitution conformance requires additional governance layer</w:t>
            </w:r>
          </w:p>
        </w:tc>
      </w:tr>
    </w:tbl>
    <w:p>
      <w:pPr>
        <w:pStyle w:val="Heading3"/>
      </w:pPr>
      <w:r>
        <w:t>Main Lifecycle Gaps</w:t>
      </w:r>
    </w:p>
    <w:p>
      <w:pPr>
        <w:pStyle w:val="ListNumber"/>
        <w:spacing w:after="56"/>
      </w:pPr>
      <w:r>
        <w:t>Execution Framework vs Governance Layer: Whether OpenAI Agents SDK execution primitives extend to lifecycle responsibility governance requires validation.</w:t>
      </w:r>
    </w:p>
    <w:p>
      <w:pPr>
        <w:pStyle w:val="ListNumber"/>
        <w:spacing w:after="56"/>
      </w:pPr>
      <w:r>
        <w:t>Tool Calling vs Tool-Action Liability: Whether OpenAI Agents SDK tool calling maps to tool-action liability boundary requires validation.</w:t>
      </w:r>
    </w:p>
    <w:p>
      <w:pPr>
        <w:pStyle w:val="ListNumber"/>
        <w:spacing w:after="56"/>
      </w:pPr>
      <w:r>
        <w:t>Developer Primitives vs Enterprise Governance: Whether OpenAI Agents SDK developer primitives extend to enterprise governance objects requires validation.</w:t>
      </w:r>
    </w:p>
    <w:p>
      <w:pPr>
        <w:pStyle w:val="ListNumber"/>
        <w:spacing w:after="56"/>
      </w:pPr>
      <w:r>
        <w:t>Delegated Authority Boundary: Whether OpenAI Agents SDK defines and enforces authority boundaries for agent actions requires validation.</w:t>
      </w:r>
    </w:p>
    <w:p>
      <w:pPr>
        <w:pStyle w:val="ListNumber"/>
        <w:spacing w:after="56"/>
      </w:pPr>
      <w:r>
        <w:t>Accepted Outcome Compliance: Whether OpenAI Agents SDK separates execution completion from outcome acceptance requires validation.</w:t>
      </w:r>
    </w:p>
    <w:p>
      <w:pPr>
        <w:pStyle w:val="ListNumber"/>
        <w:spacing w:after="56"/>
      </w:pPr>
      <w:r>
        <w:t>Human Accountability Mapping: Whether OpenAI Agents SDK maps agent actions to human accountability requires validation.</w:t>
      </w:r>
    </w:p>
    <w:p>
      <w:pPr>
        <w:pStyle w:val="Heading3"/>
      </w:pPr>
      <w:r>
        <w:t>Boundary Note</w:t>
      </w:r>
    </w:p>
    <w:p>
      <w:pPr>
        <w:spacing w:after="56"/>
      </w:pPr>
      <w:r>
        <w:t>This section maps public evidence to RCCS/ALCS dimensions. It is not a legal compliance judgment, procurement recommendation, certification, or endorsement. OpenAI Agents SDK is evaluated for governance primitives and lifecycle responsibility objects based on public documentation. Execution framework features do not automatically provide enterprise governance, audit readiness, or lifecycle responsibility semantics.</w:t>
      </w:r>
    </w:p>
    <w:p>
      <w:pPr>
        <w:pStyle w:val="Heading2"/>
      </w:pPr>
      <w:r>
        <w:t>12.10 CrewAI — Multi-Agent Collaboration and Role-Based Orchestration Framework</w:t>
      </w:r>
    </w:p>
    <w:p>
      <w:pPr>
        <w:pStyle w:val="Heading3"/>
      </w:pPr>
      <w:r>
        <w:t>System Positioning</w:t>
      </w:r>
    </w:p>
    <w:p>
      <w:pPr>
        <w:spacing w:after="56"/>
      </w:pPr>
      <w:r>
        <w:t>CrewAI is a multi-agent collaboration and role-based orchestration framework designed for agent role composition, task orchestration, and multi-agent workflows. It is relevant to RCCS and ALCS because it provides role-based orchestration capabilities that can support agent collaboration, task delegation, and workflow management.</w:t>
      </w:r>
    </w:p>
    <w:p>
      <w:pPr>
        <w:spacing w:after="56"/>
      </w:pPr>
      <w:r>
        <w:t>CrewAI is strong at role-based agent composition and task orchestration. It provides agent role labels, task assignment, multi-agent collaboration, and workflow orchestration features. This makes CrewAI relevant for developers building multi-agent systems with role-based collaboration patterns.</w:t>
      </w:r>
    </w:p>
    <w:p>
      <w:pPr>
        <w:spacing w:after="56"/>
      </w:pPr>
      <w:r>
        <w:t>What this paper evaluates:</w:t>
      </w:r>
    </w:p>
    <w:p>
      <w:pPr>
        <w:pStyle w:val="ListBullet"/>
        <w:spacing w:after="56"/>
      </w:pPr>
      <w:r>
        <w:t>Whether CrewAI provides governance primitives for RCCS dimensions</w:t>
      </w:r>
    </w:p>
    <w:p>
      <w:pPr>
        <w:pStyle w:val="ListBullet"/>
        <w:spacing w:after="56"/>
      </w:pPr>
      <w:r>
        <w:t>Whether CrewAI provides lifecycle responsibility objects for ALCS dimensions</w:t>
      </w:r>
    </w:p>
    <w:p>
      <w:pPr>
        <w:pStyle w:val="ListBullet"/>
        <w:spacing w:after="56"/>
      </w:pPr>
      <w:r>
        <w:t>Whether public documentation supports RCCS and ALCS mapping</w:t>
      </w:r>
    </w:p>
    <w:p>
      <w:pPr>
        <w:spacing w:after="56"/>
      </w:pPr>
      <w:r>
        <w:t>What this paper does not infer:</w:t>
      </w:r>
    </w:p>
    <w:p>
      <w:pPr>
        <w:pStyle w:val="ListBullet"/>
        <w:spacing w:after="56"/>
      </w:pPr>
      <w:r>
        <w:t>CrewAI is not evaluated for product quality, market leadership, or procurement suitability.</w:t>
      </w:r>
    </w:p>
    <w:p>
      <w:pPr>
        <w:pStyle w:val="ListBullet"/>
        <w:spacing w:after="56"/>
      </w:pPr>
      <w:r>
        <w:t>RCCS and ALCS posture requires validation: agent role labels and task orchestration do not automatically provide governance responsibility semantics.</w:t>
      </w:r>
    </w:p>
    <w:p>
      <w:pPr>
        <w:pStyle w:val="ListBullet"/>
        <w:spacing w:after="56"/>
      </w:pPr>
      <w:r>
        <w:t>Agent role labels are not identical to human accountability roles.</w:t>
      </w:r>
    </w:p>
    <w:p>
      <w:pPr>
        <w:pStyle w:val="ListBullet"/>
        <w:spacing w:after="56"/>
      </w:pPr>
      <w:r>
        <w:t>Role-based orchestration is not identical to human-role-to-MAS responsibility mapping.</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Multi-agent collaboration</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Role-based orchestration</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Task assignment and delegation</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 role composition</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[CREWAI-DOCS]</w:t>
      </w:r>
    </w:p>
    <w:p>
      <w:pPr>
        <w:pStyle w:val="ListBullet"/>
        <w:spacing w:after="56"/>
      </w:pPr>
      <w:r>
        <w:t>[CREWAI-GITHUB]</w:t>
      </w:r>
    </w:p>
    <w:p>
      <w:pPr>
        <w:pStyle w:val="Heading3"/>
      </w:pPr>
      <w:r>
        <w:t>RCCS Mapping Summary</w:t>
      </w:r>
    </w:p>
    <w:p>
      <w:pPr>
        <w:keepNext/>
      </w:pPr>
      <w:r>
        <w:rPr>
          <w:b/>
          <w:sz w:val="16"/>
        </w:rPr>
        <w:t>Table T-12-16: CrewAI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risk management requires additional governance layer</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data governance requires additional governance layer</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Role and task definitions provide documentation primitives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audit-ready record-keeping requires additional layer</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Role-based orchestration provides some transparency; governance transparency requires additional layer</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human oversight requires additional governance layer</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Framework security depends on deployment environment</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Agent roles exist; accountability requires additional governance layer</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contestability requires additional governance layer</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governance monitoring requires additional layer</w:t>
            </w:r>
          </w:p>
        </w:tc>
      </w:tr>
    </w:tbl>
    <w:p>
      <w:pPr>
        <w:pStyle w:val="Heading3"/>
      </w:pPr>
      <w:r>
        <w:t>ALCS Mapping Summary</w:t>
      </w:r>
    </w:p>
    <w:p>
      <w:pPr>
        <w:keepNext/>
      </w:pPr>
      <w:r>
        <w:rPr>
          <w:b/>
          <w:sz w:val="16"/>
        </w:rPr>
        <w:t>Table T-12-17: CrewAI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Agent role labels exist; human-role-to-MAS mapping, delegated authority boundary, agent role vs human role distinction, accepted outcome compliance require additional governance semantics; role labels ≠ accountability roles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Task delegation exists; tool-action liability, responsibility transfer, authority drift detection, MAS evidence partitioning require additional governance semantics</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cross-project reuse compliance, privacy lifecycle mapping, privacy-preserving validation require additional governance layer</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evidence minimization, data subject rights reconciliation, processor chain tracking require additional governance layer</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vendor/model/runtime substitution conformance requires additional governance layer</w:t>
            </w:r>
          </w:p>
        </w:tc>
      </w:tr>
    </w:tbl>
    <w:p>
      <w:pPr>
        <w:pStyle w:val="Heading3"/>
      </w:pPr>
      <w:r>
        <w:t>Main Lifecycle Gaps</w:t>
      </w:r>
    </w:p>
    <w:p>
      <w:pPr>
        <w:pStyle w:val="ListNumber"/>
        <w:spacing w:after="56"/>
      </w:pPr>
      <w:r>
        <w:t>Agent Role vs Human Role Distinction: Whether CrewAI agent role labels map to human accountability roles requires validation.</w:t>
      </w:r>
    </w:p>
    <w:p>
      <w:pPr>
        <w:pStyle w:val="ListNumber"/>
        <w:spacing w:after="56"/>
      </w:pPr>
      <w:r>
        <w:t>Human-Role-to-MAS Responsibility Mapping: Whether CrewAI role-based orchestration maps to human-role-to-MAS responsibility semantics requires validation.</w:t>
      </w:r>
    </w:p>
    <w:p>
      <w:pPr>
        <w:pStyle w:val="ListNumber"/>
        <w:spacing w:after="56"/>
      </w:pPr>
      <w:r>
        <w:t>Delegated Authority Boundary: Whether CrewAI defines and enforces authority boundaries for agent actions requires validation.</w:t>
      </w:r>
    </w:p>
    <w:p>
      <w:pPr>
        <w:pStyle w:val="ListNumber"/>
        <w:spacing w:after="56"/>
      </w:pPr>
      <w:r>
        <w:t>Accepted Outcome Compliance: Whether CrewAI separates execution completion from outcome acceptance requires validation.</w:t>
      </w:r>
    </w:p>
    <w:p>
      <w:pPr>
        <w:pStyle w:val="ListNumber"/>
        <w:spacing w:after="56"/>
      </w:pPr>
      <w:r>
        <w:t>Evidence Partitioning: Whether CrewAI partitions evidence by agent, tool, authority, and privacy boundaries requires validation.</w:t>
      </w:r>
    </w:p>
    <w:p>
      <w:pPr>
        <w:pStyle w:val="ListNumber"/>
        <w:spacing w:after="56"/>
      </w:pPr>
      <w:r>
        <w:t>Responsibility Transfer Across Agents: Whether CrewAI tracks responsibility transfer during agent handoffs requires validation.</w:t>
      </w:r>
    </w:p>
    <w:p>
      <w:pPr>
        <w:pStyle w:val="Heading3"/>
      </w:pPr>
      <w:r>
        <w:t>Boundary Note</w:t>
      </w:r>
    </w:p>
    <w:p>
      <w:pPr>
        <w:spacing w:after="56"/>
      </w:pPr>
      <w:r>
        <w:t>This section maps public evidence to RCCS/ALCS dimensions. It is not a legal compliance judgment, procurement recommendation, certification, or endorsement. CrewAI is evaluated for governance primitives and lifecycle responsibility objects based on public documentation. Agent role labels and task orchestration do not automatically provide governance responsibility semantics.</w:t>
      </w:r>
    </w:p>
    <w:p>
      <w:pPr>
        <w:pStyle w:val="Heading2"/>
      </w:pPr>
      <w:r>
        <w:t>12.11 Chapter 12 Synthesis</w:t>
      </w:r>
    </w:p>
    <w:p>
      <w:pPr>
        <w:spacing w:after="56"/>
      </w:pPr>
      <w:r>
        <w:t>This chapter evaluated eight systems against RCCS and ALCS dimensions using public evidence. The purpose was not to rank systems as best or worst, but to make visible which systems provide which capabilities, where evidence is strong, where evidence is weak, and where lifecycle gaps remain.</w:t>
      </w:r>
    </w:p>
    <w:p>
      <w:pPr>
        <w:pStyle w:val="Heading3"/>
      </w:pPr>
      <w:r>
        <w:t>Synthesis Themes</w:t>
      </w:r>
    </w:p>
    <w:p>
      <w:pPr>
        <w:spacing w:after="56"/>
      </w:pPr>
      <w:r>
        <w:t>1. Enterprise AI governance platforms tend to show stronger RCCS posture.</w:t>
      </w:r>
    </w:p>
    <w:p>
      <w:pPr>
        <w:spacing w:after="56"/>
      </w:pPr>
      <w:r>
        <w:t>Systems like IBM watsonx.governance are designed for policy enforcement, model risk management, regulatory compliance coverage, and AI lifecycle management. They provide enterprise-grade governance capabilities for risk management, data governance, documentation, record-keeping, transparency, human oversight, security, accountability, and monitoring. This makes them relevant for organizations that require regulatory compliance coverage across the AI lifecycle.</w:t>
      </w:r>
    </w:p>
    <w:p>
      <w:pPr>
        <w:spacing w:after="56"/>
      </w:pPr>
      <w:r>
        <w:t>2. Cloud AI platforms tend to show moderate-to-strong RCCS posture and partial-to-moderate ALCS posture depending on agent lifecycle object exposure.</w:t>
      </w:r>
    </w:p>
    <w:p>
      <w:pPr>
        <w:spacing w:after="56"/>
      </w:pPr>
      <w:r>
        <w:t>Systems like Microsoft Azure AI Foundry, AWS Bedrock / Guardrails / AgentCore, and Google Vertex AI / ADK / Model Armor provide cloud platform capabilities for model management, responsible AI tooling, content safety, tracing, evaluation, and enterprise integration. They show moderate-to-strong RCCS posture for cloud AI management, model governance, safety, evaluation, and monitoring. ALCS posture is partial-to-moderate and depends on whether the platform exposes lifecycle responsibility objects for authority boundaries, accepted outcomes, MAS evidence partitioning, and responsibility transfer.</w:t>
      </w:r>
    </w:p>
    <w:p>
      <w:pPr>
        <w:spacing w:after="56"/>
      </w:pPr>
      <w:r>
        <w:t>3. Agent orchestration frameworks tend to show useful execution and observability primitives but require additional lifecycle governance semantics.</w:t>
      </w:r>
    </w:p>
    <w:p>
      <w:pPr>
        <w:spacing w:after="56"/>
      </w:pPr>
      <w:r>
        <w:t>Systems like LangGraph / LangSmith provide workflow graphs, state management, checkpoints, traces, and observability features. These primitives are useful for agent orchestration and debugging. However, orchestration and observability do not automatically provide lifecycle responsibility semantics. Human-role-to-MAS mapping, delegated authority boundary, accepted outcome compliance, tool-action liability, responsibility transfer, and MAS evidence partitioning require additional governance semantics beyond orchestration and observability.</w:t>
      </w:r>
    </w:p>
    <w:p>
      <w:pPr>
        <w:spacing w:after="56"/>
      </w:pPr>
      <w:r>
        <w:t>4. Developer agent SDKs tend to show useful execution primitives but require additional enterprise governance layer.</w:t>
      </w:r>
    </w:p>
    <w:p>
      <w:pPr>
        <w:spacing w:after="56"/>
      </w:pPr>
      <w:r>
        <w:t>Systems like OpenAI Agents SDK and CrewAI provide developer-friendly execution primitives for agent workflows, tool use, and multi-agent collaboration. These primitives are useful for building agentic applications. However, execution framework features and role-based orchestration do not automatically provide enterprise governance, audit readiness, accepted outcome, or lifecycle responsibility semantics. Developer primitives are not identical to enterprise lifecycle governance objects.</w:t>
      </w:r>
    </w:p>
    <w:p>
      <w:pPr>
        <w:spacing w:after="56"/>
      </w:pPr>
      <w:r>
        <w:t>5. Lifecycle protocol paths tend to show stronger ALCS semantics but require implementation, adoption, and enterprise integration validation.</w:t>
      </w:r>
    </w:p>
    <w:p>
      <w:pPr>
        <w:spacing w:after="56"/>
      </w:pPr>
      <w:r>
        <w:t>Systems like MPLP are designed to expose lifecycle responsibility objects as first-class protocol primitives. They provide protocol-level semantics for human-role-to-MAS mapping, delegated authority boundaries, accepted outcome compliance, responsibility transfer, evidence partitioning, privacy lifecycle mapping, and vendor substitution conformance. This makes them relevant for systems that require provable lifecycle responsibility compliance across agents, tools, vendors, and organizational boundaries. However, MPLP implementation maturity, enterprise integration, vendor adoption, operational deployment evidence, and regulator familiarity require validation.</w:t>
      </w:r>
    </w:p>
    <w:p>
      <w:pPr>
        <w:spacing w:after="56"/>
      </w:pPr>
      <w:r>
        <w:t>6. The field gap is not lack of AI tools. The field gap is lack of explicit lifecycle responsibility objects.</w:t>
      </w:r>
    </w:p>
    <w:p>
      <w:pPr>
        <w:spacing w:after="56"/>
      </w:pPr>
      <w:r>
        <w:t>The eight systems evaluated in this chapter represent a wide range of capabilities: enterprise AI governance platforms, cloud AI platforms, agent orchestration frameworks, developer agent SDKs, and lifecycle protocol paths. All eight systems provide useful capabilities for building, deploying, and managing agentic AI systems. The field gap is not lack of AI tools. The field gap is lack of explicit lifecycle responsibility objects that map regulatory obligations to engineering primitives.</w:t>
      </w:r>
    </w:p>
    <w:p>
      <w:pPr>
        <w:spacing w:after="56"/>
      </w:pPr>
      <w:r>
        <w:t>Model governance and AI governance are not identical to agentic lifecycle governance. Responsible AI tooling and cloud platform features are not identical to lifecycle responsibility objects. Orchestration and observability are not identical to lifecycle responsibility semantics. Execution framework features and role-based orchestration are not identical to enterprise lifecycle governance objects.</w:t>
      </w:r>
    </w:p>
    <w:p>
      <w:pPr>
        <w:spacing w:after="56"/>
      </w:pPr>
      <w:r>
        <w:t>The comparison validates the core thesis: agentic compliance is lifecycle responsibility compliance, not only model compliance.</w:t>
      </w:r>
    </w:p>
    <w:p>
      <w:pPr>
        <w:pStyle w:val="Heading3"/>
      </w:pPr>
      <w:r>
        <w:t>Synthesis Matrix</w:t>
      </w:r>
    </w:p>
    <w:p>
      <w:pPr>
        <w:spacing w:after="56"/>
      </w:pPr>
      <w:r>
        <w:t>The following table synthesizes the eight system mappings by system category.</w:t>
      </w:r>
    </w:p>
    <w:p>
      <w:pPr>
        <w:keepNext/>
      </w:pPr>
      <w:r>
        <w:rPr>
          <w:b/>
          <w:sz w:val="16"/>
        </w:rPr>
        <w:t>Table T-12-18: Chapter 12 Synthesis Matrix</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System Category</w:t>
            </w:r>
          </w:p>
        </w:tc>
        <w:tc>
          <w:tcPr>
            <w:tcW w:type="dxa" w:w="2556"/>
          </w:tcPr>
          <w:p>
            <w:pPr>
              <w:spacing w:after="0"/>
            </w:pPr>
            <w:r>
              <w:rPr>
                <w:rFonts w:ascii="Arial" w:hAnsi="Arial"/>
                <w:b/>
                <w:sz w:val="14"/>
              </w:rPr>
              <w:t>Typical Strength</w:t>
            </w:r>
          </w:p>
        </w:tc>
        <w:tc>
          <w:tcPr>
            <w:tcW w:type="dxa" w:w="2556"/>
          </w:tcPr>
          <w:p>
            <w:pPr>
              <w:spacing w:after="0"/>
            </w:pPr>
            <w:r>
              <w:rPr>
                <w:rFonts w:ascii="Arial" w:hAnsi="Arial"/>
                <w:b/>
                <w:sz w:val="14"/>
              </w:rPr>
              <w:t>Typical Lifecycle Gap</w:t>
            </w:r>
          </w:p>
        </w:tc>
        <w:tc>
          <w:tcPr>
            <w:tcW w:type="dxa" w:w="2556"/>
          </w:tcPr>
          <w:p>
            <w:pPr>
              <w:spacing w:after="0"/>
            </w:pPr>
            <w:r>
              <w:rPr>
                <w:rFonts w:ascii="Arial" w:hAnsi="Arial"/>
                <w:b/>
                <w:sz w:val="14"/>
              </w:rPr>
              <w:t>Interpretation</w:t>
            </w:r>
          </w:p>
        </w:tc>
      </w:tr>
      <w:tr>
        <w:tc>
          <w:tcPr>
            <w:tcW w:type="dxa" w:w="2556"/>
          </w:tcPr>
          <w:p>
            <w:pPr>
              <w:spacing w:after="0"/>
            </w:pPr>
            <w:r>
              <w:rPr>
                <w:rFonts w:ascii="Arial" w:hAnsi="Arial"/>
                <w:b w:val="0"/>
                <w:sz w:val="14"/>
              </w:rPr>
              <w:t>Lifecycle protocol path (MPLP)</w:t>
            </w:r>
          </w:p>
        </w:tc>
        <w:tc>
          <w:tcPr>
            <w:tcW w:type="dxa" w:w="2556"/>
          </w:tcPr>
          <w:p>
            <w:pPr>
              <w:spacing w:after="0"/>
            </w:pPr>
            <w:r>
              <w:rPr>
                <w:rFonts w:ascii="Arial" w:hAnsi="Arial"/>
                <w:b w:val="0"/>
                <w:sz w:val="14"/>
              </w:rPr>
              <w:t>Protocol-level lifecycle responsibility semantics; strong ALCS posture for authority boundaries, accepted outcomes, responsibility transfer, evidence partitioning, substitution conformance</w:t>
            </w:r>
          </w:p>
        </w:tc>
        <w:tc>
          <w:tcPr>
            <w:tcW w:type="dxa" w:w="2556"/>
          </w:tcPr>
          <w:p>
            <w:pPr>
              <w:spacing w:after="0"/>
            </w:pPr>
            <w:r>
              <w:rPr>
                <w:rFonts w:ascii="Arial" w:hAnsi="Arial"/>
                <w:b w:val="0"/>
                <w:sz w:val="14"/>
              </w:rPr>
              <w:t>Implementation maturity, enterprise integration, vendor adoption, operational deployment evidence, regulator familiarity</w:t>
            </w:r>
          </w:p>
        </w:tc>
        <w:tc>
          <w:tcPr>
            <w:tcW w:type="dxa" w:w="2556"/>
          </w:tcPr>
          <w:p>
            <w:pPr>
              <w:spacing w:after="0"/>
            </w:pPr>
            <w:r>
              <w:rPr>
                <w:rFonts w:ascii="Arial" w:hAnsi="Arial"/>
                <w:b w:val="0"/>
                <w:sz w:val="14"/>
              </w:rPr>
              <w:t>Designed for lifecycle responsibility compliance; requires validation of implementation, adoption, and enterprise integration</w:t>
            </w:r>
          </w:p>
        </w:tc>
      </w:tr>
      <w:tr>
        <w:tc>
          <w:tcPr>
            <w:tcW w:type="dxa" w:w="2556"/>
          </w:tcPr>
          <w:p>
            <w:pPr>
              <w:spacing w:after="0"/>
            </w:pPr>
            <w:r>
              <w:rPr>
                <w:rFonts w:ascii="Arial" w:hAnsi="Arial"/>
                <w:b w:val="0"/>
                <w:sz w:val="14"/>
              </w:rPr>
              <w:t>Enterprise AI governance platform (IBM watsonx.governance)</w:t>
            </w:r>
          </w:p>
        </w:tc>
        <w:tc>
          <w:tcPr>
            <w:tcW w:type="dxa" w:w="2556"/>
          </w:tcPr>
          <w:p>
            <w:pPr>
              <w:spacing w:after="0"/>
            </w:pPr>
            <w:r>
              <w:rPr>
                <w:rFonts w:ascii="Arial" w:hAnsi="Arial"/>
                <w:b w:val="0"/>
                <w:sz w:val="14"/>
              </w:rPr>
              <w:t>Strong RCCS posture for risk management, data governance, documentation, record-keeping, transparency, human oversight, security, accountability, monitoring</w:t>
            </w:r>
          </w:p>
        </w:tc>
        <w:tc>
          <w:tcPr>
            <w:tcW w:type="dxa" w:w="2556"/>
          </w:tcPr>
          <w:p>
            <w:pPr>
              <w:spacing w:after="0"/>
            </w:pPr>
            <w:r>
              <w:rPr>
                <w:rFonts w:ascii="Arial" w:hAnsi="Arial"/>
                <w:b w:val="0"/>
                <w:sz w:val="14"/>
              </w:rPr>
              <w:t>Multi-agent responsibility transfer, accepted outcome governance, tool-action liability boundary, MAS evidence partitioning, cross-project reuse controls</w:t>
            </w:r>
          </w:p>
        </w:tc>
        <w:tc>
          <w:tcPr>
            <w:tcW w:type="dxa" w:w="2556"/>
          </w:tcPr>
          <w:p>
            <w:pPr>
              <w:spacing w:after="0"/>
            </w:pPr>
            <w:r>
              <w:rPr>
                <w:rFonts w:ascii="Arial" w:hAnsi="Arial"/>
                <w:b w:val="0"/>
                <w:sz w:val="14"/>
              </w:rPr>
              <w:t>Designed for enterprise AI governance; agentic lifecycle objects require validation</w:t>
            </w:r>
          </w:p>
        </w:tc>
      </w:tr>
      <w:tr>
        <w:tc>
          <w:tcPr>
            <w:tcW w:type="dxa" w:w="2556"/>
          </w:tcPr>
          <w:p>
            <w:pPr>
              <w:spacing w:after="0"/>
            </w:pPr>
            <w:r>
              <w:rPr>
                <w:rFonts w:ascii="Arial" w:hAnsi="Arial"/>
                <w:b w:val="0"/>
                <w:sz w:val="14"/>
              </w:rPr>
              <w:t>Cloud AI platform (Microsoft Azure AI Foundry, AWS Bedrock / Guardrails / AgentCore, Google Vertex AI / ADK / Model Armor)</w:t>
            </w:r>
          </w:p>
        </w:tc>
        <w:tc>
          <w:tcPr>
            <w:tcW w:type="dxa" w:w="2556"/>
          </w:tcPr>
          <w:p>
            <w:pPr>
              <w:spacing w:after="0"/>
            </w:pPr>
            <w:r>
              <w:rPr>
                <w:rFonts w:ascii="Arial" w:hAnsi="Arial"/>
                <w:b w:val="0"/>
                <w:sz w:val="14"/>
              </w:rPr>
              <w:t>Moderate-to-strong RCCS posture for cloud AI management, model governance, safety, evaluation, monitoring; moderate ALCS adjacency depending on agent lifecycle object exposure</w:t>
            </w:r>
          </w:p>
        </w:tc>
        <w:tc>
          <w:tcPr>
            <w:tcW w:type="dxa" w:w="2556"/>
          </w:tcPr>
          <w:p>
            <w:pPr>
              <w:spacing w:after="0"/>
            </w:pPr>
            <w:r>
              <w:rPr>
                <w:rFonts w:ascii="Arial" w:hAnsi="Arial"/>
                <w:b w:val="0"/>
                <w:sz w:val="14"/>
              </w:rPr>
              <w:t>Accepted outcome compliance, delegated authority boundary, cross-agent responsibility transfer, evidence partitioning, vendor/model/runtime substitution conformance</w:t>
            </w:r>
          </w:p>
        </w:tc>
        <w:tc>
          <w:tcPr>
            <w:tcW w:type="dxa" w:w="2556"/>
          </w:tcPr>
          <w:p>
            <w:pPr>
              <w:spacing w:after="0"/>
            </w:pPr>
            <w:r>
              <w:rPr>
                <w:rFonts w:ascii="Arial" w:hAnsi="Arial"/>
                <w:b w:val="0"/>
                <w:sz w:val="14"/>
              </w:rPr>
              <w:t>Designed for cloud AI platform capabilities; lifecycle responsibility objects require validation; responsible AI tooling ≠ lifecycle responsibility objects</w:t>
            </w:r>
          </w:p>
        </w:tc>
      </w:tr>
      <w:tr>
        <w:tc>
          <w:tcPr>
            <w:tcW w:type="dxa" w:w="2556"/>
          </w:tcPr>
          <w:p>
            <w:pPr>
              <w:spacing w:after="0"/>
            </w:pPr>
            <w:r>
              <w:rPr>
                <w:rFonts w:ascii="Arial" w:hAnsi="Arial"/>
                <w:b w:val="0"/>
                <w:sz w:val="14"/>
              </w:rPr>
              <w:t>Agent orchestration / observability framework (LangGraph / LangSmith)</w:t>
            </w:r>
          </w:p>
        </w:tc>
        <w:tc>
          <w:tcPr>
            <w:tcW w:type="dxa" w:w="2556"/>
          </w:tcPr>
          <w:p>
            <w:pPr>
              <w:spacing w:after="0"/>
            </w:pPr>
            <w:r>
              <w:rPr>
                <w:rFonts w:ascii="Arial" w:hAnsi="Arial"/>
                <w:b w:val="0"/>
                <w:sz w:val="14"/>
              </w:rPr>
              <w:t>Moderate RCCS posture for documentation, record-keeping, transparency, monitoring; moderate ALCS adjacency through graphs, state, checkpoints, traces, observability</w:t>
            </w:r>
          </w:p>
        </w:tc>
        <w:tc>
          <w:tcPr>
            <w:tcW w:type="dxa" w:w="2556"/>
          </w:tcPr>
          <w:p>
            <w:pPr>
              <w:spacing w:after="0"/>
            </w:pPr>
            <w:r>
              <w:rPr>
                <w:rFonts w:ascii="Arial" w:hAnsi="Arial"/>
                <w:b w:val="0"/>
                <w:sz w:val="14"/>
              </w:rPr>
              <w:t>Human-role-to-MAS responsibility mapping, delegated authority boundary, accepted outcome compliance, tool-action liability, responsibility transfer, MAS evidence partitioning</w:t>
            </w:r>
          </w:p>
        </w:tc>
        <w:tc>
          <w:tcPr>
            <w:tcW w:type="dxa" w:w="2556"/>
          </w:tcPr>
          <w:p>
            <w:pPr>
              <w:spacing w:after="0"/>
            </w:pPr>
            <w:r>
              <w:rPr>
                <w:rFonts w:ascii="Arial" w:hAnsi="Arial"/>
                <w:b w:val="0"/>
                <w:sz w:val="14"/>
              </w:rPr>
              <w:t>Designed for agent orchestration and observability; lifecycle responsibility semantics require additional governance layer; orchestration ≠ governance</w:t>
            </w:r>
          </w:p>
        </w:tc>
      </w:tr>
      <w:tr>
        <w:tc>
          <w:tcPr>
            <w:tcW w:type="dxa" w:w="2556"/>
          </w:tcPr>
          <w:p>
            <w:pPr>
              <w:spacing w:after="0"/>
            </w:pPr>
            <w:r>
              <w:rPr>
                <w:rFonts w:ascii="Arial" w:hAnsi="Arial"/>
                <w:b w:val="0"/>
                <w:sz w:val="14"/>
              </w:rPr>
              <w:t>Developer agent SDK (OpenAI Agents SDK)</w:t>
            </w:r>
          </w:p>
        </w:tc>
        <w:tc>
          <w:tcPr>
            <w:tcW w:type="dxa" w:w="2556"/>
          </w:tcPr>
          <w:p>
            <w:pPr>
              <w:spacing w:after="0"/>
            </w:pPr>
            <w:r>
              <w:rPr>
                <w:rFonts w:ascii="Arial" w:hAnsi="Arial"/>
                <w:b w:val="0"/>
                <w:sz w:val="14"/>
              </w:rPr>
              <w:t>Strong for model access, tool use, agent execution patterns; weak-to-moderate RCCS posture; weak-to-partial ALCS posture</w:t>
            </w:r>
          </w:p>
        </w:tc>
        <w:tc>
          <w:tcPr>
            <w:tcW w:type="dxa" w:w="2556"/>
          </w:tcPr>
          <w:p>
            <w:pPr>
              <w:spacing w:after="0"/>
            </w:pPr>
            <w:r>
              <w:rPr>
                <w:rFonts w:ascii="Arial" w:hAnsi="Arial"/>
                <w:b w:val="0"/>
                <w:sz w:val="14"/>
              </w:rPr>
              <w:t>Delegated authority boundary, accepted outcome compliance, tool-action liability, MAS evidence partitioning, human accountability mapping, dispute/remediation closure</w:t>
            </w:r>
          </w:p>
        </w:tc>
        <w:tc>
          <w:tcPr>
            <w:tcW w:type="dxa" w:w="2556"/>
          </w:tcPr>
          <w:p>
            <w:pPr>
              <w:spacing w:after="0"/>
            </w:pPr>
            <w:r>
              <w:rPr>
                <w:rFonts w:ascii="Arial" w:hAnsi="Arial"/>
                <w:b w:val="0"/>
                <w:sz w:val="14"/>
              </w:rPr>
              <w:t>Designed for developer execution primitives; enterprise governance and lifecycle responsibility semantics require additional layer; execution framework ≠ governance layer</w:t>
            </w:r>
          </w:p>
        </w:tc>
      </w:tr>
      <w:tr>
        <w:tc>
          <w:tcPr>
            <w:tcW w:type="dxa" w:w="2556"/>
          </w:tcPr>
          <w:p>
            <w:pPr>
              <w:spacing w:after="0"/>
            </w:pPr>
            <w:r>
              <w:rPr>
                <w:rFonts w:ascii="Arial" w:hAnsi="Arial"/>
                <w:b w:val="0"/>
                <w:sz w:val="14"/>
              </w:rPr>
              <w:t>Multi-agent collaboration framework (CrewAI)</w:t>
            </w:r>
          </w:p>
        </w:tc>
        <w:tc>
          <w:tcPr>
            <w:tcW w:type="dxa" w:w="2556"/>
          </w:tcPr>
          <w:p>
            <w:pPr>
              <w:spacing w:after="0"/>
            </w:pPr>
            <w:r>
              <w:rPr>
                <w:rFonts w:ascii="Arial" w:hAnsi="Arial"/>
                <w:b w:val="0"/>
                <w:sz w:val="14"/>
              </w:rPr>
              <w:t>Strong for role-based agent composition and task orchestration; weak-to-moderate RCCS posture; weak-to-partial ALCS posture</w:t>
            </w:r>
          </w:p>
        </w:tc>
        <w:tc>
          <w:tcPr>
            <w:tcW w:type="dxa" w:w="2556"/>
          </w:tcPr>
          <w:p>
            <w:pPr>
              <w:spacing w:after="0"/>
            </w:pPr>
            <w:r>
              <w:rPr>
                <w:rFonts w:ascii="Arial" w:hAnsi="Arial"/>
                <w:b w:val="0"/>
                <w:sz w:val="14"/>
              </w:rPr>
              <w:t>Agent role vs human role distinction, human-role-to-MAS responsibility mapping, delegated authority boundary, accepted outcome compliance, evidence partitioning, responsibility transfer</w:t>
            </w:r>
          </w:p>
        </w:tc>
        <w:tc>
          <w:tcPr>
            <w:tcW w:type="dxa" w:w="2556"/>
          </w:tcPr>
          <w:p>
            <w:pPr>
              <w:spacing w:after="0"/>
            </w:pPr>
            <w:r>
              <w:rPr>
                <w:rFonts w:ascii="Arial" w:hAnsi="Arial"/>
                <w:b w:val="0"/>
                <w:sz w:val="14"/>
              </w:rPr>
              <w:t>Designed for multi-agent collaboration; lifecycle responsibility semantics require additional governance layer; role labels ≠ accountability roles</w:t>
            </w:r>
          </w:p>
        </w:tc>
      </w:tr>
    </w:tbl>
    <w:p>
      <w:pPr>
        <w:pStyle w:val="Heading3"/>
      </w:pPr>
      <w:r>
        <w:t>Boundary Restatement</w:t>
      </w:r>
    </w:p>
    <w:p>
      <w:pPr>
        <w:spacing w:after="56"/>
      </w:pPr>
      <w:r>
        <w:t>This synthesis is not a product ranking. It is not a legal compliance judgment. It is not a procurement recommendation. It is not an endorsement or criticism of any vendor. It is a responsibility-semantics mapping based on public evidence and author inference where explicitly disclosed.</w:t>
      </w:r>
    </w:p>
    <w:p>
      <w:pPr>
        <w:spacing w:after="56"/>
      </w:pPr>
      <w:r>
        <w:t>No system is described as non-compliant. MPLP is not described as required for compliance. MPLP is not described as the only correct path. MPLP is not described as certification or legal authority. Validation Lab is not described as certification or legal authority.</w:t>
      </w:r>
    </w:p>
    <w:p>
      <w:pPr>
        <w:spacing w:after="56"/>
      </w:pPr>
      <w:r>
        <w:t>The synthesis validates the core thesis: agentic compliance is lifecycle responsibility compliance, not only model compliance. The field gap is not lack of AI tools. The field gap is lack of explicit lifecycle responsibility objects.</w:t>
      </w:r>
    </w:p>
    <w:p>
      <w:pPr>
        <w:pStyle w:val="Heading1"/>
      </w:pPr>
      <w:r>
        <w:t>13. MPLP Deep Mapping, Boundary, and Non-Claim Discipline</w:t>
      </w:r>
    </w:p>
    <w:p>
      <w:pPr>
        <w:spacing w:after="56"/>
      </w:pPr>
      <w:r>
        <w:t>Version: v0.3.2-FRC-R3</w:t>
      </w:r>
    </w:p>
    <w:p>
      <w:pPr>
        <w:pStyle w:val="Heading2"/>
      </w:pPr>
      <w:r>
        <w:t>13.0 Why MPLP Requires Separate Boundary Treatment</w:t>
      </w:r>
    </w:p>
    <w:p>
      <w:pPr>
        <w:spacing w:after="56"/>
      </w:pPr>
      <w:r>
        <w:t>MPLP (Multi-Agent Lifecycle Protocol) appears in this white paper because it is a protocol-level lifecycle governance approach. The author's relationship to MPLP creates an explicit conflict of interest already disclosed in the front matter. A separate deep mapping chapter is necessary to prevent hidden promotion. Deep mapping must be paired with non-claim discipline. The paper evaluates MPLP as one protocol path, not as the only path.</w:t>
      </w:r>
    </w:p>
    <w:p>
      <w:pPr>
        <w:spacing w:after="56"/>
      </w:pPr>
      <w:r>
        <w:t>Because MPLP is created by the author of this white paper, the mapping must be more explicit, not less explicit. The correct response to conflict of interest is not silence; it is transparent boundary discipline.</w:t>
      </w:r>
    </w:p>
    <w:p>
      <w:pPr>
        <w:spacing w:after="56"/>
      </w:pPr>
      <w:r>
        <w:t>This chapter maps MPLP's protocol semantics to the Missing Regulatory Objects, RCCS dimensions, and ALCS dimensions. Official MPLP documentation was located during claim-level source review, but protocol-to-MRO/ALCS mapping remains an evidence-qualified analytical interpretation unless the protocol text directly defines the relevant lifecycle object. MPLP mapping remains protocol-level semantic fit, not implementation conformance. The chapter distinguishes protocol-level fit from implementation evidence, deployment maturity, enterprise adoption, auditor acceptance, insurer acceptance, and regulatory recognition. The chapter closes with explicit non-claim discipline to prevent overclaim.</w:t>
      </w:r>
    </w:p>
    <w:p>
      <w:pPr>
        <w:pStyle w:val="Heading2"/>
      </w:pPr>
      <w:r>
        <w:t>13.1 What MPLP Is and Is Not</w:t>
      </w:r>
    </w:p>
    <w:p>
      <w:pPr>
        <w:spacing w:after="56"/>
      </w:pPr>
      <w:r>
        <w:t>MPLP is a lifecycle protocol path for expressing agentic responsibility objects. It is not a certification program, regulator, legal authority, cloud platform, procurement recommendation, or exclusive compliance method.</w:t>
      </w:r>
    </w:p>
    <w:p>
      <w:pPr>
        <w:keepNext/>
      </w:pPr>
      <w:r>
        <w:rPr>
          <w:b/>
          <w:sz w:val="16"/>
        </w:rPr>
        <w:t>Table T-13-01: MPLP Boundary Statement</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Claim Area</w:t>
            </w:r>
          </w:p>
        </w:tc>
        <w:tc>
          <w:tcPr>
            <w:tcW w:type="dxa" w:w="3408"/>
          </w:tcPr>
          <w:p>
            <w:pPr>
              <w:spacing w:after="0"/>
            </w:pPr>
            <w:r>
              <w:rPr>
                <w:rFonts w:ascii="Arial" w:hAnsi="Arial"/>
                <w:b/>
                <w:sz w:val="14"/>
              </w:rPr>
              <w:t>Allowed Framing</w:t>
            </w:r>
          </w:p>
        </w:tc>
        <w:tc>
          <w:tcPr>
            <w:tcW w:type="dxa" w:w="3408"/>
          </w:tcPr>
          <w:p>
            <w:pPr>
              <w:spacing w:after="0"/>
            </w:pPr>
            <w:r>
              <w:rPr>
                <w:rFonts w:ascii="Arial" w:hAnsi="Arial"/>
                <w:b/>
                <w:sz w:val="14"/>
              </w:rPr>
              <w:t>Forbidden Framing</w:t>
            </w:r>
          </w:p>
        </w:tc>
      </w:tr>
      <w:tr>
        <w:tc>
          <w:tcPr>
            <w:tcW w:type="dxa" w:w="3408"/>
          </w:tcPr>
          <w:p>
            <w:pPr>
              <w:spacing w:after="0"/>
            </w:pPr>
            <w:r>
              <w:rPr>
                <w:rFonts w:ascii="Arial" w:hAnsi="Arial"/>
                <w:b w:val="0"/>
                <w:sz w:val="14"/>
              </w:rPr>
              <w:t>Protocol identity</w:t>
            </w:r>
          </w:p>
        </w:tc>
        <w:tc>
          <w:tcPr>
            <w:tcW w:type="dxa" w:w="3408"/>
          </w:tcPr>
          <w:p>
            <w:pPr>
              <w:spacing w:after="0"/>
            </w:pPr>
            <w:r>
              <w:rPr>
                <w:rFonts w:ascii="Arial" w:hAnsi="Arial"/>
                <w:b w:val="0"/>
                <w:sz w:val="14"/>
              </w:rPr>
              <w:t>MPLP is a lifecycle protocol path for expressing agentic responsibility objects</w:t>
            </w:r>
          </w:p>
        </w:tc>
        <w:tc>
          <w:tcPr>
            <w:tcW w:type="dxa" w:w="3408"/>
          </w:tcPr>
          <w:p>
            <w:pPr>
              <w:spacing w:after="0"/>
            </w:pPr>
            <w:r>
              <w:rPr>
                <w:rFonts w:ascii="Arial" w:hAnsi="Arial"/>
                <w:b w:val="0"/>
                <w:sz w:val="14"/>
              </w:rPr>
              <w:t>MPLP is the official standard; MPLP is required for compliance</w:t>
            </w:r>
          </w:p>
        </w:tc>
      </w:tr>
      <w:tr>
        <w:tc>
          <w:tcPr>
            <w:tcW w:type="dxa" w:w="3408"/>
          </w:tcPr>
          <w:p>
            <w:pPr>
              <w:spacing w:after="0"/>
            </w:pPr>
            <w:r>
              <w:rPr>
                <w:rFonts w:ascii="Arial" w:hAnsi="Arial"/>
                <w:b w:val="0"/>
                <w:sz w:val="14"/>
              </w:rPr>
              <w:t>Compliance relationship</w:t>
            </w:r>
          </w:p>
        </w:tc>
        <w:tc>
          <w:tcPr>
            <w:tcW w:type="dxa" w:w="3408"/>
          </w:tcPr>
          <w:p>
            <w:pPr>
              <w:spacing w:after="0"/>
            </w:pPr>
            <w:r>
              <w:rPr>
                <w:rFonts w:ascii="Arial" w:hAnsi="Arial"/>
                <w:b w:val="0"/>
                <w:sz w:val="14"/>
              </w:rPr>
              <w:t>MPLP may map strongly to ALCS because ALCS measures lifecycle responsibility objects</w:t>
            </w:r>
          </w:p>
        </w:tc>
        <w:tc>
          <w:tcPr>
            <w:tcW w:type="dxa" w:w="3408"/>
          </w:tcPr>
          <w:p>
            <w:pPr>
              <w:spacing w:after="0"/>
            </w:pPr>
            <w:r>
              <w:rPr>
                <w:rFonts w:ascii="Arial" w:hAnsi="Arial"/>
                <w:b w:val="0"/>
                <w:sz w:val="14"/>
              </w:rPr>
              <w:t>MPLP certifies compliance; MPLP proves legal compliance</w:t>
            </w:r>
          </w:p>
        </w:tc>
      </w:tr>
      <w:tr>
        <w:tc>
          <w:tcPr>
            <w:tcW w:type="dxa" w:w="3408"/>
          </w:tcPr>
          <w:p>
            <w:pPr>
              <w:spacing w:after="0"/>
            </w:pPr>
            <w:r>
              <w:rPr>
                <w:rFonts w:ascii="Arial" w:hAnsi="Arial"/>
                <w:b w:val="0"/>
                <w:sz w:val="14"/>
              </w:rPr>
              <w:t>Certification</w:t>
            </w:r>
          </w:p>
        </w:tc>
        <w:tc>
          <w:tcPr>
            <w:tcW w:type="dxa" w:w="3408"/>
          </w:tcPr>
          <w:p>
            <w:pPr>
              <w:spacing w:after="0"/>
            </w:pPr>
            <w:r>
              <w:rPr>
                <w:rFonts w:ascii="Arial" w:hAnsi="Arial"/>
                <w:b w:val="0"/>
                <w:sz w:val="14"/>
              </w:rPr>
              <w:t>MPLP can be evaluated as one example of protocol-level lifecycle governance</w:t>
            </w:r>
          </w:p>
        </w:tc>
        <w:tc>
          <w:tcPr>
            <w:tcW w:type="dxa" w:w="3408"/>
          </w:tcPr>
          <w:p>
            <w:pPr>
              <w:spacing w:after="0"/>
            </w:pPr>
            <w:r>
              <w:rPr>
                <w:rFonts w:ascii="Arial" w:hAnsi="Arial"/>
                <w:b w:val="0"/>
                <w:sz w:val="14"/>
              </w:rPr>
              <w:t>MPLP is a certification program; MPLP certifies systems</w:t>
            </w:r>
          </w:p>
        </w:tc>
      </w:tr>
      <w:tr>
        <w:tc>
          <w:tcPr>
            <w:tcW w:type="dxa" w:w="3408"/>
          </w:tcPr>
          <w:p>
            <w:pPr>
              <w:spacing w:after="0"/>
            </w:pPr>
            <w:r>
              <w:rPr>
                <w:rFonts w:ascii="Arial" w:hAnsi="Arial"/>
                <w:b w:val="0"/>
                <w:sz w:val="14"/>
              </w:rPr>
              <w:t>Legal authority</w:t>
            </w:r>
          </w:p>
        </w:tc>
        <w:tc>
          <w:tcPr>
            <w:tcW w:type="dxa" w:w="3408"/>
          </w:tcPr>
          <w:p>
            <w:pPr>
              <w:spacing w:after="0"/>
            </w:pPr>
            <w:r>
              <w:rPr>
                <w:rFonts w:ascii="Arial" w:hAnsi="Arial"/>
                <w:b w:val="0"/>
                <w:sz w:val="14"/>
              </w:rPr>
              <w:t>MPLP defines protocol semantics for lifecycle governance</w:t>
            </w:r>
          </w:p>
        </w:tc>
        <w:tc>
          <w:tcPr>
            <w:tcW w:type="dxa" w:w="3408"/>
          </w:tcPr>
          <w:p>
            <w:pPr>
              <w:spacing w:after="0"/>
            </w:pPr>
            <w:r>
              <w:rPr>
                <w:rFonts w:ascii="Arial" w:hAnsi="Arial"/>
                <w:b w:val="0"/>
                <w:sz w:val="14"/>
              </w:rPr>
              <w:t>MPLP is a regulator; MPLP is a legal authority</w:t>
            </w:r>
          </w:p>
        </w:tc>
      </w:tr>
      <w:tr>
        <w:tc>
          <w:tcPr>
            <w:tcW w:type="dxa" w:w="3408"/>
          </w:tcPr>
          <w:p>
            <w:pPr>
              <w:spacing w:after="0"/>
            </w:pPr>
            <w:r>
              <w:rPr>
                <w:rFonts w:ascii="Arial" w:hAnsi="Arial"/>
                <w:b w:val="0"/>
                <w:sz w:val="14"/>
              </w:rPr>
              <w:t>Vendor status</w:t>
            </w:r>
          </w:p>
        </w:tc>
        <w:tc>
          <w:tcPr>
            <w:tcW w:type="dxa" w:w="3408"/>
          </w:tcPr>
          <w:p>
            <w:pPr>
              <w:spacing w:after="0"/>
            </w:pPr>
            <w:r>
              <w:rPr>
                <w:rFonts w:ascii="Arial" w:hAnsi="Arial"/>
                <w:b w:val="0"/>
                <w:sz w:val="14"/>
              </w:rPr>
              <w:t>MPLP is a protocol specification</w:t>
            </w:r>
          </w:p>
        </w:tc>
        <w:tc>
          <w:tcPr>
            <w:tcW w:type="dxa" w:w="3408"/>
          </w:tcPr>
          <w:p>
            <w:pPr>
              <w:spacing w:after="0"/>
            </w:pPr>
            <w:r>
              <w:rPr>
                <w:rFonts w:ascii="Arial" w:hAnsi="Arial"/>
                <w:b w:val="0"/>
                <w:sz w:val="14"/>
              </w:rPr>
              <w:t>MPLP is a cloud platform; MPLP is a vendor product</w:t>
            </w:r>
          </w:p>
        </w:tc>
      </w:tr>
      <w:tr>
        <w:tc>
          <w:tcPr>
            <w:tcW w:type="dxa" w:w="3408"/>
          </w:tcPr>
          <w:p>
            <w:pPr>
              <w:spacing w:after="0"/>
            </w:pPr>
            <w:r>
              <w:rPr>
                <w:rFonts w:ascii="Arial" w:hAnsi="Arial"/>
                <w:b w:val="0"/>
                <w:sz w:val="14"/>
              </w:rPr>
              <w:t>Implementation maturity</w:t>
            </w:r>
          </w:p>
        </w:tc>
        <w:tc>
          <w:tcPr>
            <w:tcW w:type="dxa" w:w="3408"/>
          </w:tcPr>
          <w:p>
            <w:pPr>
              <w:spacing w:after="0"/>
            </w:pPr>
            <w:r>
              <w:rPr>
                <w:rFonts w:ascii="Arial" w:hAnsi="Arial"/>
                <w:b w:val="0"/>
                <w:sz w:val="14"/>
              </w:rPr>
              <w:t>MPLP requires implementation validation and enterprise integration</w:t>
            </w:r>
          </w:p>
        </w:tc>
        <w:tc>
          <w:tcPr>
            <w:tcW w:type="dxa" w:w="3408"/>
          </w:tcPr>
          <w:p>
            <w:pPr>
              <w:spacing w:after="0"/>
            </w:pPr>
            <w:r>
              <w:rPr>
                <w:rFonts w:ascii="Arial" w:hAnsi="Arial"/>
                <w:b w:val="0"/>
                <w:sz w:val="14"/>
              </w:rPr>
              <w:t>MPLP is production-ready; MPLP proves deployment maturity</w:t>
            </w:r>
          </w:p>
        </w:tc>
      </w:tr>
      <w:tr>
        <w:tc>
          <w:tcPr>
            <w:tcW w:type="dxa" w:w="3408"/>
          </w:tcPr>
          <w:p>
            <w:pPr>
              <w:spacing w:after="0"/>
            </w:pPr>
            <w:r>
              <w:rPr>
                <w:rFonts w:ascii="Arial" w:hAnsi="Arial"/>
                <w:b w:val="0"/>
                <w:sz w:val="14"/>
              </w:rPr>
              <w:t>Validation Lab relationship</w:t>
            </w:r>
          </w:p>
        </w:tc>
        <w:tc>
          <w:tcPr>
            <w:tcW w:type="dxa" w:w="3408"/>
          </w:tcPr>
          <w:p>
            <w:pPr>
              <w:spacing w:after="0"/>
            </w:pPr>
            <w:r>
              <w:rPr>
                <w:rFonts w:ascii="Arial" w:hAnsi="Arial"/>
                <w:b w:val="0"/>
                <w:sz w:val="14"/>
              </w:rPr>
              <w:t>Validation Lab may be referenced separately as a non-certifying evidence adjudication example</w:t>
            </w:r>
          </w:p>
        </w:tc>
        <w:tc>
          <w:tcPr>
            <w:tcW w:type="dxa" w:w="3408"/>
          </w:tcPr>
          <w:p>
            <w:pPr>
              <w:spacing w:after="0"/>
            </w:pPr>
            <w:r>
              <w:rPr>
                <w:rFonts w:ascii="Arial" w:hAnsi="Arial"/>
                <w:b w:val="0"/>
                <w:sz w:val="14"/>
              </w:rPr>
              <w:t>Validation Lab certifies compliance; Validation Lab is a certification authority</w:t>
            </w:r>
          </w:p>
        </w:tc>
      </w:tr>
      <w:tr>
        <w:tc>
          <w:tcPr>
            <w:tcW w:type="dxa" w:w="3408"/>
          </w:tcPr>
          <w:p>
            <w:pPr>
              <w:spacing w:after="0"/>
            </w:pPr>
            <w:r>
              <w:rPr>
                <w:rFonts w:ascii="Arial" w:hAnsi="Arial"/>
                <w:b w:val="0"/>
                <w:sz w:val="14"/>
              </w:rPr>
              <w:t>Industry adoption</w:t>
            </w:r>
          </w:p>
        </w:tc>
        <w:tc>
          <w:tcPr>
            <w:tcW w:type="dxa" w:w="3408"/>
          </w:tcPr>
          <w:p>
            <w:pPr>
              <w:spacing w:after="0"/>
            </w:pPr>
            <w:r>
              <w:rPr>
                <w:rFonts w:ascii="Arial" w:hAnsi="Arial"/>
                <w:b w:val="0"/>
                <w:sz w:val="14"/>
              </w:rPr>
              <w:t>MPLP adoption requires market validation</w:t>
            </w:r>
          </w:p>
        </w:tc>
        <w:tc>
          <w:tcPr>
            <w:tcW w:type="dxa" w:w="3408"/>
          </w:tcPr>
          <w:p>
            <w:pPr>
              <w:spacing w:after="0"/>
            </w:pPr>
            <w:r>
              <w:rPr>
                <w:rFonts w:ascii="Arial" w:hAnsi="Arial"/>
                <w:b w:val="0"/>
                <w:sz w:val="14"/>
              </w:rPr>
              <w:t>MPLP is industry-standard; MPLP is regulator-approved</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MPLP can be compared to other systems by responsibility semantics</w:t>
            </w:r>
          </w:p>
        </w:tc>
        <w:tc>
          <w:tcPr>
            <w:tcW w:type="dxa" w:w="3408"/>
          </w:tcPr>
          <w:p>
            <w:pPr>
              <w:spacing w:after="0"/>
            </w:pPr>
            <w:r>
              <w:rPr>
                <w:rFonts w:ascii="Arial" w:hAnsi="Arial"/>
                <w:b w:val="0"/>
                <w:sz w:val="14"/>
              </w:rPr>
              <w:t>Other systems are non-compliant; MPLP is the only solution</w:t>
            </w:r>
          </w:p>
        </w:tc>
      </w:tr>
    </w:tbl>
    <w:p>
      <w:pPr>
        <w:pStyle w:val="Heading2"/>
      </w:pPr>
      <w:r>
        <w:t>13.2 MPLP as a Lifecycle Protocol Path</w:t>
      </w:r>
    </w:p>
    <w:p>
      <w:pPr>
        <w:spacing w:after="56"/>
      </w:pPr>
      <w:r>
        <w:t>MPLP treats lifecycle responsibility as a first-class protocol concern. MPLP is relevant to AI Agent Lifecycle Governance because it provides explicit protocol-level semantics for context, plan, confirmation, trace/evidence, roles, dialogue/collaboration, extension, core semantics, and network/integration boundaries.</w:t>
      </w:r>
    </w:p>
    <w:p>
      <w:pPr>
        <w:spacing w:after="56"/>
      </w:pPr>
      <w:r>
        <w:t>Protocol semantics can define what must be represented, but implementations determine whether those semantics are operationally enforced. A protocol path can support governance, but does not replace organizational controls.</w:t>
      </w:r>
    </w:p>
    <w:p>
      <w:pPr>
        <w:spacing w:after="56"/>
      </w:pPr>
      <w:r>
        <w:t>Canonical boundary: MPLP defines protocol semantics; deployment determines operational control.</w:t>
      </w:r>
    </w:p>
    <w:p>
      <w:pPr>
        <w:spacing w:after="56"/>
      </w:pPr>
      <w:r>
        <w:t>MPLP's protocol-level approach means it can express lifecycle responsibility objects that other systems may implement through platform features, orchestration patterns, or enterprise integration. The protocol path is one approach among several valid approaches to lifecycle governance.</w:t>
      </w:r>
    </w:p>
    <w:p>
      <w:pPr>
        <w:pStyle w:val="Heading2"/>
      </w:pPr>
      <w:r>
        <w:t>13.3 MPLP Mapping to the 16 Missing Regulatory Objects</w:t>
      </w:r>
    </w:p>
    <w:p>
      <w:pPr>
        <w:spacing w:after="56"/>
      </w:pPr>
      <w:r>
        <w:t>The following table maps MPLP protocol semantics to the sixteen Missing Regulatory Objects defined in Chapter 6. Mapping strength reflects protocol-level semantic fit, not deployment conformance.</w:t>
      </w:r>
    </w:p>
    <w:p>
      <w:pPr>
        <w:keepNext/>
      </w:pPr>
      <w:r>
        <w:rPr>
          <w:b/>
          <w:sz w:val="16"/>
        </w:rPr>
        <w:t>Table T-13-02: MPLP Mapping to the Sixteen Missing Regulatory Objects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MRO</w:t>
            </w:r>
          </w:p>
        </w:tc>
        <w:tc>
          <w:tcPr>
            <w:tcW w:type="dxa" w:w="2556"/>
          </w:tcPr>
          <w:p>
            <w:pPr>
              <w:spacing w:after="0"/>
            </w:pPr>
            <w:r>
              <w:rPr>
                <w:rFonts w:ascii="Arial" w:hAnsi="Arial"/>
                <w:b/>
                <w:sz w:val="14"/>
              </w:rPr>
              <w:t>MPLP Mapping Strength</w:t>
            </w:r>
          </w:p>
        </w:tc>
        <w:tc>
          <w:tcPr>
            <w:tcW w:type="dxa" w:w="2556"/>
          </w:tcPr>
          <w:p>
            <w:pPr>
              <w:spacing w:after="0"/>
            </w:pPr>
            <w:r>
              <w:rPr>
                <w:rFonts w:ascii="Arial" w:hAnsi="Arial"/>
                <w:b/>
                <w:sz w:val="14"/>
              </w:rPr>
              <w:t>Protocol-Level Relevance</w:t>
            </w:r>
          </w:p>
        </w:tc>
        <w:tc>
          <w:tcPr>
            <w:tcW w:type="dxa" w:w="2556"/>
          </w:tcPr>
          <w:p>
            <w:pPr>
              <w:spacing w:after="0"/>
            </w:pPr>
            <w:r>
              <w:rPr>
                <w:rFonts w:ascii="Arial" w:hAnsi="Arial"/>
                <w:b/>
                <w:sz w:val="14"/>
              </w:rPr>
              <w:t>Implementation / Evidence Limit</w:t>
            </w:r>
          </w:p>
        </w:tc>
      </w:tr>
      <w:tr>
        <w:tc>
          <w:tcPr>
            <w:tcW w:type="dxa" w:w="2556"/>
          </w:tcPr>
          <w:p>
            <w:pPr>
              <w:spacing w:after="0"/>
            </w:pPr>
            <w:r>
              <w:rPr>
                <w:rFonts w:ascii="Arial" w:hAnsi="Arial"/>
                <w:b w:val="0"/>
                <w:sz w:val="14"/>
              </w:rPr>
              <w:t>MRO-01: Human Role to MAS Responsibility Mapping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 Context / Confirm / Trace semantics support human-to-agent responsibility mapping</w:t>
            </w:r>
          </w:p>
        </w:tc>
        <w:tc>
          <w:tcPr>
            <w:tcW w:type="dxa" w:w="2556"/>
          </w:tcPr>
          <w:p>
            <w:pPr>
              <w:spacing w:after="0"/>
            </w:pPr>
            <w:r>
              <w:rPr>
                <w:rFonts w:ascii="Arial" w:hAnsi="Arial"/>
                <w:b w:val="0"/>
                <w:sz w:val="14"/>
              </w:rPr>
              <w:t>Requires implementation conformance; requires enterprise role integration</w:t>
            </w:r>
          </w:p>
        </w:tc>
      </w:tr>
      <w:tr>
        <w:tc>
          <w:tcPr>
            <w:tcW w:type="dxa" w:w="2556"/>
          </w:tcPr>
          <w:p>
            <w:pPr>
              <w:spacing w:after="0"/>
            </w:pPr>
            <w:r>
              <w:rPr>
                <w:rFonts w:ascii="Arial" w:hAnsi="Arial"/>
                <w:b w:val="0"/>
                <w:sz w:val="14"/>
              </w:rPr>
              <w:t>MRO-02: Delegated Authority Boundary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authority boundary semantics support delegation scope definition</w:t>
            </w:r>
          </w:p>
        </w:tc>
        <w:tc>
          <w:tcPr>
            <w:tcW w:type="dxa" w:w="2556"/>
          </w:tcPr>
          <w:p>
            <w:pPr>
              <w:spacing w:after="0"/>
            </w:pPr>
            <w:r>
              <w:rPr>
                <w:rFonts w:ascii="Arial" w:hAnsi="Arial"/>
                <w:b w:val="0"/>
                <w:sz w:val="14"/>
              </w:rPr>
              <w:t>Requires operational policy; requires runtime enforcement validation</w:t>
            </w:r>
          </w:p>
        </w:tc>
      </w:tr>
      <w:tr>
        <w:tc>
          <w:tcPr>
            <w:tcW w:type="dxa" w:w="2556"/>
          </w:tcPr>
          <w:p>
            <w:pPr>
              <w:spacing w:after="0"/>
            </w:pPr>
            <w:r>
              <w:rPr>
                <w:rFonts w:ascii="Arial" w:hAnsi="Arial"/>
                <w:b w:val="0"/>
                <w:sz w:val="14"/>
              </w:rPr>
              <w:t>MRO-03: Agent Role is not Human Role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semantics distinguish agent responsibility surfaces from human roles</w:t>
            </w:r>
          </w:p>
        </w:tc>
        <w:tc>
          <w:tcPr>
            <w:tcW w:type="dxa" w:w="2556"/>
          </w:tcPr>
          <w:p>
            <w:pPr>
              <w:spacing w:after="0"/>
            </w:pPr>
            <w:r>
              <w:rPr>
                <w:rFonts w:ascii="Arial" w:hAnsi="Arial"/>
                <w:b w:val="0"/>
                <w:sz w:val="14"/>
              </w:rPr>
              <w:t>Requires governance interpretation; requires organizational adoption</w:t>
            </w:r>
          </w:p>
        </w:tc>
      </w:tr>
      <w:tr>
        <w:tc>
          <w:tcPr>
            <w:tcW w:type="dxa" w:w="2556"/>
          </w:tcPr>
          <w:p>
            <w:pPr>
              <w:spacing w:after="0"/>
            </w:pPr>
            <w:r>
              <w:rPr>
                <w:rFonts w:ascii="Arial" w:hAnsi="Arial"/>
                <w:b w:val="0"/>
                <w:sz w:val="14"/>
              </w:rPr>
              <w:t>MRO-04: Accepted Outcome Compliance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Trace / Plan closure semantics support accepted outcome states</w:t>
            </w:r>
          </w:p>
        </w:tc>
        <w:tc>
          <w:tcPr>
            <w:tcW w:type="dxa" w:w="2556"/>
          </w:tcPr>
          <w:p>
            <w:pPr>
              <w:spacing w:after="0"/>
            </w:pPr>
            <w:r>
              <w:rPr>
                <w:rFonts w:ascii="Arial" w:hAnsi="Arial"/>
                <w:b w:val="0"/>
                <w:sz w:val="14"/>
              </w:rPr>
              <w:t>Requires review workflow integration; requires acceptance authority mapping</w:t>
            </w:r>
          </w:p>
        </w:tc>
      </w:tr>
      <w:tr>
        <w:tc>
          <w:tcPr>
            <w:tcW w:type="dxa" w:w="2556"/>
          </w:tcPr>
          <w:p>
            <w:pPr>
              <w:spacing w:after="0"/>
            </w:pPr>
            <w:r>
              <w:rPr>
                <w:rFonts w:ascii="Arial" w:hAnsi="Arial"/>
                <w:b w:val="0"/>
                <w:sz w:val="14"/>
              </w:rPr>
              <w:t>MRO-05: Tool-Action Liability Boundary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Tool-action evidence semantics can support liability boundary records</w:t>
            </w:r>
          </w:p>
        </w:tc>
        <w:tc>
          <w:tcPr>
            <w:tcW w:type="dxa" w:w="2556"/>
          </w:tcPr>
          <w:p>
            <w:pPr>
              <w:spacing w:after="0"/>
            </w:pPr>
            <w:r>
              <w:rPr>
                <w:rFonts w:ascii="Arial" w:hAnsi="Arial"/>
                <w:b w:val="0"/>
                <w:sz w:val="14"/>
              </w:rPr>
              <w:t>Requires tool integration; requires liability policy definition</w:t>
            </w:r>
          </w:p>
        </w:tc>
      </w:tr>
      <w:tr>
        <w:tc>
          <w:tcPr>
            <w:tcW w:type="dxa" w:w="2556"/>
          </w:tcPr>
          <w:p>
            <w:pPr>
              <w:spacing w:after="0"/>
            </w:pPr>
            <w:r>
              <w:rPr>
                <w:rFonts w:ascii="Arial" w:hAnsi="Arial"/>
                <w:b w:val="0"/>
                <w:sz w:val="14"/>
              </w:rPr>
              <w:t>MRO-06: Responsibility Transfer Across Agents</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Handoff / transfer semantics support responsibility transfer records</w:t>
            </w:r>
          </w:p>
        </w:tc>
        <w:tc>
          <w:tcPr>
            <w:tcW w:type="dxa" w:w="2556"/>
          </w:tcPr>
          <w:p>
            <w:pPr>
              <w:spacing w:after="0"/>
            </w:pPr>
            <w:r>
              <w:rPr>
                <w:rFonts w:ascii="Arial" w:hAnsi="Arial"/>
                <w:b w:val="0"/>
                <w:sz w:val="14"/>
              </w:rPr>
              <w:t>Requires multi-agent integration; requires constraint inheritance validation</w:t>
            </w:r>
          </w:p>
        </w:tc>
      </w:tr>
      <w:tr>
        <w:tc>
          <w:tcPr>
            <w:tcW w:type="dxa" w:w="2556"/>
          </w:tcPr>
          <w:p>
            <w:pPr>
              <w:spacing w:after="0"/>
            </w:pPr>
            <w:r>
              <w:rPr>
                <w:rFonts w:ascii="Arial" w:hAnsi="Arial"/>
                <w:b w:val="0"/>
                <w:sz w:val="14"/>
              </w:rPr>
              <w:t>MRO-07: Authority Drift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Monitoring semantics can support drift detection</w:t>
            </w:r>
          </w:p>
        </w:tc>
        <w:tc>
          <w:tcPr>
            <w:tcW w:type="dxa" w:w="2556"/>
          </w:tcPr>
          <w:p>
            <w:pPr>
              <w:spacing w:after="0"/>
            </w:pPr>
            <w:r>
              <w:rPr>
                <w:rFonts w:ascii="Arial" w:hAnsi="Arial"/>
                <w:b w:val="0"/>
                <w:sz w:val="14"/>
              </w:rPr>
              <w:t>Requires runtime monitoring integration; requires drift alert policy</w:t>
            </w:r>
          </w:p>
        </w:tc>
      </w:tr>
      <w:tr>
        <w:tc>
          <w:tcPr>
            <w:tcW w:type="dxa" w:w="2556"/>
          </w:tcPr>
          <w:p>
            <w:pPr>
              <w:spacing w:after="0"/>
            </w:pPr>
            <w:r>
              <w:rPr>
                <w:rFonts w:ascii="Arial" w:hAnsi="Arial"/>
                <w:b w:val="0"/>
                <w:sz w:val="14"/>
              </w:rPr>
              <w:t>MRO-08: MAS Evidence Partitioning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Trace / evidence semantics support partitioned evidence chains</w:t>
            </w:r>
          </w:p>
        </w:tc>
        <w:tc>
          <w:tcPr>
            <w:tcW w:type="dxa" w:w="2556"/>
          </w:tcPr>
          <w:p>
            <w:pPr>
              <w:spacing w:after="0"/>
            </w:pPr>
            <w:r>
              <w:rPr>
                <w:rFonts w:ascii="Arial" w:hAnsi="Arial"/>
                <w:b w:val="0"/>
                <w:sz w:val="14"/>
              </w:rPr>
              <w:t>Requires evidence export; requires partition policy definition</w:t>
            </w:r>
          </w:p>
        </w:tc>
      </w:tr>
      <w:tr>
        <w:tc>
          <w:tcPr>
            <w:tcW w:type="dxa" w:w="2556"/>
          </w:tcPr>
          <w:p>
            <w:pPr>
              <w:spacing w:after="0"/>
            </w:pPr>
            <w:r>
              <w:rPr>
                <w:rFonts w:ascii="Arial" w:hAnsi="Arial"/>
                <w:b w:val="0"/>
                <w:sz w:val="14"/>
              </w:rPr>
              <w:t>MRO-09: Cross-Project Reuse Compliance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Context reset semantics can support reuse validation</w:t>
            </w:r>
          </w:p>
        </w:tc>
        <w:tc>
          <w:tcPr>
            <w:tcW w:type="dxa" w:w="2556"/>
          </w:tcPr>
          <w:p>
            <w:pPr>
              <w:spacing w:after="0"/>
            </w:pPr>
            <w:r>
              <w:rPr>
                <w:rFonts w:ascii="Arial" w:hAnsi="Arial"/>
                <w:b w:val="0"/>
                <w:sz w:val="14"/>
              </w:rPr>
              <w:t>Requires reuse policy; requires revalidation workflow</w:t>
            </w:r>
          </w:p>
        </w:tc>
      </w:tr>
      <w:tr>
        <w:tc>
          <w:tcPr>
            <w:tcW w:type="dxa" w:w="2556"/>
          </w:tcPr>
          <w:p>
            <w:pPr>
              <w:spacing w:after="0"/>
            </w:pPr>
            <w:r>
              <w:rPr>
                <w:rFonts w:ascii="Arial" w:hAnsi="Arial"/>
                <w:b w:val="0"/>
                <w:sz w:val="14"/>
              </w:rPr>
              <w:t>MRO-10: Privacy / GDPR Lifecycle Mapping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Data-flow semantics can support privacy lifecycle mapping</w:t>
            </w:r>
          </w:p>
        </w:tc>
        <w:tc>
          <w:tcPr>
            <w:tcW w:type="dxa" w:w="2556"/>
          </w:tcPr>
          <w:p>
            <w:pPr>
              <w:spacing w:after="0"/>
            </w:pPr>
            <w:r>
              <w:rPr>
                <w:rFonts w:ascii="Arial" w:hAnsi="Arial"/>
                <w:b w:val="0"/>
                <w:sz w:val="14"/>
              </w:rPr>
              <w:t>Requires privacy policy integration; requires GDPR interpretation</w:t>
            </w:r>
          </w:p>
        </w:tc>
      </w:tr>
      <w:tr>
        <w:tc>
          <w:tcPr>
            <w:tcW w:type="dxa" w:w="2556"/>
          </w:tcPr>
          <w:p>
            <w:pPr>
              <w:spacing w:after="0"/>
            </w:pPr>
            <w:r>
              <w:rPr>
                <w:rFonts w:ascii="Arial" w:hAnsi="Arial"/>
                <w:b w:val="0"/>
                <w:sz w:val="14"/>
              </w:rPr>
              <w:t>MRO-11: Privacy-Preserving Third-Party Validation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Selective disclosure semantics can support privacy-preserving validation</w:t>
            </w:r>
          </w:p>
        </w:tc>
        <w:tc>
          <w:tcPr>
            <w:tcW w:type="dxa" w:w="2556"/>
          </w:tcPr>
          <w:p>
            <w:pPr>
              <w:spacing w:after="0"/>
            </w:pPr>
            <w:r>
              <w:rPr>
                <w:rFonts w:ascii="Arial" w:hAnsi="Arial"/>
                <w:b w:val="0"/>
                <w:sz w:val="14"/>
              </w:rPr>
              <w:t>Requires validation protocol integration; requires third-party acceptance</w:t>
            </w:r>
          </w:p>
        </w:tc>
      </w:tr>
      <w:tr>
        <w:tc>
          <w:tcPr>
            <w:tcW w:type="dxa" w:w="2556"/>
          </w:tcPr>
          <w:p>
            <w:pPr>
              <w:spacing w:after="0"/>
            </w:pPr>
            <w:r>
              <w:rPr>
                <w:rFonts w:ascii="Arial" w:hAnsi="Arial"/>
                <w:b w:val="0"/>
                <w:sz w:val="14"/>
              </w:rPr>
              <w:t>MRO-12: Evidence Minimization and Selective Disclosure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Evidence semantics can support minimization and selective disclosure</w:t>
            </w:r>
          </w:p>
        </w:tc>
        <w:tc>
          <w:tcPr>
            <w:tcW w:type="dxa" w:w="2556"/>
          </w:tcPr>
          <w:p>
            <w:pPr>
              <w:spacing w:after="0"/>
            </w:pPr>
            <w:r>
              <w:rPr>
                <w:rFonts w:ascii="Arial" w:hAnsi="Arial"/>
                <w:b w:val="0"/>
                <w:sz w:val="14"/>
              </w:rPr>
              <w:t>Requires retention policy; requires disclosure rules definition</w:t>
            </w:r>
          </w:p>
        </w:tc>
      </w:tr>
      <w:tr>
        <w:tc>
          <w:tcPr>
            <w:tcW w:type="dxa" w:w="2556"/>
          </w:tcPr>
          <w:p>
            <w:pPr>
              <w:spacing w:after="0"/>
            </w:pPr>
            <w:r>
              <w:rPr>
                <w:rFonts w:ascii="Arial" w:hAnsi="Arial"/>
                <w:b w:val="0"/>
                <w:sz w:val="14"/>
              </w:rPr>
              <w:t>MRO-13: Data Subject Rights vs Evidence Retention</w:t>
            </w:r>
          </w:p>
        </w:tc>
        <w:tc>
          <w:tcPr>
            <w:tcW w:type="dxa" w:w="2556"/>
          </w:tcPr>
          <w:p>
            <w:pPr>
              <w:spacing w:after="0"/>
            </w:pPr>
            <w:r>
              <w:rPr>
                <w:rFonts w:ascii="Arial" w:hAnsi="Arial"/>
                <w:b w:val="0"/>
                <w:sz w:val="14"/>
              </w:rPr>
              <w:t>Partial</w:t>
            </w:r>
          </w:p>
        </w:tc>
        <w:tc>
          <w:tcPr>
            <w:tcW w:type="dxa" w:w="2556"/>
          </w:tcPr>
          <w:p>
            <w:pPr>
              <w:spacing w:after="0"/>
            </w:pPr>
            <w:r>
              <w:rPr>
                <w:rFonts w:ascii="Arial" w:hAnsi="Arial"/>
                <w:b w:val="0"/>
                <w:sz w:val="14"/>
              </w:rPr>
              <w:t>Retention semantics require policy-level reconciliation</w:t>
            </w:r>
          </w:p>
        </w:tc>
        <w:tc>
          <w:tcPr>
            <w:tcW w:type="dxa" w:w="2556"/>
          </w:tcPr>
          <w:p>
            <w:pPr>
              <w:spacing w:after="0"/>
            </w:pPr>
            <w:r>
              <w:rPr>
                <w:rFonts w:ascii="Arial" w:hAnsi="Arial"/>
                <w:b w:val="0"/>
                <w:sz w:val="14"/>
              </w:rPr>
              <w:t>Requires legal interpretation; requires data subject rights workflow</w:t>
            </w:r>
          </w:p>
        </w:tc>
      </w:tr>
      <w:tr>
        <w:tc>
          <w:tcPr>
            <w:tcW w:type="dxa" w:w="2556"/>
          </w:tcPr>
          <w:p>
            <w:pPr>
              <w:spacing w:after="0"/>
            </w:pPr>
            <w:r>
              <w:rPr>
                <w:rFonts w:ascii="Arial" w:hAnsi="Arial"/>
                <w:b w:val="0"/>
                <w:sz w:val="14"/>
              </w:rPr>
              <w:t>MRO-14: Third-Party Processor / Subprocessor Chain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Network / integration semantics can track processor chain</w:t>
            </w:r>
          </w:p>
        </w:tc>
        <w:tc>
          <w:tcPr>
            <w:tcW w:type="dxa" w:w="2556"/>
          </w:tcPr>
          <w:p>
            <w:pPr>
              <w:spacing w:after="0"/>
            </w:pPr>
            <w:r>
              <w:rPr>
                <w:rFonts w:ascii="Arial" w:hAnsi="Arial"/>
                <w:b w:val="0"/>
                <w:sz w:val="14"/>
              </w:rPr>
              <w:t>Requires processor agreement integration; requires chain documentation</w:t>
            </w:r>
          </w:p>
        </w:tc>
      </w:tr>
      <w:tr>
        <w:tc>
          <w:tcPr>
            <w:tcW w:type="dxa" w:w="2556"/>
          </w:tcPr>
          <w:p>
            <w:pPr>
              <w:spacing w:after="0"/>
            </w:pPr>
            <w:r>
              <w:rPr>
                <w:rFonts w:ascii="Arial" w:hAnsi="Arial"/>
                <w:b w:val="0"/>
                <w:sz w:val="14"/>
              </w:rPr>
              <w:t>MRO-15: Vendor / Model / Runtime Substitution Conformance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Integration boundary semantics can support substitution conformance</w:t>
            </w:r>
          </w:p>
        </w:tc>
        <w:tc>
          <w:tcPr>
            <w:tcW w:type="dxa" w:w="2556"/>
          </w:tcPr>
          <w:p>
            <w:pPr>
              <w:spacing w:after="0"/>
            </w:pPr>
            <w:r>
              <w:rPr>
                <w:rFonts w:ascii="Arial" w:hAnsi="Arial"/>
                <w:b w:val="0"/>
                <w:sz w:val="14"/>
              </w:rPr>
              <w:t>Requires substitution testing; requires conformance validation</w:t>
            </w:r>
          </w:p>
        </w:tc>
      </w:tr>
      <w:tr>
        <w:tc>
          <w:tcPr>
            <w:tcW w:type="dxa" w:w="2556"/>
          </w:tcPr>
          <w:p>
            <w:pPr>
              <w:spacing w:after="0"/>
            </w:pPr>
            <w:r>
              <w:rPr>
                <w:rFonts w:ascii="Arial" w:hAnsi="Arial"/>
                <w:b w:val="0"/>
                <w:sz w:val="14"/>
              </w:rPr>
              <w:t>MRO-16: Incident, Dispute, and Remediation Closure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Closure semantics can support incident and dispute resolution</w:t>
            </w:r>
          </w:p>
        </w:tc>
        <w:tc>
          <w:tcPr>
            <w:tcW w:type="dxa" w:w="2556"/>
          </w:tcPr>
          <w:p>
            <w:pPr>
              <w:spacing w:after="0"/>
            </w:pPr>
            <w:r>
              <w:rPr>
                <w:rFonts w:ascii="Arial" w:hAnsi="Arial"/>
                <w:b w:val="0"/>
                <w:sz w:val="14"/>
              </w:rPr>
              <w:t>Requires incident workflow; requires remediation policy; does not imply legal closure</w:t>
            </w:r>
          </w:p>
        </w:tc>
      </w:tr>
    </w:tbl>
    <w:p>
      <w:pPr>
        <w:spacing w:after="56"/>
      </w:pPr>
      <w:r>
        <w:t>Key: Strong = protocol semantics directly express the required object; Moderate = protocol semantics can support the object with additional policy/integration; Partial = protocol semantics provide foundation but require significant additional work.</w:t>
      </w:r>
    </w:p>
    <w:p>
      <w:pPr>
        <w:pStyle w:val="Heading2"/>
      </w:pPr>
      <w:r>
        <w:t>13.4 MPLP Mapping to RCCS</w:t>
      </w:r>
    </w:p>
    <w:p>
      <w:pPr>
        <w:spacing w:after="56"/>
      </w:pPr>
      <w:r>
        <w:t>MPLP can support RCCS where protocol semantics create evidence, accountability, traceability, and governance primitives. However, RCCS also depends on organizational controls, deployment environment, security operations, data governance policy, and legal interpretation. MPLP alone does not satisfy RCCS.</w:t>
      </w:r>
    </w:p>
    <w:p>
      <w:pPr>
        <w:keepNext/>
      </w:pPr>
      <w:r>
        <w:rPr>
          <w:b/>
          <w:sz w:val="16"/>
        </w:rPr>
        <w:t>Table T-13-03: MPLP Mapping to RCCS Dimensions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Why MPLP May Help</w:t>
            </w:r>
          </w:p>
        </w:tc>
        <w:tc>
          <w:tcPr>
            <w:tcW w:type="dxa" w:w="2556"/>
          </w:tcPr>
          <w:p>
            <w:pPr>
              <w:spacing w:after="0"/>
            </w:pPr>
            <w:r>
              <w:rPr>
                <w:rFonts w:ascii="Arial" w:hAnsi="Arial"/>
                <w:b/>
                <w:sz w:val="14"/>
              </w:rPr>
              <w:t>Boundary / Evidence Limit</w:t>
            </w:r>
          </w:p>
        </w:tc>
      </w:tr>
      <w:tr>
        <w:tc>
          <w:tcPr>
            <w:tcW w:type="dxa" w:w="2556"/>
          </w:tcPr>
          <w:p>
            <w:pPr>
              <w:spacing w:after="0"/>
            </w:pPr>
            <w:r>
              <w:rPr>
                <w:rFonts w:ascii="Arial" w:hAnsi="Arial"/>
                <w:b w:val="0"/>
                <w:sz w:val="14"/>
              </w:rPr>
              <w:t>RCCS-01: Risk Management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Protocol semantics can support risk documentation and evidence</w:t>
            </w:r>
          </w:p>
        </w:tc>
        <w:tc>
          <w:tcPr>
            <w:tcW w:type="dxa" w:w="2556"/>
          </w:tcPr>
          <w:p>
            <w:pPr>
              <w:spacing w:after="0"/>
            </w:pPr>
            <w:r>
              <w:rPr>
                <w:rFonts w:ascii="Arial" w:hAnsi="Arial"/>
                <w:b w:val="0"/>
                <w:sz w:val="14"/>
              </w:rPr>
              <w:t>Requires organizational risk management process; requires risk assessment integration</w:t>
            </w:r>
          </w:p>
        </w:tc>
      </w:tr>
      <w:tr>
        <w:tc>
          <w:tcPr>
            <w:tcW w:type="dxa" w:w="2556"/>
          </w:tcPr>
          <w:p>
            <w:pPr>
              <w:spacing w:after="0"/>
            </w:pPr>
            <w:r>
              <w:rPr>
                <w:rFonts w:ascii="Arial" w:hAnsi="Arial"/>
                <w:b w:val="0"/>
                <w:sz w:val="14"/>
              </w:rPr>
              <w:t>RCCS-02: Data Governance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Data-flow semantics can support data lineage and lifecycle tracking</w:t>
            </w:r>
          </w:p>
        </w:tc>
        <w:tc>
          <w:tcPr>
            <w:tcW w:type="dxa" w:w="2556"/>
          </w:tcPr>
          <w:p>
            <w:pPr>
              <w:spacing w:after="0"/>
            </w:pPr>
            <w:r>
              <w:rPr>
                <w:rFonts w:ascii="Arial" w:hAnsi="Arial"/>
                <w:b w:val="0"/>
                <w:sz w:val="14"/>
              </w:rPr>
              <w:t>Requires data governance policy; requires data quality controls</w:t>
            </w:r>
          </w:p>
        </w:tc>
      </w:tr>
      <w:tr>
        <w:tc>
          <w:tcPr>
            <w:tcW w:type="dxa" w:w="2556"/>
          </w:tcPr>
          <w:p>
            <w:pPr>
              <w:spacing w:after="0"/>
            </w:pPr>
            <w:r>
              <w:rPr>
                <w:rFonts w:ascii="Arial" w:hAnsi="Arial"/>
                <w:b w:val="0"/>
                <w:sz w:val="14"/>
              </w:rPr>
              <w:t>RCCS-03: Documentation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Protocol semantics can generate lifecycle documentation</w:t>
            </w:r>
          </w:p>
        </w:tc>
        <w:tc>
          <w:tcPr>
            <w:tcW w:type="dxa" w:w="2556"/>
          </w:tcPr>
          <w:p>
            <w:pPr>
              <w:spacing w:after="0"/>
            </w:pPr>
            <w:r>
              <w:rPr>
                <w:rFonts w:ascii="Arial" w:hAnsi="Arial"/>
                <w:b w:val="0"/>
                <w:sz w:val="14"/>
              </w:rPr>
              <w:t>Requires documentation standards; requires version control integration</w:t>
            </w:r>
          </w:p>
        </w:tc>
      </w:tr>
      <w:tr>
        <w:tc>
          <w:tcPr>
            <w:tcW w:type="dxa" w:w="2556"/>
          </w:tcPr>
          <w:p>
            <w:pPr>
              <w:spacing w:after="0"/>
            </w:pPr>
            <w:r>
              <w:rPr>
                <w:rFonts w:ascii="Arial" w:hAnsi="Arial"/>
                <w:b w:val="0"/>
                <w:sz w:val="14"/>
              </w:rPr>
              <w:t>RCCS-04: Record-Keeping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Trace / evidence semantics support audit trail generation</w:t>
            </w:r>
          </w:p>
        </w:tc>
        <w:tc>
          <w:tcPr>
            <w:tcW w:type="dxa" w:w="2556"/>
          </w:tcPr>
          <w:p>
            <w:pPr>
              <w:spacing w:after="0"/>
            </w:pPr>
            <w:r>
              <w:rPr>
                <w:rFonts w:ascii="Arial" w:hAnsi="Arial"/>
                <w:b w:val="0"/>
                <w:sz w:val="14"/>
              </w:rPr>
              <w:t>Requires evidence retention policy; requires tamper-evident storage</w:t>
            </w:r>
          </w:p>
        </w:tc>
      </w:tr>
      <w:tr>
        <w:tc>
          <w:tcPr>
            <w:tcW w:type="dxa" w:w="2556"/>
          </w:tcPr>
          <w:p>
            <w:pPr>
              <w:spacing w:after="0"/>
            </w:pPr>
            <w:r>
              <w:rPr>
                <w:rFonts w:ascii="Arial" w:hAnsi="Arial"/>
                <w:b w:val="0"/>
                <w:sz w:val="14"/>
              </w:rPr>
              <w:t>RCCS-05: Transparency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Evidence semantics can support explainability and disclosure</w:t>
            </w:r>
          </w:p>
        </w:tc>
        <w:tc>
          <w:tcPr>
            <w:tcW w:type="dxa" w:w="2556"/>
          </w:tcPr>
          <w:p>
            <w:pPr>
              <w:spacing w:after="0"/>
            </w:pPr>
            <w:r>
              <w:rPr>
                <w:rFonts w:ascii="Arial" w:hAnsi="Arial"/>
                <w:b w:val="0"/>
                <w:sz w:val="14"/>
              </w:rPr>
              <w:t>Requires transparency policy; requires disclosure workflow</w:t>
            </w:r>
          </w:p>
        </w:tc>
      </w:tr>
      <w:tr>
        <w:tc>
          <w:tcPr>
            <w:tcW w:type="dxa" w:w="2556"/>
          </w:tcPr>
          <w:p>
            <w:pPr>
              <w:spacing w:after="0"/>
            </w:pPr>
            <w:r>
              <w:rPr>
                <w:rFonts w:ascii="Arial" w:hAnsi="Arial"/>
                <w:b w:val="0"/>
                <w:sz w:val="14"/>
              </w:rPr>
              <w:t>RCCS-06: Human Oversight</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Role semantics support human review and approval workflows</w:t>
            </w:r>
          </w:p>
        </w:tc>
        <w:tc>
          <w:tcPr>
            <w:tcW w:type="dxa" w:w="2556"/>
          </w:tcPr>
          <w:p>
            <w:pPr>
              <w:spacing w:after="0"/>
            </w:pPr>
            <w:r>
              <w:rPr>
                <w:rFonts w:ascii="Arial" w:hAnsi="Arial"/>
                <w:b w:val="0"/>
                <w:sz w:val="14"/>
              </w:rPr>
              <w:t>Requires human oversight policy; requires escalation rules</w:t>
            </w:r>
          </w:p>
        </w:tc>
      </w:tr>
      <w:tr>
        <w:tc>
          <w:tcPr>
            <w:tcW w:type="dxa" w:w="2556"/>
          </w:tcPr>
          <w:p>
            <w:pPr>
              <w:spacing w:after="0"/>
            </w:pPr>
            <w:r>
              <w:rPr>
                <w:rFonts w:ascii="Arial" w:hAnsi="Arial"/>
                <w:b w:val="0"/>
                <w:sz w:val="14"/>
              </w:rPr>
              <w:t>RCCS-07: Security</w:t>
            </w:r>
          </w:p>
        </w:tc>
        <w:tc>
          <w:tcPr>
            <w:tcW w:type="dxa" w:w="2556"/>
          </w:tcPr>
          <w:p>
            <w:pPr>
              <w:spacing w:after="0"/>
            </w:pPr>
            <w:r>
              <w:rPr>
                <w:rFonts w:ascii="Arial" w:hAnsi="Arial"/>
                <w:b w:val="0"/>
                <w:sz w:val="14"/>
              </w:rPr>
              <w:t>Partial</w:t>
            </w:r>
          </w:p>
        </w:tc>
        <w:tc>
          <w:tcPr>
            <w:tcW w:type="dxa" w:w="2556"/>
          </w:tcPr>
          <w:p>
            <w:pPr>
              <w:spacing w:after="0"/>
            </w:pPr>
            <w:r>
              <w:rPr>
                <w:rFonts w:ascii="Arial" w:hAnsi="Arial"/>
                <w:b w:val="0"/>
                <w:sz w:val="14"/>
              </w:rPr>
              <w:t>Protocol semantics require security implementation</w:t>
            </w:r>
          </w:p>
        </w:tc>
        <w:tc>
          <w:tcPr>
            <w:tcW w:type="dxa" w:w="2556"/>
          </w:tcPr>
          <w:p>
            <w:pPr>
              <w:spacing w:after="0"/>
            </w:pPr>
            <w:r>
              <w:rPr>
                <w:rFonts w:ascii="Arial" w:hAnsi="Arial"/>
                <w:b w:val="0"/>
                <w:sz w:val="14"/>
              </w:rPr>
              <w:t>Requires security controls; requires access management; requires encryption</w:t>
            </w:r>
          </w:p>
        </w:tc>
      </w:tr>
      <w:tr>
        <w:tc>
          <w:tcPr>
            <w:tcW w:type="dxa" w:w="2556"/>
          </w:tcPr>
          <w:p>
            <w:pPr>
              <w:spacing w:after="0"/>
            </w:pPr>
            <w:r>
              <w:rPr>
                <w:rFonts w:ascii="Arial" w:hAnsi="Arial"/>
                <w:b w:val="0"/>
                <w:sz w:val="14"/>
              </w:rPr>
              <w:t>RCCS-08: Accountability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 Trace semantics support responsibility assignment and tracking</w:t>
            </w:r>
          </w:p>
        </w:tc>
        <w:tc>
          <w:tcPr>
            <w:tcW w:type="dxa" w:w="2556"/>
          </w:tcPr>
          <w:p>
            <w:pPr>
              <w:spacing w:after="0"/>
            </w:pPr>
            <w:r>
              <w:rPr>
                <w:rFonts w:ascii="Arial" w:hAnsi="Arial"/>
                <w:b w:val="0"/>
                <w:sz w:val="14"/>
              </w:rPr>
              <w:t>Requires accountability policy; requires organizational adoption</w:t>
            </w:r>
          </w:p>
        </w:tc>
      </w:tr>
      <w:tr>
        <w:tc>
          <w:tcPr>
            <w:tcW w:type="dxa" w:w="2556"/>
          </w:tcPr>
          <w:p>
            <w:pPr>
              <w:spacing w:after="0"/>
            </w:pPr>
            <w:r>
              <w:rPr>
                <w:rFonts w:ascii="Arial" w:hAnsi="Arial"/>
                <w:b w:val="0"/>
                <w:sz w:val="14"/>
              </w:rPr>
              <w:t>RCCS-09: 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Evidence / dispute semantics can support challenge and appeal</w:t>
            </w:r>
          </w:p>
        </w:tc>
        <w:tc>
          <w:tcPr>
            <w:tcW w:type="dxa" w:w="2556"/>
          </w:tcPr>
          <w:p>
            <w:pPr>
              <w:spacing w:after="0"/>
            </w:pPr>
            <w:r>
              <w:rPr>
                <w:rFonts w:ascii="Arial" w:hAnsi="Arial"/>
                <w:b w:val="0"/>
                <w:sz w:val="14"/>
              </w:rPr>
              <w:t>Requires dispute resolution workflow; requires remediation policy</w:t>
            </w:r>
          </w:p>
        </w:tc>
      </w:tr>
      <w:tr>
        <w:tc>
          <w:tcPr>
            <w:tcW w:type="dxa" w:w="2556"/>
          </w:tcPr>
          <w:p>
            <w:pPr>
              <w:spacing w:after="0"/>
            </w:pPr>
            <w:r>
              <w:rPr>
                <w:rFonts w:ascii="Arial" w:hAnsi="Arial"/>
                <w:b w:val="0"/>
                <w:sz w:val="14"/>
              </w:rPr>
              <w:t>RCCS-10: Monitoring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Monitoring semantics can support continuous monitoring</w:t>
            </w:r>
          </w:p>
        </w:tc>
        <w:tc>
          <w:tcPr>
            <w:tcW w:type="dxa" w:w="2556"/>
          </w:tcPr>
          <w:p>
            <w:pPr>
              <w:spacing w:after="0"/>
            </w:pPr>
            <w:r>
              <w:rPr>
                <w:rFonts w:ascii="Arial" w:hAnsi="Arial"/>
                <w:b w:val="0"/>
                <w:sz w:val="14"/>
              </w:rPr>
              <w:t>Requires monitoring infrastructure; requires alert policy; requires incident response</w:t>
            </w:r>
          </w:p>
        </w:tc>
      </w:tr>
    </w:tbl>
    <w:p>
      <w:pPr>
        <w:pStyle w:val="Heading2"/>
      </w:pPr>
      <w:r>
        <w:t>13.5 MPLP Mapping to ALCS</w:t>
      </w:r>
    </w:p>
    <w:p>
      <w:pPr>
        <w:spacing w:after="56"/>
      </w:pPr>
      <w:r>
        <w:t>Because ALCS measures lifecycle responsibility objects, MPLP may map strongly to many ALCS dimensions. However, high protocol-level fit is not the same as deployment conformance.</w:t>
      </w:r>
    </w:p>
    <w:p>
      <w:pPr>
        <w:spacing w:after="56"/>
      </w:pPr>
      <w:r>
        <w:t>A strong ALCS semantic fit means the protocol can express the required lifecycle object. It does not mean any given implementation has enforced, audited, or operationalized that object.</w:t>
      </w:r>
    </w:p>
    <w:p>
      <w:pPr>
        <w:keepNext/>
      </w:pPr>
      <w:r>
        <w:rPr>
          <w:b/>
          <w:sz w:val="16"/>
        </w:rPr>
        <w:t>Table T-13-04: MPLP Mapping to ALCS Dimensions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Protocol-Level Fit</w:t>
            </w:r>
          </w:p>
        </w:tc>
        <w:tc>
          <w:tcPr>
            <w:tcW w:type="dxa" w:w="2556"/>
          </w:tcPr>
          <w:p>
            <w:pPr>
              <w:spacing w:after="0"/>
            </w:pPr>
            <w:r>
              <w:rPr>
                <w:rFonts w:ascii="Arial" w:hAnsi="Arial"/>
                <w:b/>
                <w:sz w:val="14"/>
              </w:rPr>
              <w:t>Boundary / Evidence Limit</w:t>
            </w:r>
          </w:p>
        </w:tc>
      </w:tr>
      <w:tr>
        <w:tc>
          <w:tcPr>
            <w:tcW w:type="dxa" w:w="2556"/>
          </w:tcPr>
          <w:p>
            <w:pPr>
              <w:spacing w:after="0"/>
            </w:pPr>
            <w:r>
              <w:rPr>
                <w:rFonts w:ascii="Arial" w:hAnsi="Arial"/>
                <w:b w:val="0"/>
                <w:sz w:val="14"/>
              </w:rPr>
              <w:t>ALCS-01: Human-Role-to-MAS Responsibility Mapping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 Context / Confirm semantics directly express human-to-agent responsibility mapping</w:t>
            </w:r>
          </w:p>
        </w:tc>
        <w:tc>
          <w:tcPr>
            <w:tcW w:type="dxa" w:w="2556"/>
          </w:tcPr>
          <w:p>
            <w:pPr>
              <w:spacing w:after="0"/>
            </w:pPr>
            <w:r>
              <w:rPr>
                <w:rFonts w:ascii="Arial" w:hAnsi="Arial"/>
                <w:b w:val="0"/>
                <w:sz w:val="14"/>
              </w:rPr>
              <w:t>Requires enterprise role integration; requires organizational adoption</w:t>
            </w:r>
          </w:p>
        </w:tc>
      </w:tr>
      <w:tr>
        <w:tc>
          <w:tcPr>
            <w:tcW w:type="dxa" w:w="2556"/>
          </w:tcPr>
          <w:p>
            <w:pPr>
              <w:spacing w:after="0"/>
            </w:pPr>
            <w:r>
              <w:rPr>
                <w:rFonts w:ascii="Arial" w:hAnsi="Arial"/>
                <w:b w:val="0"/>
                <w:sz w:val="14"/>
              </w:rPr>
              <w:t>ALCS-02: Delegated Authority Boundary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authority semantics directly express delegation boundaries</w:t>
            </w:r>
          </w:p>
        </w:tc>
        <w:tc>
          <w:tcPr>
            <w:tcW w:type="dxa" w:w="2556"/>
          </w:tcPr>
          <w:p>
            <w:pPr>
              <w:spacing w:after="0"/>
            </w:pPr>
            <w:r>
              <w:rPr>
                <w:rFonts w:ascii="Arial" w:hAnsi="Arial"/>
                <w:b w:val="0"/>
                <w:sz w:val="14"/>
              </w:rPr>
              <w:t>Requires operational enforcement; requires runtime validation</w:t>
            </w:r>
          </w:p>
        </w:tc>
      </w:tr>
      <w:tr>
        <w:tc>
          <w:tcPr>
            <w:tcW w:type="dxa" w:w="2556"/>
          </w:tcPr>
          <w:p>
            <w:pPr>
              <w:spacing w:after="0"/>
            </w:pPr>
            <w:r>
              <w:rPr>
                <w:rFonts w:ascii="Arial" w:hAnsi="Arial"/>
                <w:b w:val="0"/>
                <w:sz w:val="14"/>
              </w:rPr>
              <w:t>ALCS-03: Agent Role vs Human Role Distinction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semantics distinguish agent responsibility surfaces</w:t>
            </w:r>
          </w:p>
        </w:tc>
        <w:tc>
          <w:tcPr>
            <w:tcW w:type="dxa" w:w="2556"/>
          </w:tcPr>
          <w:p>
            <w:pPr>
              <w:spacing w:after="0"/>
            </w:pPr>
            <w:r>
              <w:rPr>
                <w:rFonts w:ascii="Arial" w:hAnsi="Arial"/>
                <w:b w:val="0"/>
                <w:sz w:val="14"/>
              </w:rPr>
              <w:t>Requires governance interpretation; requires role policy</w:t>
            </w:r>
          </w:p>
        </w:tc>
      </w:tr>
      <w:tr>
        <w:tc>
          <w:tcPr>
            <w:tcW w:type="dxa" w:w="2556"/>
          </w:tcPr>
          <w:p>
            <w:pPr>
              <w:spacing w:after="0"/>
            </w:pPr>
            <w:r>
              <w:rPr>
                <w:rFonts w:ascii="Arial" w:hAnsi="Arial"/>
                <w:b w:val="0"/>
                <w:sz w:val="14"/>
              </w:rPr>
              <w:t>ALCS-04: Accepted Outcome Compliance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Trace / Plan closure semantics directly express accepted outcome states</w:t>
            </w:r>
          </w:p>
        </w:tc>
        <w:tc>
          <w:tcPr>
            <w:tcW w:type="dxa" w:w="2556"/>
          </w:tcPr>
          <w:p>
            <w:pPr>
              <w:spacing w:after="0"/>
            </w:pPr>
            <w:r>
              <w:rPr>
                <w:rFonts w:ascii="Arial" w:hAnsi="Arial"/>
                <w:b w:val="0"/>
                <w:sz w:val="14"/>
              </w:rPr>
              <w:t>Requires acceptance workflow; requires review authority mapping</w:t>
            </w:r>
          </w:p>
        </w:tc>
      </w:tr>
      <w:tr>
        <w:tc>
          <w:tcPr>
            <w:tcW w:type="dxa" w:w="2556"/>
          </w:tcPr>
          <w:p>
            <w:pPr>
              <w:spacing w:after="0"/>
            </w:pPr>
            <w:r>
              <w:rPr>
                <w:rFonts w:ascii="Arial" w:hAnsi="Arial"/>
                <w:b w:val="0"/>
                <w:sz w:val="14"/>
              </w:rPr>
              <w:t>ALCS-05: Tool-Action Liability Boundary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Tool-action evidence semantics can express liability boundaries</w:t>
            </w:r>
          </w:p>
        </w:tc>
        <w:tc>
          <w:tcPr>
            <w:tcW w:type="dxa" w:w="2556"/>
          </w:tcPr>
          <w:p>
            <w:pPr>
              <w:spacing w:after="0"/>
            </w:pPr>
            <w:r>
              <w:rPr>
                <w:rFonts w:ascii="Arial" w:hAnsi="Arial"/>
                <w:b w:val="0"/>
                <w:sz w:val="14"/>
              </w:rPr>
              <w:t>Requires tool integration; requires liability policy</w:t>
            </w:r>
          </w:p>
        </w:tc>
      </w:tr>
      <w:tr>
        <w:tc>
          <w:tcPr>
            <w:tcW w:type="dxa" w:w="2556"/>
          </w:tcPr>
          <w:p>
            <w:pPr>
              <w:spacing w:after="0"/>
            </w:pPr>
            <w:r>
              <w:rPr>
                <w:rFonts w:ascii="Arial" w:hAnsi="Arial"/>
                <w:b w:val="0"/>
                <w:sz w:val="14"/>
              </w:rPr>
              <w:t>ALCS-06: Responsibility Transfer Across Agents</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Handoff / transfer semantics directly express responsibility transfer</w:t>
            </w:r>
          </w:p>
        </w:tc>
        <w:tc>
          <w:tcPr>
            <w:tcW w:type="dxa" w:w="2556"/>
          </w:tcPr>
          <w:p>
            <w:pPr>
              <w:spacing w:after="0"/>
            </w:pPr>
            <w:r>
              <w:rPr>
                <w:rFonts w:ascii="Arial" w:hAnsi="Arial"/>
                <w:b w:val="0"/>
                <w:sz w:val="14"/>
              </w:rPr>
              <w:t>Requires multi-agent integration; requires constraint inheritance</w:t>
            </w:r>
          </w:p>
        </w:tc>
      </w:tr>
      <w:tr>
        <w:tc>
          <w:tcPr>
            <w:tcW w:type="dxa" w:w="2556"/>
          </w:tcPr>
          <w:p>
            <w:pPr>
              <w:spacing w:after="0"/>
            </w:pPr>
            <w:r>
              <w:rPr>
                <w:rFonts w:ascii="Arial" w:hAnsi="Arial"/>
                <w:b w:val="0"/>
                <w:sz w:val="14"/>
              </w:rPr>
              <w:t>ALCS-07: Authority Drift Detection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Monitoring semantics can support drift detection</w:t>
            </w:r>
          </w:p>
        </w:tc>
        <w:tc>
          <w:tcPr>
            <w:tcW w:type="dxa" w:w="2556"/>
          </w:tcPr>
          <w:p>
            <w:pPr>
              <w:spacing w:after="0"/>
            </w:pPr>
            <w:r>
              <w:rPr>
                <w:rFonts w:ascii="Arial" w:hAnsi="Arial"/>
                <w:b w:val="0"/>
                <w:sz w:val="14"/>
              </w:rPr>
              <w:t>Requires runtime monitoring; requires drift policy</w:t>
            </w:r>
          </w:p>
        </w:tc>
      </w:tr>
      <w:tr>
        <w:tc>
          <w:tcPr>
            <w:tcW w:type="dxa" w:w="2556"/>
          </w:tcPr>
          <w:p>
            <w:pPr>
              <w:spacing w:after="0"/>
            </w:pPr>
            <w:r>
              <w:rPr>
                <w:rFonts w:ascii="Arial" w:hAnsi="Arial"/>
                <w:b w:val="0"/>
                <w:sz w:val="14"/>
              </w:rPr>
              <w:t>ALCS-08: MAS Evidence Partitioning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Trace / evidence semantics directly express partitioned evidence chains</w:t>
            </w:r>
          </w:p>
        </w:tc>
        <w:tc>
          <w:tcPr>
            <w:tcW w:type="dxa" w:w="2556"/>
          </w:tcPr>
          <w:p>
            <w:pPr>
              <w:spacing w:after="0"/>
            </w:pPr>
            <w:r>
              <w:rPr>
                <w:rFonts w:ascii="Arial" w:hAnsi="Arial"/>
                <w:b w:val="0"/>
                <w:sz w:val="14"/>
              </w:rPr>
              <w:t>Requires evidence export; requires partition policy</w:t>
            </w:r>
          </w:p>
        </w:tc>
      </w:tr>
      <w:tr>
        <w:tc>
          <w:tcPr>
            <w:tcW w:type="dxa" w:w="2556"/>
          </w:tcPr>
          <w:p>
            <w:pPr>
              <w:spacing w:after="0"/>
            </w:pPr>
            <w:r>
              <w:rPr>
                <w:rFonts w:ascii="Arial" w:hAnsi="Arial"/>
                <w:b w:val="0"/>
                <w:sz w:val="14"/>
              </w:rPr>
              <w:t>ALCS-09: Cross-Project Reuse Compliance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Context reset semantics can support reuse validation</w:t>
            </w:r>
          </w:p>
        </w:tc>
        <w:tc>
          <w:tcPr>
            <w:tcW w:type="dxa" w:w="2556"/>
          </w:tcPr>
          <w:p>
            <w:pPr>
              <w:spacing w:after="0"/>
            </w:pPr>
            <w:r>
              <w:rPr>
                <w:rFonts w:ascii="Arial" w:hAnsi="Arial"/>
                <w:b w:val="0"/>
                <w:sz w:val="14"/>
              </w:rPr>
              <w:t>Requires reuse policy; requires revalidation workflow</w:t>
            </w:r>
          </w:p>
        </w:tc>
      </w:tr>
      <w:tr>
        <w:tc>
          <w:tcPr>
            <w:tcW w:type="dxa" w:w="2556"/>
          </w:tcPr>
          <w:p>
            <w:pPr>
              <w:spacing w:after="0"/>
            </w:pPr>
            <w:r>
              <w:rPr>
                <w:rFonts w:ascii="Arial" w:hAnsi="Arial"/>
                <w:b w:val="0"/>
                <w:sz w:val="14"/>
              </w:rPr>
              <w:t>ALCS-10: Privacy/GDPR Lifecycle Mapping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Data-flow semantics can support privacy lifecycle mapping</w:t>
            </w:r>
          </w:p>
        </w:tc>
        <w:tc>
          <w:tcPr>
            <w:tcW w:type="dxa" w:w="2556"/>
          </w:tcPr>
          <w:p>
            <w:pPr>
              <w:spacing w:after="0"/>
            </w:pPr>
            <w:r>
              <w:rPr>
                <w:rFonts w:ascii="Arial" w:hAnsi="Arial"/>
                <w:b w:val="0"/>
                <w:sz w:val="14"/>
              </w:rPr>
              <w:t>Requires privacy policy; requires GDPR interpretation</w:t>
            </w:r>
          </w:p>
        </w:tc>
      </w:tr>
      <w:tr>
        <w:tc>
          <w:tcPr>
            <w:tcW w:type="dxa" w:w="2556"/>
          </w:tcPr>
          <w:p>
            <w:pPr>
              <w:spacing w:after="0"/>
            </w:pPr>
            <w:r>
              <w:rPr>
                <w:rFonts w:ascii="Arial" w:hAnsi="Arial"/>
                <w:b w:val="0"/>
                <w:sz w:val="14"/>
              </w:rPr>
              <w:t>ALCS-11: Privacy-Preserving Third-Party Validation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Selective disclosure semantics can support privacy-preserving validation</w:t>
            </w:r>
          </w:p>
        </w:tc>
        <w:tc>
          <w:tcPr>
            <w:tcW w:type="dxa" w:w="2556"/>
          </w:tcPr>
          <w:p>
            <w:pPr>
              <w:spacing w:after="0"/>
            </w:pPr>
            <w:r>
              <w:rPr>
                <w:rFonts w:ascii="Arial" w:hAnsi="Arial"/>
                <w:b w:val="0"/>
                <w:sz w:val="14"/>
              </w:rPr>
              <w:t>Requires validation protocol; requires third-party acceptance</w:t>
            </w:r>
          </w:p>
        </w:tc>
      </w:tr>
      <w:tr>
        <w:tc>
          <w:tcPr>
            <w:tcW w:type="dxa" w:w="2556"/>
          </w:tcPr>
          <w:p>
            <w:pPr>
              <w:spacing w:after="0"/>
            </w:pPr>
            <w:r>
              <w:rPr>
                <w:rFonts w:ascii="Arial" w:hAnsi="Arial"/>
                <w:b w:val="0"/>
                <w:sz w:val="14"/>
              </w:rPr>
              <w:t>ALCS-12: Evidence Minimization and Selective Disclosure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Evidence semantics can support minimization and selective disclosure</w:t>
            </w:r>
          </w:p>
        </w:tc>
        <w:tc>
          <w:tcPr>
            <w:tcW w:type="dxa" w:w="2556"/>
          </w:tcPr>
          <w:p>
            <w:pPr>
              <w:spacing w:after="0"/>
            </w:pPr>
            <w:r>
              <w:rPr>
                <w:rFonts w:ascii="Arial" w:hAnsi="Arial"/>
                <w:b w:val="0"/>
                <w:sz w:val="14"/>
              </w:rPr>
              <w:t>Requires retention policy; requires disclosure rules</w:t>
            </w:r>
          </w:p>
        </w:tc>
      </w:tr>
      <w:tr>
        <w:tc>
          <w:tcPr>
            <w:tcW w:type="dxa" w:w="2556"/>
          </w:tcPr>
          <w:p>
            <w:pPr>
              <w:spacing w:after="0"/>
            </w:pPr>
            <w:r>
              <w:rPr>
                <w:rFonts w:ascii="Arial" w:hAnsi="Arial"/>
                <w:b w:val="0"/>
                <w:sz w:val="14"/>
              </w:rPr>
              <w:t>ALCS-13: Data Subject Rights vs Evidence Retention</w:t>
            </w:r>
          </w:p>
        </w:tc>
        <w:tc>
          <w:tcPr>
            <w:tcW w:type="dxa" w:w="2556"/>
          </w:tcPr>
          <w:p>
            <w:pPr>
              <w:spacing w:after="0"/>
            </w:pPr>
            <w:r>
              <w:rPr>
                <w:rFonts w:ascii="Arial" w:hAnsi="Arial"/>
                <w:b w:val="0"/>
                <w:sz w:val="14"/>
              </w:rPr>
              <w:t>Partial</w:t>
            </w:r>
          </w:p>
        </w:tc>
        <w:tc>
          <w:tcPr>
            <w:tcW w:type="dxa" w:w="2556"/>
          </w:tcPr>
          <w:p>
            <w:pPr>
              <w:spacing w:after="0"/>
            </w:pPr>
            <w:r>
              <w:rPr>
                <w:rFonts w:ascii="Arial" w:hAnsi="Arial"/>
                <w:b w:val="0"/>
                <w:sz w:val="14"/>
              </w:rPr>
              <w:t>Retention semantics require policy-level reconciliation</w:t>
            </w:r>
          </w:p>
        </w:tc>
        <w:tc>
          <w:tcPr>
            <w:tcW w:type="dxa" w:w="2556"/>
          </w:tcPr>
          <w:p>
            <w:pPr>
              <w:spacing w:after="0"/>
            </w:pPr>
            <w:r>
              <w:rPr>
                <w:rFonts w:ascii="Arial" w:hAnsi="Arial"/>
                <w:b w:val="0"/>
                <w:sz w:val="14"/>
              </w:rPr>
              <w:t>Requires legal interpretation; requires data subject rights workflow</w:t>
            </w:r>
          </w:p>
        </w:tc>
      </w:tr>
      <w:tr>
        <w:tc>
          <w:tcPr>
            <w:tcW w:type="dxa" w:w="2556"/>
          </w:tcPr>
          <w:p>
            <w:pPr>
              <w:spacing w:after="0"/>
            </w:pPr>
            <w:r>
              <w:rPr>
                <w:rFonts w:ascii="Arial" w:hAnsi="Arial"/>
                <w:b w:val="0"/>
                <w:sz w:val="14"/>
              </w:rPr>
              <w:t>ALCS-14: Third-Party Processor/Subprocessor Chain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Network / integration semantics can track processor chain</w:t>
            </w:r>
          </w:p>
        </w:tc>
        <w:tc>
          <w:tcPr>
            <w:tcW w:type="dxa" w:w="2556"/>
          </w:tcPr>
          <w:p>
            <w:pPr>
              <w:spacing w:after="0"/>
            </w:pPr>
            <w:r>
              <w:rPr>
                <w:rFonts w:ascii="Arial" w:hAnsi="Arial"/>
                <w:b w:val="0"/>
                <w:sz w:val="14"/>
              </w:rPr>
              <w:t>Requires processor agreements; requires chain documentation</w:t>
            </w:r>
          </w:p>
        </w:tc>
      </w:tr>
      <w:tr>
        <w:tc>
          <w:tcPr>
            <w:tcW w:type="dxa" w:w="2556"/>
          </w:tcPr>
          <w:p>
            <w:pPr>
              <w:spacing w:after="0"/>
            </w:pPr>
            <w:r>
              <w:rPr>
                <w:rFonts w:ascii="Arial" w:hAnsi="Arial"/>
                <w:b w:val="0"/>
                <w:sz w:val="14"/>
              </w:rPr>
              <w:t>ALCS-15: Vendor/Model/Runtime Substitution Conformance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Integration boundary semantics can support substitution conformance</w:t>
            </w:r>
          </w:p>
        </w:tc>
        <w:tc>
          <w:tcPr>
            <w:tcW w:type="dxa" w:w="2556"/>
          </w:tcPr>
          <w:p>
            <w:pPr>
              <w:spacing w:after="0"/>
            </w:pPr>
            <w:r>
              <w:rPr>
                <w:rFonts w:ascii="Arial" w:hAnsi="Arial"/>
                <w:b w:val="0"/>
                <w:sz w:val="14"/>
              </w:rPr>
              <w:t>Requires substitution testing; requires conformance validation</w:t>
            </w:r>
          </w:p>
        </w:tc>
      </w:tr>
    </w:tbl>
    <w:p>
      <w:pPr>
        <w:pStyle w:val="Heading2"/>
      </w:pPr>
      <w:r>
        <w:t>13.6 Implementation, Adoption, and Evidence Limits</w:t>
      </w:r>
    </w:p>
    <w:p>
      <w:pPr>
        <w:spacing w:after="56"/>
      </w:pPr>
      <w:r>
        <w:t>MPLP can define lifecycle governance semantics, but the paper must not treat protocol design as equivalent to real-world conformance. The following table distinguishes protocol semantics from operational evidence.</w:t>
      </w:r>
    </w:p>
    <w:p>
      <w:pPr>
        <w:keepNext/>
      </w:pPr>
      <w:r>
        <w:rPr>
          <w:b/>
          <w:sz w:val="16"/>
        </w:rPr>
        <w:t>Table T-13-05: Protocol Semantics vs Operational Evidence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Layer</w:t>
            </w:r>
          </w:p>
        </w:tc>
        <w:tc>
          <w:tcPr>
            <w:tcW w:type="dxa" w:w="2556"/>
          </w:tcPr>
          <w:p>
            <w:pPr>
              <w:spacing w:after="0"/>
            </w:pPr>
            <w:r>
              <w:rPr>
                <w:rFonts w:ascii="Arial" w:hAnsi="Arial"/>
                <w:b/>
                <w:sz w:val="14"/>
              </w:rPr>
              <w:t>What It Can Prove</w:t>
            </w:r>
          </w:p>
        </w:tc>
        <w:tc>
          <w:tcPr>
            <w:tcW w:type="dxa" w:w="2556"/>
          </w:tcPr>
          <w:p>
            <w:pPr>
              <w:spacing w:after="0"/>
            </w:pPr>
            <w:r>
              <w:rPr>
                <w:rFonts w:ascii="Arial" w:hAnsi="Arial"/>
                <w:b/>
                <w:sz w:val="14"/>
              </w:rPr>
              <w:t>What It Cannot Prove Alone</w:t>
            </w:r>
          </w:p>
        </w:tc>
        <w:tc>
          <w:tcPr>
            <w:tcW w:type="dxa" w:w="2556"/>
          </w:tcPr>
          <w:p>
            <w:pPr>
              <w:spacing w:after="0"/>
            </w:pPr>
            <w:r>
              <w:rPr>
                <w:rFonts w:ascii="Arial" w:hAnsi="Arial"/>
                <w:b/>
                <w:sz w:val="14"/>
              </w:rPr>
              <w:t>Evidence Needed</w:t>
            </w:r>
          </w:p>
        </w:tc>
      </w:tr>
      <w:tr>
        <w:tc>
          <w:tcPr>
            <w:tcW w:type="dxa" w:w="2556"/>
          </w:tcPr>
          <w:p>
            <w:pPr>
              <w:spacing w:after="0"/>
            </w:pPr>
            <w:r>
              <w:rPr>
                <w:rFonts w:ascii="Arial" w:hAnsi="Arial"/>
                <w:b w:val="0"/>
                <w:sz w:val="14"/>
              </w:rPr>
              <w:t>Protocol specification</w:t>
            </w:r>
          </w:p>
        </w:tc>
        <w:tc>
          <w:tcPr>
            <w:tcW w:type="dxa" w:w="2556"/>
          </w:tcPr>
          <w:p>
            <w:pPr>
              <w:spacing w:after="0"/>
            </w:pPr>
            <w:r>
              <w:rPr>
                <w:rFonts w:ascii="Arial" w:hAnsi="Arial"/>
                <w:b w:val="0"/>
                <w:sz w:val="14"/>
              </w:rPr>
              <w:t>Semantic completeness; object definitions; protocol rules</w:t>
            </w:r>
          </w:p>
        </w:tc>
        <w:tc>
          <w:tcPr>
            <w:tcW w:type="dxa" w:w="2556"/>
          </w:tcPr>
          <w:p>
            <w:pPr>
              <w:spacing w:after="0"/>
            </w:pPr>
            <w:r>
              <w:rPr>
                <w:rFonts w:ascii="Arial" w:hAnsi="Arial"/>
                <w:b w:val="0"/>
                <w:sz w:val="14"/>
              </w:rPr>
              <w:t>Deployment conformance; operational effectiveness; legal compliance</w:t>
            </w:r>
          </w:p>
        </w:tc>
        <w:tc>
          <w:tcPr>
            <w:tcW w:type="dxa" w:w="2556"/>
          </w:tcPr>
          <w:p>
            <w:pPr>
              <w:spacing w:after="0"/>
            </w:pPr>
            <w:r>
              <w:rPr>
                <w:rFonts w:ascii="Arial" w:hAnsi="Arial"/>
                <w:b w:val="0"/>
                <w:sz w:val="14"/>
              </w:rPr>
              <w:t>Formal protocol specification; protocol documentation</w:t>
            </w:r>
          </w:p>
        </w:tc>
      </w:tr>
      <w:tr>
        <w:tc>
          <w:tcPr>
            <w:tcW w:type="dxa" w:w="2556"/>
          </w:tcPr>
          <w:p>
            <w:pPr>
              <w:spacing w:after="0"/>
            </w:pPr>
            <w:r>
              <w:rPr>
                <w:rFonts w:ascii="Arial" w:hAnsi="Arial"/>
                <w:b w:val="0"/>
                <w:sz w:val="14"/>
              </w:rPr>
              <w:t>Reference implementation</w:t>
            </w:r>
          </w:p>
        </w:tc>
        <w:tc>
          <w:tcPr>
            <w:tcW w:type="dxa" w:w="2556"/>
          </w:tcPr>
          <w:p>
            <w:pPr>
              <w:spacing w:after="0"/>
            </w:pPr>
            <w:r>
              <w:rPr>
                <w:rFonts w:ascii="Arial" w:hAnsi="Arial"/>
                <w:b w:val="0"/>
                <w:sz w:val="14"/>
              </w:rPr>
              <w:t>Protocol implementation feasibility; basic functionality</w:t>
            </w:r>
          </w:p>
        </w:tc>
        <w:tc>
          <w:tcPr>
            <w:tcW w:type="dxa" w:w="2556"/>
          </w:tcPr>
          <w:p>
            <w:pPr>
              <w:spacing w:after="0"/>
            </w:pPr>
            <w:r>
              <w:rPr>
                <w:rFonts w:ascii="Arial" w:hAnsi="Arial"/>
                <w:b w:val="0"/>
                <w:sz w:val="14"/>
              </w:rPr>
              <w:t>Production readiness; enterprise integration; security hardening</w:t>
            </w:r>
          </w:p>
        </w:tc>
        <w:tc>
          <w:tcPr>
            <w:tcW w:type="dxa" w:w="2556"/>
          </w:tcPr>
          <w:p>
            <w:pPr>
              <w:spacing w:after="0"/>
            </w:pPr>
            <w:r>
              <w:rPr>
                <w:rFonts w:ascii="Arial" w:hAnsi="Arial"/>
                <w:b w:val="0"/>
                <w:sz w:val="14"/>
              </w:rPr>
              <w:t>Reference implementation code; test results</w:t>
            </w:r>
          </w:p>
        </w:tc>
      </w:tr>
      <w:tr>
        <w:tc>
          <w:tcPr>
            <w:tcW w:type="dxa" w:w="2556"/>
          </w:tcPr>
          <w:p>
            <w:pPr>
              <w:spacing w:after="0"/>
            </w:pPr>
            <w:r>
              <w:rPr>
                <w:rFonts w:ascii="Arial" w:hAnsi="Arial"/>
                <w:b w:val="0"/>
                <w:sz w:val="14"/>
              </w:rPr>
              <w:t>Runtime integration</w:t>
            </w:r>
          </w:p>
        </w:tc>
        <w:tc>
          <w:tcPr>
            <w:tcW w:type="dxa" w:w="2556"/>
          </w:tcPr>
          <w:p>
            <w:pPr>
              <w:spacing w:after="0"/>
            </w:pPr>
            <w:r>
              <w:rPr>
                <w:rFonts w:ascii="Arial" w:hAnsi="Arial"/>
                <w:b w:val="0"/>
                <w:sz w:val="14"/>
              </w:rPr>
              <w:t>Integration with agent runtimes; tool integration; workflow execution</w:t>
            </w:r>
          </w:p>
        </w:tc>
        <w:tc>
          <w:tcPr>
            <w:tcW w:type="dxa" w:w="2556"/>
          </w:tcPr>
          <w:p>
            <w:pPr>
              <w:spacing w:after="0"/>
            </w:pPr>
            <w:r>
              <w:rPr>
                <w:rFonts w:ascii="Arial" w:hAnsi="Arial"/>
                <w:b w:val="0"/>
                <w:sz w:val="14"/>
              </w:rPr>
              <w:t>Enterprise policy enforcement; organizational adoption; audit acceptance</w:t>
            </w:r>
          </w:p>
        </w:tc>
        <w:tc>
          <w:tcPr>
            <w:tcW w:type="dxa" w:w="2556"/>
          </w:tcPr>
          <w:p>
            <w:pPr>
              <w:spacing w:after="0"/>
            </w:pPr>
            <w:r>
              <w:rPr>
                <w:rFonts w:ascii="Arial" w:hAnsi="Arial"/>
                <w:b w:val="0"/>
                <w:sz w:val="14"/>
              </w:rPr>
              <w:t>Integration documentation; runtime logs</w:t>
            </w:r>
          </w:p>
        </w:tc>
      </w:tr>
      <w:tr>
        <w:tc>
          <w:tcPr>
            <w:tcW w:type="dxa" w:w="2556"/>
          </w:tcPr>
          <w:p>
            <w:pPr>
              <w:spacing w:after="0"/>
            </w:pPr>
            <w:r>
              <w:rPr>
                <w:rFonts w:ascii="Arial" w:hAnsi="Arial"/>
                <w:b w:val="0"/>
                <w:sz w:val="14"/>
              </w:rPr>
              <w:t>Enterprise deployment</w:t>
            </w:r>
          </w:p>
        </w:tc>
        <w:tc>
          <w:tcPr>
            <w:tcW w:type="dxa" w:w="2556"/>
          </w:tcPr>
          <w:p>
            <w:pPr>
              <w:spacing w:after="0"/>
            </w:pPr>
            <w:r>
              <w:rPr>
                <w:rFonts w:ascii="Arial" w:hAnsi="Arial"/>
                <w:b w:val="0"/>
                <w:sz w:val="14"/>
              </w:rPr>
              <w:t>Operational deployment; policy enforcement; organizational controls</w:t>
            </w:r>
          </w:p>
        </w:tc>
        <w:tc>
          <w:tcPr>
            <w:tcW w:type="dxa" w:w="2556"/>
          </w:tcPr>
          <w:p>
            <w:pPr>
              <w:spacing w:after="0"/>
            </w:pPr>
            <w:r>
              <w:rPr>
                <w:rFonts w:ascii="Arial" w:hAnsi="Arial"/>
                <w:b w:val="0"/>
                <w:sz w:val="14"/>
              </w:rPr>
              <w:t>Legal compliance; regulatory acceptance; insurer acceptance</w:t>
            </w:r>
          </w:p>
        </w:tc>
        <w:tc>
          <w:tcPr>
            <w:tcW w:type="dxa" w:w="2556"/>
          </w:tcPr>
          <w:p>
            <w:pPr>
              <w:spacing w:after="0"/>
            </w:pPr>
            <w:r>
              <w:rPr>
                <w:rFonts w:ascii="Arial" w:hAnsi="Arial"/>
                <w:b w:val="0"/>
                <w:sz w:val="14"/>
              </w:rPr>
              <w:t>Deployment evidence; policy documentation; operational logs</w:t>
            </w:r>
          </w:p>
        </w:tc>
      </w:tr>
      <w:tr>
        <w:tc>
          <w:tcPr>
            <w:tcW w:type="dxa" w:w="2556"/>
          </w:tcPr>
          <w:p>
            <w:pPr>
              <w:spacing w:after="0"/>
            </w:pPr>
            <w:r>
              <w:rPr>
                <w:rFonts w:ascii="Arial" w:hAnsi="Arial"/>
                <w:b w:val="0"/>
                <w:sz w:val="14"/>
              </w:rPr>
              <w:t>Validation evidence</w:t>
            </w:r>
          </w:p>
        </w:tc>
        <w:tc>
          <w:tcPr>
            <w:tcW w:type="dxa" w:w="2556"/>
          </w:tcPr>
          <w:p>
            <w:pPr>
              <w:spacing w:after="0"/>
            </w:pPr>
            <w:r>
              <w:rPr>
                <w:rFonts w:ascii="Arial" w:hAnsi="Arial"/>
                <w:b w:val="0"/>
                <w:sz w:val="14"/>
              </w:rPr>
              <w:t>Independent validation; evidence quality; conformance testing</w:t>
            </w:r>
          </w:p>
        </w:tc>
        <w:tc>
          <w:tcPr>
            <w:tcW w:type="dxa" w:w="2556"/>
          </w:tcPr>
          <w:p>
            <w:pPr>
              <w:spacing w:after="0"/>
            </w:pPr>
            <w:r>
              <w:rPr>
                <w:rFonts w:ascii="Arial" w:hAnsi="Arial"/>
                <w:b w:val="0"/>
                <w:sz w:val="14"/>
              </w:rPr>
              <w:t>Certification; legal compliance; regulatory approval</w:t>
            </w:r>
          </w:p>
        </w:tc>
        <w:tc>
          <w:tcPr>
            <w:tcW w:type="dxa" w:w="2556"/>
          </w:tcPr>
          <w:p>
            <w:pPr>
              <w:spacing w:after="0"/>
            </w:pPr>
            <w:r>
              <w:rPr>
                <w:rFonts w:ascii="Arial" w:hAnsi="Arial"/>
                <w:b w:val="0"/>
                <w:sz w:val="14"/>
              </w:rPr>
              <w:t>Validation reports; test results; conformance evidence</w:t>
            </w:r>
          </w:p>
        </w:tc>
      </w:tr>
      <w:tr>
        <w:tc>
          <w:tcPr>
            <w:tcW w:type="dxa" w:w="2556"/>
          </w:tcPr>
          <w:p>
            <w:pPr>
              <w:spacing w:after="0"/>
            </w:pPr>
            <w:r>
              <w:rPr>
                <w:rFonts w:ascii="Arial" w:hAnsi="Arial"/>
                <w:b w:val="0"/>
                <w:sz w:val="14"/>
              </w:rPr>
              <w:t>Third-party review</w:t>
            </w:r>
          </w:p>
        </w:tc>
        <w:tc>
          <w:tcPr>
            <w:tcW w:type="dxa" w:w="2556"/>
          </w:tcPr>
          <w:p>
            <w:pPr>
              <w:spacing w:after="0"/>
            </w:pPr>
            <w:r>
              <w:rPr>
                <w:rFonts w:ascii="Arial" w:hAnsi="Arial"/>
                <w:b w:val="0"/>
                <w:sz w:val="14"/>
              </w:rPr>
              <w:t>Independent assessment; peer review; expert evaluation</w:t>
            </w:r>
          </w:p>
        </w:tc>
        <w:tc>
          <w:tcPr>
            <w:tcW w:type="dxa" w:w="2556"/>
          </w:tcPr>
          <w:p>
            <w:pPr>
              <w:spacing w:after="0"/>
            </w:pPr>
            <w:r>
              <w:rPr>
                <w:rFonts w:ascii="Arial" w:hAnsi="Arial"/>
                <w:b w:val="0"/>
                <w:sz w:val="14"/>
              </w:rPr>
              <w:t>Certification; legal compliance; regulatory approval</w:t>
            </w:r>
          </w:p>
        </w:tc>
        <w:tc>
          <w:tcPr>
            <w:tcW w:type="dxa" w:w="2556"/>
          </w:tcPr>
          <w:p>
            <w:pPr>
              <w:spacing w:after="0"/>
            </w:pPr>
            <w:r>
              <w:rPr>
                <w:rFonts w:ascii="Arial" w:hAnsi="Arial"/>
                <w:b w:val="0"/>
                <w:sz w:val="14"/>
              </w:rPr>
              <w:t>Review reports; assessment documentation</w:t>
            </w:r>
          </w:p>
        </w:tc>
      </w:tr>
      <w:tr>
        <w:tc>
          <w:tcPr>
            <w:tcW w:type="dxa" w:w="2556"/>
          </w:tcPr>
          <w:p>
            <w:pPr>
              <w:spacing w:after="0"/>
            </w:pPr>
            <w:r>
              <w:rPr>
                <w:rFonts w:ascii="Arial" w:hAnsi="Arial"/>
                <w:b w:val="0"/>
                <w:sz w:val="14"/>
              </w:rPr>
              <w:t>Regulatory / audit / insurance acceptance</w:t>
            </w:r>
          </w:p>
        </w:tc>
        <w:tc>
          <w:tcPr>
            <w:tcW w:type="dxa" w:w="2556"/>
          </w:tcPr>
          <w:p>
            <w:pPr>
              <w:spacing w:after="0"/>
            </w:pPr>
            <w:r>
              <w:rPr>
                <w:rFonts w:ascii="Arial" w:hAnsi="Arial"/>
                <w:b w:val="0"/>
                <w:sz w:val="14"/>
              </w:rPr>
              <w:t>Regulator recognition; auditor acceptance; insurer acceptance</w:t>
            </w:r>
          </w:p>
        </w:tc>
        <w:tc>
          <w:tcPr>
            <w:tcW w:type="dxa" w:w="2556"/>
          </w:tcPr>
          <w:p>
            <w:pPr>
              <w:spacing w:after="0"/>
            </w:pPr>
            <w:r>
              <w:rPr>
                <w:rFonts w:ascii="Arial" w:hAnsi="Arial"/>
                <w:b w:val="0"/>
                <w:sz w:val="14"/>
              </w:rPr>
              <w:t>Automatic compliance; guaranteed insurability</w:t>
            </w:r>
          </w:p>
        </w:tc>
        <w:tc>
          <w:tcPr>
            <w:tcW w:type="dxa" w:w="2556"/>
          </w:tcPr>
          <w:p>
            <w:pPr>
              <w:spacing w:after="0"/>
            </w:pPr>
            <w:r>
              <w:rPr>
                <w:rFonts w:ascii="Arial" w:hAnsi="Arial"/>
                <w:b w:val="0"/>
                <w:sz w:val="14"/>
              </w:rPr>
              <w:t>Regulatory guidance; audit opinions; insurance policies</w:t>
            </w:r>
          </w:p>
        </w:tc>
      </w:tr>
    </w:tbl>
    <w:p>
      <w:pPr>
        <w:spacing w:after="56"/>
      </w:pPr>
      <w:r>
        <w:t>The gap between protocol semantics and operational evidence is not a weakness of MPLP. It is the nature of protocol-level governance. Any protocol path faces the same gap. The paper must not claim that MPLP's protocol-level fit automatically proves deployment conformance, legal compliance, or market acceptance.</w:t>
      </w:r>
    </w:p>
    <w:p>
      <w:pPr>
        <w:pStyle w:val="Heading2"/>
      </w:pPr>
      <w:r>
        <w:t>13.7 MPLP Non-Claim Discipline</w:t>
      </w:r>
    </w:p>
    <w:p>
      <w:pPr>
        <w:spacing w:after="56"/>
      </w:pPr>
      <w:r>
        <w:t>The following table explicitly restates forbidden claims to prevent overclaim.</w:t>
      </w:r>
    </w:p>
    <w:p>
      <w:pPr>
        <w:keepNext/>
      </w:pPr>
      <w:r>
        <w:rPr>
          <w:b/>
          <w:sz w:val="16"/>
        </w:rPr>
        <w:t>Table T-13-06: MPLP Non-Claim Discipline</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Area</w:t>
            </w:r>
          </w:p>
        </w:tc>
        <w:tc>
          <w:tcPr>
            <w:tcW w:type="dxa" w:w="3408"/>
          </w:tcPr>
          <w:p>
            <w:pPr>
              <w:spacing w:after="0"/>
            </w:pPr>
            <w:r>
              <w:rPr>
                <w:rFonts w:ascii="Arial" w:hAnsi="Arial"/>
                <w:b/>
                <w:sz w:val="14"/>
              </w:rPr>
              <w:t>Permitted Statement</w:t>
            </w:r>
          </w:p>
        </w:tc>
        <w:tc>
          <w:tcPr>
            <w:tcW w:type="dxa" w:w="3408"/>
          </w:tcPr>
          <w:p>
            <w:pPr>
              <w:spacing w:after="0"/>
            </w:pPr>
            <w:r>
              <w:rPr>
                <w:rFonts w:ascii="Arial" w:hAnsi="Arial"/>
                <w:b/>
                <w:sz w:val="14"/>
              </w:rPr>
              <w:t>Prohibited Statement</w:t>
            </w:r>
          </w:p>
        </w:tc>
      </w:tr>
      <w:tr>
        <w:tc>
          <w:tcPr>
            <w:tcW w:type="dxa" w:w="3408"/>
          </w:tcPr>
          <w:p>
            <w:pPr>
              <w:spacing w:after="0"/>
            </w:pPr>
            <w:r>
              <w:rPr>
                <w:rFonts w:ascii="Arial" w:hAnsi="Arial"/>
                <w:b w:val="0"/>
                <w:sz w:val="14"/>
              </w:rPr>
              <w:t>Compliance</w:t>
            </w:r>
          </w:p>
        </w:tc>
        <w:tc>
          <w:tcPr>
            <w:tcW w:type="dxa" w:w="3408"/>
          </w:tcPr>
          <w:p>
            <w:pPr>
              <w:spacing w:after="0"/>
            </w:pPr>
            <w:r>
              <w:rPr>
                <w:rFonts w:ascii="Arial" w:hAnsi="Arial"/>
                <w:b w:val="0"/>
                <w:sz w:val="14"/>
              </w:rPr>
              <w:t>MPLP is one lifecycle protocol path; MPLP may express lifecycle responsibility objects</w:t>
            </w:r>
          </w:p>
        </w:tc>
        <w:tc>
          <w:tcPr>
            <w:tcW w:type="dxa" w:w="3408"/>
          </w:tcPr>
          <w:p>
            <w:pPr>
              <w:spacing w:after="0"/>
            </w:pPr>
            <w:r>
              <w:rPr>
                <w:rFonts w:ascii="Arial" w:hAnsi="Arial"/>
                <w:b w:val="0"/>
                <w:sz w:val="14"/>
              </w:rPr>
              <w:t>MPLP is required for compliance; MPLP certifies compliance; MPLP proves legal compliance</w:t>
            </w:r>
          </w:p>
        </w:tc>
      </w:tr>
      <w:tr>
        <w:tc>
          <w:tcPr>
            <w:tcW w:type="dxa" w:w="3408"/>
          </w:tcPr>
          <w:p>
            <w:pPr>
              <w:spacing w:after="0"/>
            </w:pPr>
            <w:r>
              <w:rPr>
                <w:rFonts w:ascii="Arial" w:hAnsi="Arial"/>
                <w:b w:val="0"/>
                <w:sz w:val="14"/>
              </w:rPr>
              <w:t>Certification</w:t>
            </w:r>
          </w:p>
        </w:tc>
        <w:tc>
          <w:tcPr>
            <w:tcW w:type="dxa" w:w="3408"/>
          </w:tcPr>
          <w:p>
            <w:pPr>
              <w:spacing w:after="0"/>
            </w:pPr>
            <w:r>
              <w:rPr>
                <w:rFonts w:ascii="Arial" w:hAnsi="Arial"/>
                <w:b w:val="0"/>
                <w:sz w:val="14"/>
              </w:rPr>
              <w:t>MPLP can be evaluated as one example of protocol-level lifecycle governance</w:t>
            </w:r>
          </w:p>
        </w:tc>
        <w:tc>
          <w:tcPr>
            <w:tcW w:type="dxa" w:w="3408"/>
          </w:tcPr>
          <w:p>
            <w:pPr>
              <w:spacing w:after="0"/>
            </w:pPr>
            <w:r>
              <w:rPr>
                <w:rFonts w:ascii="Arial" w:hAnsi="Arial"/>
                <w:b w:val="0"/>
                <w:sz w:val="14"/>
              </w:rPr>
              <w:t>MPLP is a certification program; MPLP certifies systems; MPLP guarantees compliance</w:t>
            </w:r>
          </w:p>
        </w:tc>
      </w:tr>
      <w:tr>
        <w:tc>
          <w:tcPr>
            <w:tcW w:type="dxa" w:w="3408"/>
          </w:tcPr>
          <w:p>
            <w:pPr>
              <w:spacing w:after="0"/>
            </w:pPr>
            <w:r>
              <w:rPr>
                <w:rFonts w:ascii="Arial" w:hAnsi="Arial"/>
                <w:b w:val="0"/>
                <w:sz w:val="14"/>
              </w:rPr>
              <w:t>Legal authority</w:t>
            </w:r>
          </w:p>
        </w:tc>
        <w:tc>
          <w:tcPr>
            <w:tcW w:type="dxa" w:w="3408"/>
          </w:tcPr>
          <w:p>
            <w:pPr>
              <w:spacing w:after="0"/>
            </w:pPr>
            <w:r>
              <w:rPr>
                <w:rFonts w:ascii="Arial" w:hAnsi="Arial"/>
                <w:b w:val="0"/>
                <w:sz w:val="14"/>
              </w:rPr>
              <w:t>MPLP defines protocol semantics for lifecycle governance</w:t>
            </w:r>
          </w:p>
        </w:tc>
        <w:tc>
          <w:tcPr>
            <w:tcW w:type="dxa" w:w="3408"/>
          </w:tcPr>
          <w:p>
            <w:pPr>
              <w:spacing w:after="0"/>
            </w:pPr>
            <w:r>
              <w:rPr>
                <w:rFonts w:ascii="Arial" w:hAnsi="Arial"/>
                <w:b w:val="0"/>
                <w:sz w:val="14"/>
              </w:rPr>
              <w:t>MPLP is a regulator; MPLP is a legal authority; MPLP is regulator-approved</w:t>
            </w:r>
          </w:p>
        </w:tc>
      </w:tr>
      <w:tr>
        <w:tc>
          <w:tcPr>
            <w:tcW w:type="dxa" w:w="3408"/>
          </w:tcPr>
          <w:p>
            <w:pPr>
              <w:spacing w:after="0"/>
            </w:pPr>
            <w:r>
              <w:rPr>
                <w:rFonts w:ascii="Arial" w:hAnsi="Arial"/>
                <w:b w:val="0"/>
                <w:sz w:val="14"/>
              </w:rPr>
              <w:t>Regulatory recognition</w:t>
            </w:r>
          </w:p>
        </w:tc>
        <w:tc>
          <w:tcPr>
            <w:tcW w:type="dxa" w:w="3408"/>
          </w:tcPr>
          <w:p>
            <w:pPr>
              <w:spacing w:after="0"/>
            </w:pPr>
            <w:r>
              <w:rPr>
                <w:rFonts w:ascii="Arial" w:hAnsi="Arial"/>
                <w:b w:val="0"/>
                <w:sz w:val="14"/>
              </w:rPr>
              <w:t>MPLP adoption requires regulatory interpretation</w:t>
            </w:r>
          </w:p>
        </w:tc>
        <w:tc>
          <w:tcPr>
            <w:tcW w:type="dxa" w:w="3408"/>
          </w:tcPr>
          <w:p>
            <w:pPr>
              <w:spacing w:after="0"/>
            </w:pPr>
            <w:r>
              <w:rPr>
                <w:rFonts w:ascii="Arial" w:hAnsi="Arial"/>
                <w:b w:val="0"/>
                <w:sz w:val="14"/>
              </w:rPr>
              <w:t>MPLP is regulator-approved; MPLP is the official standard; MPLP is mandated by regulation</w:t>
            </w:r>
          </w:p>
        </w:tc>
      </w:tr>
      <w:tr>
        <w:tc>
          <w:tcPr>
            <w:tcW w:type="dxa" w:w="3408"/>
          </w:tcPr>
          <w:p>
            <w:pPr>
              <w:spacing w:after="0"/>
            </w:pPr>
            <w:r>
              <w:rPr>
                <w:rFonts w:ascii="Arial" w:hAnsi="Arial"/>
                <w:b w:val="0"/>
                <w:sz w:val="14"/>
              </w:rPr>
              <w:t>Enterprise readiness</w:t>
            </w:r>
          </w:p>
        </w:tc>
        <w:tc>
          <w:tcPr>
            <w:tcW w:type="dxa" w:w="3408"/>
          </w:tcPr>
          <w:p>
            <w:pPr>
              <w:spacing w:after="0"/>
            </w:pPr>
            <w:r>
              <w:rPr>
                <w:rFonts w:ascii="Arial" w:hAnsi="Arial"/>
                <w:b w:val="0"/>
                <w:sz w:val="14"/>
              </w:rPr>
              <w:t>MPLP requires implementation validation and enterprise integration</w:t>
            </w:r>
          </w:p>
        </w:tc>
        <w:tc>
          <w:tcPr>
            <w:tcW w:type="dxa" w:w="3408"/>
          </w:tcPr>
          <w:p>
            <w:pPr>
              <w:spacing w:after="0"/>
            </w:pPr>
            <w:r>
              <w:rPr>
                <w:rFonts w:ascii="Arial" w:hAnsi="Arial"/>
                <w:b w:val="0"/>
                <w:sz w:val="14"/>
              </w:rPr>
              <w:t>MPLP proves enterprise readiness; MPLP is production-ready; MPLP guarantees operational effectiveness</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Validation Lab may serve as a non-certifying evidence adjudication example</w:t>
            </w:r>
          </w:p>
        </w:tc>
        <w:tc>
          <w:tcPr>
            <w:tcW w:type="dxa" w:w="3408"/>
          </w:tcPr>
          <w:p>
            <w:pPr>
              <w:spacing w:after="0"/>
            </w:pPr>
            <w:r>
              <w:rPr>
                <w:rFonts w:ascii="Arial" w:hAnsi="Arial"/>
                <w:b w:val="0"/>
                <w:sz w:val="14"/>
              </w:rPr>
              <w:t>Validation Lab certifies compliance; Validation Lab is a certification authority; Validation Lab proves legal compliance</w:t>
            </w:r>
          </w:p>
        </w:tc>
      </w:tr>
      <w:tr>
        <w:tc>
          <w:tcPr>
            <w:tcW w:type="dxa" w:w="3408"/>
          </w:tcPr>
          <w:p>
            <w:pPr>
              <w:spacing w:after="0"/>
            </w:pPr>
            <w:r>
              <w:rPr>
                <w:rFonts w:ascii="Arial" w:hAnsi="Arial"/>
                <w:b w:val="0"/>
                <w:sz w:val="14"/>
              </w:rPr>
              <w:t>RCCS/ALCS</w:t>
            </w:r>
          </w:p>
        </w:tc>
        <w:tc>
          <w:tcPr>
            <w:tcW w:type="dxa" w:w="3408"/>
          </w:tcPr>
          <w:p>
            <w:pPr>
              <w:spacing w:after="0"/>
            </w:pPr>
            <w:r>
              <w:rPr>
                <w:rFonts w:ascii="Arial" w:hAnsi="Arial"/>
                <w:b w:val="0"/>
                <w:sz w:val="14"/>
              </w:rPr>
              <w:t>MPLP may map strongly to ALCS dimensions; actual deployment requires implementation evidence</w:t>
            </w:r>
          </w:p>
        </w:tc>
        <w:tc>
          <w:tcPr>
            <w:tcW w:type="dxa" w:w="3408"/>
          </w:tcPr>
          <w:p>
            <w:pPr>
              <w:spacing w:after="0"/>
            </w:pPr>
            <w:r>
              <w:rPr>
                <w:rFonts w:ascii="Arial" w:hAnsi="Arial"/>
                <w:b w:val="0"/>
                <w:sz w:val="14"/>
              </w:rPr>
              <w:t>RCCS/ALCS proves legal compliance; high MPLP alignment guarantees compliance; MPLP satisfies all RCCS/ALCS requirements</w:t>
            </w:r>
          </w:p>
        </w:tc>
      </w:tr>
      <w:tr>
        <w:tc>
          <w:tcPr>
            <w:tcW w:type="dxa" w:w="3408"/>
          </w:tcPr>
          <w:p>
            <w:pPr>
              <w:spacing w:after="0"/>
            </w:pPr>
            <w:r>
              <w:rPr>
                <w:rFonts w:ascii="Arial" w:hAnsi="Arial"/>
                <w:b w:val="0"/>
                <w:sz w:val="14"/>
              </w:rPr>
              <w:t>Market adoption</w:t>
            </w:r>
          </w:p>
        </w:tc>
        <w:tc>
          <w:tcPr>
            <w:tcW w:type="dxa" w:w="3408"/>
          </w:tcPr>
          <w:p>
            <w:pPr>
              <w:spacing w:after="0"/>
            </w:pPr>
            <w:r>
              <w:rPr>
                <w:rFonts w:ascii="Arial" w:hAnsi="Arial"/>
                <w:b w:val="0"/>
                <w:sz w:val="14"/>
              </w:rPr>
              <w:t>MPLP adoption requires market validation and organizational acceptance</w:t>
            </w:r>
          </w:p>
        </w:tc>
        <w:tc>
          <w:tcPr>
            <w:tcW w:type="dxa" w:w="3408"/>
          </w:tcPr>
          <w:p>
            <w:pPr>
              <w:spacing w:after="0"/>
            </w:pPr>
            <w:r>
              <w:rPr>
                <w:rFonts w:ascii="Arial" w:hAnsi="Arial"/>
                <w:b w:val="0"/>
                <w:sz w:val="14"/>
              </w:rPr>
              <w:t>MPLP is industry-standard; MPLP is universally adopted; MPLP is the only solution</w:t>
            </w:r>
          </w:p>
        </w:tc>
      </w:tr>
      <w:tr>
        <w:tc>
          <w:tcPr>
            <w:tcW w:type="dxa" w:w="3408"/>
          </w:tcPr>
          <w:p>
            <w:pPr>
              <w:spacing w:after="0"/>
            </w:pPr>
            <w:r>
              <w:rPr>
                <w:rFonts w:ascii="Arial" w:hAnsi="Arial"/>
                <w:b w:val="0"/>
                <w:sz w:val="14"/>
              </w:rPr>
              <w:t>System comparison</w:t>
            </w:r>
          </w:p>
        </w:tc>
        <w:tc>
          <w:tcPr>
            <w:tcW w:type="dxa" w:w="3408"/>
          </w:tcPr>
          <w:p>
            <w:pPr>
              <w:spacing w:after="0"/>
            </w:pPr>
            <w:r>
              <w:rPr>
                <w:rFonts w:ascii="Arial" w:hAnsi="Arial"/>
                <w:b w:val="0"/>
                <w:sz w:val="14"/>
              </w:rPr>
              <w:t>MPLP can be compared to other systems by responsibility semantics</w:t>
            </w:r>
          </w:p>
        </w:tc>
        <w:tc>
          <w:tcPr>
            <w:tcW w:type="dxa" w:w="3408"/>
          </w:tcPr>
          <w:p>
            <w:pPr>
              <w:spacing w:after="0"/>
            </w:pPr>
            <w:r>
              <w:rPr>
                <w:rFonts w:ascii="Arial" w:hAnsi="Arial"/>
                <w:b w:val="0"/>
                <w:sz w:val="14"/>
              </w:rPr>
              <w:t>Other systems are non-compliant; MPLP is superior; systems without MPLP fail compliance</w:t>
            </w:r>
          </w:p>
        </w:tc>
      </w:tr>
    </w:tbl>
    <w:p>
      <w:pPr>
        <w:pStyle w:val="Heading2"/>
      </w:pPr>
      <w:r>
        <w:t>13.8 Bridge to Evidence-Based Validation Pattern</w:t>
      </w:r>
    </w:p>
    <w:p>
      <w:pPr>
        <w:spacing w:after="56"/>
      </w:pPr>
      <w:r>
        <w:t>Chapter 13 has mapped MPLP's protocol semantics to lifecycle responsibility objects. Chapter 14 will discuss evidence-based validation patterns and will treat Validation Lab only as a non-certifying evidence adjudication example.</w:t>
      </w:r>
    </w:p>
    <w:p>
      <w:pPr>
        <w:spacing w:after="56"/>
      </w:pPr>
      <w:r>
        <w:t>Chapter 14 must not become an endorsement or certification claim. Validation Lab is referenced as one example of how evidence-based validation can support lifecycle governance without creating a certification program. The paper evaluates validation patterns, not validation products.</w:t>
      </w:r>
    </w:p>
    <w:p>
      <w:pPr>
        <w:spacing w:after="56"/>
      </w:pPr>
      <w:r>
        <w:t>The bridge from protocol semantics (Chapter 13) to validation patterns (Chapter 14) is the recognition that protocol-level fit must be validated through evidence, not assumed through design. MPLP's strong ALCS mapping creates validation opportunities, but validation itself requires independent evidence, not protocol authority.</w:t>
      </w:r>
    </w:p>
    <w:p>
      <w:pPr>
        <w:pStyle w:val="Heading1"/>
      </w:pPr>
      <w:r>
        <w:t>14. Evidence-Based Validation Pattern for AI Agent Lifecycle Governance</w:t>
      </w:r>
    </w:p>
    <w:p>
      <w:pPr>
        <w:spacing w:after="56"/>
      </w:pPr>
      <w:r>
        <w:t>Version: v0.3.2-FRC-R3</w:t>
      </w:r>
    </w:p>
    <w:p>
      <w:pPr>
        <w:pStyle w:val="Heading2"/>
      </w:pPr>
      <w:r>
        <w:t>14.0 Why Evidence-Based Validation Matters for AI Agent Lifecycle Governance</w:t>
      </w:r>
    </w:p>
    <w:p>
      <w:pPr>
        <w:spacing w:after="56"/>
      </w:pPr>
      <w:r>
        <w:t>AI Agent Lifecycle Governance produces lifecycle responsibility objects: role mappings, delegation boundaries, accepted outcomes, evidence chains, handoff records, and authority transitions. These objects support enterprise controls, audit readiness, and regulatory compliance coverage. However, lifecycle responsibility objects are internal governance artifacts. They require reviewable validation, which may be performed by internal governance teams, auditors, validation providers, or other qualified reviewers depending on context.</w:t>
      </w:r>
    </w:p>
    <w:p>
      <w:pPr>
        <w:spacing w:after="56"/>
      </w:pPr>
      <w:r>
        <w:t>Evidence-based validation is a methodology pattern for privacy-preserving third-party validation of lifecycle responsibility objects. The pattern allows organizations to demonstrate governance conformance without exposing sensitive operational data, proprietary workflows, or confidential business logic.</w:t>
      </w:r>
    </w:p>
    <w:p>
      <w:pPr>
        <w:spacing w:after="56"/>
      </w:pPr>
      <w:r>
        <w:t>This chapter describes the evidence-based validation pattern as a reusable methodology. It does not describe a certification program, regulatory approval process, or legal compliance proof. The pattern can be implemented by multiple validation providers, internal audit teams, or enterprise governance functions.</w:t>
      </w:r>
    </w:p>
    <w:p>
      <w:pPr>
        <w:spacing w:after="56"/>
      </w:pPr>
      <w:r>
        <w:t>Validation Lab is referenced in this chapter as one non-certifying evidence adjudication example at the level of public-surface evidence. Detailed methodology support remains boundary-limited and must not be treated as independent audit evidence. Validation Lab does not certify compliance, does not act as a certification authority, and does not prove legal compliance. It is an example of how the evidence-based validation pattern can be operationalized.</w:t>
      </w:r>
    </w:p>
    <w:p>
      <w:pPr>
        <w:pStyle w:val="Heading2"/>
      </w:pPr>
      <w:r>
        <w:t>14.1 Evidence-Based Validation Pattern Overview</w:t>
      </w:r>
    </w:p>
    <w:p>
      <w:pPr>
        <w:spacing w:after="56"/>
      </w:pPr>
      <w:r>
        <w:t>The evidence-based validation pattern separates evidence generation from evidence adjudication. Organizations generate lifecycle responsibility evidence through their agentic systems. Validation providers adjudicate that evidence against predefined rulesets without requiring access to the underlying operational systems.</w:t>
      </w:r>
    </w:p>
    <w:p>
      <w:pPr>
        <w:spacing w:after="56"/>
      </w:pPr>
      <w:r>
        <w:t>Pattern boundary: The pattern validates that lifecycle responsibility objects exist, are structured correctly, and satisfy predefined governance rules. It does not validate business logic correctness, model accuracy, legal compliance, or regulatory approval.</w:t>
      </w:r>
    </w:p>
    <w:p>
      <w:pPr>
        <w:spacing w:after="56"/>
      </w:pPr>
      <w:r>
        <w:t>Figure F-08 - Evidence-Based Validation Pattern Flow</w:t>
      </w:r>
    </w:p>
    <w:p>
      <w:pPr>
        <w:spacing w:after="56"/>
      </w:pPr>
      <w:r>
        <w:t>Organization -&gt; Evidence Pack -&gt; Hash Manifest -&gt; Validation Provider -&gt; Ruleset Identity -&gt; Evidence Pointers -&gt; Verdict Hash -&gt; Disclosure / Redaction Profile -&gt; Replay / Recheck Procedure</w:t>
      </w:r>
    </w:p>
    <w:p>
      <w:pPr>
        <w:spacing w:after="56"/>
      </w:pPr>
      <w:r>
        <w:t>Figure F-08 shows the evidence-based validation pattern flow. Organizations generate evidence packs containing lifecycle responsibility objects. Hash manifests provide tamper-evident integrity. Validation providers or qualified reviewers apply predefined rulesets to evidence pointers and return verdict records or hashes. Disclosure and redaction profiles support privacy-preserving validation. Replay and recheck procedures support repeatable validation. The figure is a methodology pattern, not a certification process, legal compliance proof, or regulatory approval path.</w:t>
      </w:r>
    </w:p>
    <w:p>
      <w:pPr>
        <w:pStyle w:val="Heading2"/>
      </w:pPr>
      <w:r>
        <w:t>14.2 Methodology Components Mapping</w:t>
      </w:r>
    </w:p>
    <w:p>
      <w:pPr>
        <w:spacing w:after="56"/>
      </w:pPr>
      <w:r>
        <w:t>The evidence-based validation pattern consists of eight core components. Each component maps to specific Missing Regulatory Objects and ALCS dimensions.</w:t>
      </w:r>
    </w:p>
    <w:p>
      <w:pPr>
        <w:keepNext/>
      </w:pPr>
      <w:r>
        <w:rPr>
          <w:b/>
          <w:sz w:val="16"/>
        </w:rPr>
        <w:t>Table T-14-01: Evidence-Based Validation Pattern Components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Component</w:t>
            </w:r>
          </w:p>
        </w:tc>
        <w:tc>
          <w:tcPr>
            <w:tcW w:type="dxa" w:w="2045"/>
          </w:tcPr>
          <w:p>
            <w:pPr>
              <w:spacing w:after="0"/>
            </w:pPr>
            <w:r>
              <w:rPr>
                <w:rFonts w:ascii="Arial" w:hAnsi="Arial"/>
                <w:b/>
                <w:sz w:val="14"/>
              </w:rPr>
              <w:t>Purpose</w:t>
            </w:r>
          </w:p>
        </w:tc>
        <w:tc>
          <w:tcPr>
            <w:tcW w:type="dxa" w:w="2045"/>
          </w:tcPr>
          <w:p>
            <w:pPr>
              <w:spacing w:after="0"/>
            </w:pPr>
            <w:r>
              <w:rPr>
                <w:rFonts w:ascii="Arial" w:hAnsi="Arial"/>
                <w:b/>
                <w:sz w:val="14"/>
              </w:rPr>
              <w:t>Lifecycle Responsibility Object</w:t>
            </w:r>
          </w:p>
        </w:tc>
        <w:tc>
          <w:tcPr>
            <w:tcW w:type="dxa" w:w="2045"/>
          </w:tcPr>
          <w:p>
            <w:pPr>
              <w:spacing w:after="0"/>
            </w:pPr>
            <w:r>
              <w:rPr>
                <w:rFonts w:ascii="Arial" w:hAnsi="Arial"/>
                <w:b/>
                <w:sz w:val="14"/>
              </w:rPr>
              <w:t>Relevant MROs</w:t>
            </w:r>
          </w:p>
        </w:tc>
        <w:tc>
          <w:tcPr>
            <w:tcW w:type="dxa" w:w="2045"/>
          </w:tcPr>
          <w:p>
            <w:pPr>
              <w:spacing w:after="0"/>
            </w:pPr>
            <w:r>
              <w:rPr>
                <w:rFonts w:ascii="Arial" w:hAnsi="Arial"/>
                <w:b/>
                <w:sz w:val="14"/>
              </w:rPr>
              <w:t>Relevant ALCS Dimensions</w:t>
            </w:r>
          </w:p>
        </w:tc>
      </w:tr>
      <w:tr>
        <w:tc>
          <w:tcPr>
            <w:tcW w:type="dxa" w:w="2045"/>
          </w:tcPr>
          <w:p>
            <w:pPr>
              <w:spacing w:after="0"/>
            </w:pPr>
            <w:r>
              <w:rPr>
                <w:rFonts w:ascii="Arial" w:hAnsi="Arial"/>
                <w:b w:val="0"/>
                <w:sz w:val="14"/>
              </w:rPr>
              <w:t>Evidence Pack</w:t>
            </w:r>
          </w:p>
        </w:tc>
        <w:tc>
          <w:tcPr>
            <w:tcW w:type="dxa" w:w="2045"/>
          </w:tcPr>
          <w:p>
            <w:pPr>
              <w:spacing w:after="0"/>
            </w:pPr>
            <w:r>
              <w:rPr>
                <w:rFonts w:ascii="Arial" w:hAnsi="Arial"/>
                <w:b w:val="0"/>
                <w:sz w:val="14"/>
              </w:rPr>
              <w:t>Container for lifecycle responsibility objects (role mappings, delegation boundaries, accepted outcomes, evidence chains, handoff records)</w:t>
            </w:r>
          </w:p>
        </w:tc>
        <w:tc>
          <w:tcPr>
            <w:tcW w:type="dxa" w:w="2045"/>
          </w:tcPr>
          <w:p>
            <w:pPr>
              <w:spacing w:after="0"/>
            </w:pPr>
            <w:r>
              <w:rPr>
                <w:rFonts w:ascii="Arial" w:hAnsi="Arial"/>
                <w:b w:val="0"/>
                <w:sz w:val="14"/>
              </w:rPr>
              <w:t>All lifecycle responsibility objects</w:t>
            </w:r>
          </w:p>
        </w:tc>
        <w:tc>
          <w:tcPr>
            <w:tcW w:type="dxa" w:w="2045"/>
          </w:tcPr>
          <w:p>
            <w:pPr>
              <w:spacing w:after="0"/>
            </w:pPr>
            <w:r>
              <w:rPr>
                <w:rFonts w:ascii="Arial" w:hAnsi="Arial"/>
                <w:b w:val="0"/>
                <w:sz w:val="14"/>
              </w:rPr>
              <w:t>MRO-08: MAS Evidence Partitioning</w:t>
            </w:r>
          </w:p>
        </w:tc>
        <w:tc>
          <w:tcPr>
            <w:tcW w:type="dxa" w:w="2045"/>
          </w:tcPr>
          <w:p>
            <w:pPr>
              <w:spacing w:after="0"/>
            </w:pPr>
            <w:r>
              <w:rPr>
                <w:rFonts w:ascii="Arial" w:hAnsi="Arial"/>
                <w:b w:val="0"/>
                <w:sz w:val="14"/>
              </w:rPr>
              <w:t>ALCS-08: MAS Evidence Partitioning</w:t>
            </w:r>
          </w:p>
        </w:tc>
      </w:tr>
      <w:tr>
        <w:tc>
          <w:tcPr>
            <w:tcW w:type="dxa" w:w="2045"/>
          </w:tcPr>
          <w:p>
            <w:pPr>
              <w:spacing w:after="0"/>
            </w:pPr>
            <w:r>
              <w:rPr>
                <w:rFonts w:ascii="Arial" w:hAnsi="Arial"/>
                <w:b w:val="0"/>
                <w:sz w:val="14"/>
              </w:rPr>
              <w:t>Hash Manifest</w:t>
            </w:r>
          </w:p>
        </w:tc>
        <w:tc>
          <w:tcPr>
            <w:tcW w:type="dxa" w:w="2045"/>
          </w:tcPr>
          <w:p>
            <w:pPr>
              <w:spacing w:after="0"/>
            </w:pPr>
            <w:r>
              <w:rPr>
                <w:rFonts w:ascii="Arial" w:hAnsi="Arial"/>
                <w:b w:val="0"/>
                <w:sz w:val="14"/>
              </w:rPr>
              <w:t>Tamper-evident integrity for evidence pack contents</w:t>
            </w:r>
          </w:p>
        </w:tc>
        <w:tc>
          <w:tcPr>
            <w:tcW w:type="dxa" w:w="2045"/>
          </w:tcPr>
          <w:p>
            <w:pPr>
              <w:spacing w:after="0"/>
            </w:pPr>
            <w:r>
              <w:rPr>
                <w:rFonts w:ascii="Arial" w:hAnsi="Arial"/>
                <w:b w:val="0"/>
                <w:sz w:val="14"/>
              </w:rPr>
              <w:t>Evidence integrity and non-repudiation</w:t>
            </w:r>
          </w:p>
        </w:tc>
        <w:tc>
          <w:tcPr>
            <w:tcW w:type="dxa" w:w="2045"/>
          </w:tcPr>
          <w:p>
            <w:pPr>
              <w:spacing w:after="0"/>
            </w:pPr>
            <w:r>
              <w:rPr>
                <w:rFonts w:ascii="Arial" w:hAnsi="Arial"/>
                <w:b w:val="0"/>
                <w:sz w:val="14"/>
              </w:rPr>
              <w:t>MRO-08: MAS Evidence Partitioning; MRO-12: Evidence Minimization and Selective Disclosure</w:t>
            </w:r>
          </w:p>
        </w:tc>
        <w:tc>
          <w:tcPr>
            <w:tcW w:type="dxa" w:w="2045"/>
          </w:tcPr>
          <w:p>
            <w:pPr>
              <w:spacing w:after="0"/>
            </w:pPr>
            <w:r>
              <w:rPr>
                <w:rFonts w:ascii="Arial" w:hAnsi="Arial"/>
                <w:b w:val="0"/>
                <w:sz w:val="14"/>
              </w:rPr>
              <w:t>ALCS-08: MAS Evidence Partitioning; ALCS-12: Evidence Minimization and Selective Disclosure</w:t>
            </w:r>
          </w:p>
        </w:tc>
      </w:tr>
      <w:tr>
        <w:tc>
          <w:tcPr>
            <w:tcW w:type="dxa" w:w="2045"/>
          </w:tcPr>
          <w:p>
            <w:pPr>
              <w:spacing w:after="0"/>
            </w:pPr>
            <w:r>
              <w:rPr>
                <w:rFonts w:ascii="Arial" w:hAnsi="Arial"/>
                <w:b w:val="0"/>
                <w:sz w:val="14"/>
              </w:rPr>
              <w:t>Ruleset Identity</w:t>
            </w:r>
          </w:p>
        </w:tc>
        <w:tc>
          <w:tcPr>
            <w:tcW w:type="dxa" w:w="2045"/>
          </w:tcPr>
          <w:p>
            <w:pPr>
              <w:spacing w:after="0"/>
            </w:pPr>
            <w:r>
              <w:rPr>
                <w:rFonts w:ascii="Arial" w:hAnsi="Arial"/>
                <w:b w:val="0"/>
                <w:sz w:val="14"/>
              </w:rPr>
              <w:t>Predefined governance rules applied to evidence (e.g., "role mapping must exist", "delegation boundary must be explicit")</w:t>
            </w:r>
          </w:p>
        </w:tc>
        <w:tc>
          <w:tcPr>
            <w:tcW w:type="dxa" w:w="2045"/>
          </w:tcPr>
          <w:p>
            <w:pPr>
              <w:spacing w:after="0"/>
            </w:pPr>
            <w:r>
              <w:rPr>
                <w:rFonts w:ascii="Arial" w:hAnsi="Arial"/>
                <w:b w:val="0"/>
                <w:sz w:val="14"/>
              </w:rPr>
              <w:t>Governance rule conformance</w:t>
            </w:r>
          </w:p>
        </w:tc>
        <w:tc>
          <w:tcPr>
            <w:tcW w:type="dxa" w:w="2045"/>
          </w:tcPr>
          <w:p>
            <w:pPr>
              <w:spacing w:after="0"/>
            </w:pPr>
            <w:r>
              <w:rPr>
                <w:rFonts w:ascii="Arial" w:hAnsi="Arial"/>
                <w:b w:val="0"/>
                <w:sz w:val="14"/>
              </w:rPr>
              <w:t>MRO-11: Privacy-Preserving Third-Party Validation</w:t>
            </w:r>
          </w:p>
        </w:tc>
        <w:tc>
          <w:tcPr>
            <w:tcW w:type="dxa" w:w="2045"/>
          </w:tcPr>
          <w:p>
            <w:pPr>
              <w:spacing w:after="0"/>
            </w:pPr>
            <w:r>
              <w:rPr>
                <w:rFonts w:ascii="Arial" w:hAnsi="Arial"/>
                <w:b w:val="0"/>
                <w:sz w:val="14"/>
              </w:rPr>
              <w:t>ALCS-11: Privacy-Preserving Third-Party Validation</w:t>
            </w:r>
          </w:p>
        </w:tc>
      </w:tr>
      <w:tr>
        <w:tc>
          <w:tcPr>
            <w:tcW w:type="dxa" w:w="2045"/>
          </w:tcPr>
          <w:p>
            <w:pPr>
              <w:spacing w:after="0"/>
            </w:pPr>
            <w:r>
              <w:rPr>
                <w:rFonts w:ascii="Arial" w:hAnsi="Arial"/>
                <w:b w:val="0"/>
                <w:sz w:val="14"/>
              </w:rPr>
              <w:t>Evidence Pointers</w:t>
            </w:r>
          </w:p>
        </w:tc>
        <w:tc>
          <w:tcPr>
            <w:tcW w:type="dxa" w:w="2045"/>
          </w:tcPr>
          <w:p>
            <w:pPr>
              <w:spacing w:after="0"/>
            </w:pPr>
            <w:r>
              <w:rPr>
                <w:rFonts w:ascii="Arial" w:hAnsi="Arial"/>
                <w:b w:val="0"/>
                <w:sz w:val="14"/>
              </w:rPr>
              <w:t>References to specific evidence objects within the evidence pack (supports selective disclosure)</w:t>
            </w:r>
          </w:p>
        </w:tc>
        <w:tc>
          <w:tcPr>
            <w:tcW w:type="dxa" w:w="2045"/>
          </w:tcPr>
          <w:p>
            <w:pPr>
              <w:spacing w:after="0"/>
            </w:pPr>
            <w:r>
              <w:rPr>
                <w:rFonts w:ascii="Arial" w:hAnsi="Arial"/>
                <w:b w:val="0"/>
                <w:sz w:val="14"/>
              </w:rPr>
              <w:t>Selective disclosure and privacy-preserving validation</w:t>
            </w:r>
          </w:p>
        </w:tc>
        <w:tc>
          <w:tcPr>
            <w:tcW w:type="dxa" w:w="2045"/>
          </w:tcPr>
          <w:p>
            <w:pPr>
              <w:spacing w:after="0"/>
            </w:pPr>
            <w:r>
              <w:rPr>
                <w:rFonts w:ascii="Arial" w:hAnsi="Arial"/>
                <w:b w:val="0"/>
                <w:sz w:val="14"/>
              </w:rPr>
              <w:t>MRO-11: Privacy-Preserving Third-Party Validation; MRO-12: Evidence Minimization and Selective Disclosure</w:t>
            </w:r>
          </w:p>
        </w:tc>
        <w:tc>
          <w:tcPr>
            <w:tcW w:type="dxa" w:w="2045"/>
          </w:tcPr>
          <w:p>
            <w:pPr>
              <w:spacing w:after="0"/>
            </w:pPr>
            <w:r>
              <w:rPr>
                <w:rFonts w:ascii="Arial" w:hAnsi="Arial"/>
                <w:b w:val="0"/>
                <w:sz w:val="14"/>
              </w:rPr>
              <w:t>ALCS-11: Privacy-Preserving Third-Party Validation; ALCS-12: Evidence Minimization and Selective Disclosure</w:t>
            </w:r>
          </w:p>
        </w:tc>
      </w:tr>
      <w:tr>
        <w:tc>
          <w:tcPr>
            <w:tcW w:type="dxa" w:w="2045"/>
          </w:tcPr>
          <w:p>
            <w:pPr>
              <w:spacing w:after="0"/>
            </w:pPr>
            <w:r>
              <w:rPr>
                <w:rFonts w:ascii="Arial" w:hAnsi="Arial"/>
                <w:b w:val="0"/>
                <w:sz w:val="14"/>
              </w:rPr>
              <w:t>Verdict Hash</w:t>
            </w:r>
          </w:p>
        </w:tc>
        <w:tc>
          <w:tcPr>
            <w:tcW w:type="dxa" w:w="2045"/>
          </w:tcPr>
          <w:p>
            <w:pPr>
              <w:spacing w:after="0"/>
            </w:pPr>
            <w:r>
              <w:rPr>
                <w:rFonts w:ascii="Arial" w:hAnsi="Arial"/>
                <w:b w:val="0"/>
                <w:sz w:val="14"/>
              </w:rPr>
              <w:t>Cryptographic hash of validation result (pass/fail/partial) without exposing evidence details</w:t>
            </w:r>
          </w:p>
        </w:tc>
        <w:tc>
          <w:tcPr>
            <w:tcW w:type="dxa" w:w="2045"/>
          </w:tcPr>
          <w:p>
            <w:pPr>
              <w:spacing w:after="0"/>
            </w:pPr>
            <w:r>
              <w:rPr>
                <w:rFonts w:ascii="Arial" w:hAnsi="Arial"/>
                <w:b w:val="0"/>
                <w:sz w:val="14"/>
              </w:rPr>
              <w:t>Privacy-preserving validation result</w:t>
            </w:r>
          </w:p>
        </w:tc>
        <w:tc>
          <w:tcPr>
            <w:tcW w:type="dxa" w:w="2045"/>
          </w:tcPr>
          <w:p>
            <w:pPr>
              <w:spacing w:after="0"/>
            </w:pPr>
            <w:r>
              <w:rPr>
                <w:rFonts w:ascii="Arial" w:hAnsi="Arial"/>
                <w:b w:val="0"/>
                <w:sz w:val="14"/>
              </w:rPr>
              <w:t>MRO-11: Privacy-Preserving Third-Party Validation; MRO-16: Incident, Dispute, and Remediation Closure</w:t>
            </w:r>
          </w:p>
        </w:tc>
        <w:tc>
          <w:tcPr>
            <w:tcW w:type="dxa" w:w="2045"/>
          </w:tcPr>
          <w:p>
            <w:pPr>
              <w:spacing w:after="0"/>
            </w:pPr>
            <w:r>
              <w:rPr>
                <w:rFonts w:ascii="Arial" w:hAnsi="Arial"/>
                <w:b w:val="0"/>
                <w:sz w:val="14"/>
              </w:rPr>
              <w:t>ALCS-11: Privacy-Preserving Third-Party Validation</w:t>
            </w:r>
          </w:p>
        </w:tc>
      </w:tr>
      <w:tr>
        <w:tc>
          <w:tcPr>
            <w:tcW w:type="dxa" w:w="2045"/>
          </w:tcPr>
          <w:p>
            <w:pPr>
              <w:spacing w:after="0"/>
            </w:pPr>
            <w:r>
              <w:rPr>
                <w:rFonts w:ascii="Arial" w:hAnsi="Arial"/>
                <w:b w:val="0"/>
                <w:sz w:val="14"/>
              </w:rPr>
              <w:t>Disclosure Profile</w:t>
            </w:r>
          </w:p>
        </w:tc>
        <w:tc>
          <w:tcPr>
            <w:tcW w:type="dxa" w:w="2045"/>
          </w:tcPr>
          <w:p>
            <w:pPr>
              <w:spacing w:after="0"/>
            </w:pPr>
            <w:r>
              <w:rPr>
                <w:rFonts w:ascii="Arial" w:hAnsi="Arial"/>
                <w:b w:val="0"/>
                <w:sz w:val="14"/>
              </w:rPr>
              <w:t>Policy defining what evidence can be disclosed to validation provider</w:t>
            </w:r>
          </w:p>
        </w:tc>
        <w:tc>
          <w:tcPr>
            <w:tcW w:type="dxa" w:w="2045"/>
          </w:tcPr>
          <w:p>
            <w:pPr>
              <w:spacing w:after="0"/>
            </w:pPr>
            <w:r>
              <w:rPr>
                <w:rFonts w:ascii="Arial" w:hAnsi="Arial"/>
                <w:b w:val="0"/>
                <w:sz w:val="14"/>
              </w:rPr>
              <w:t>Privacy and data minimization policy</w:t>
            </w:r>
          </w:p>
        </w:tc>
        <w:tc>
          <w:tcPr>
            <w:tcW w:type="dxa" w:w="2045"/>
          </w:tcPr>
          <w:p>
            <w:pPr>
              <w:spacing w:after="0"/>
            </w:pPr>
            <w:r>
              <w:rPr>
                <w:rFonts w:ascii="Arial" w:hAnsi="Arial"/>
                <w:b w:val="0"/>
                <w:sz w:val="14"/>
              </w:rPr>
              <w:t>MRO-12: Evidence Minimization and Selective Disclosure; MRO-13: Data Subject Rights vs Evidence Retention</w:t>
            </w:r>
          </w:p>
        </w:tc>
        <w:tc>
          <w:tcPr>
            <w:tcW w:type="dxa" w:w="2045"/>
          </w:tcPr>
          <w:p>
            <w:pPr>
              <w:spacing w:after="0"/>
            </w:pPr>
            <w:r>
              <w:rPr>
                <w:rFonts w:ascii="Arial" w:hAnsi="Arial"/>
                <w:b w:val="0"/>
                <w:sz w:val="14"/>
              </w:rPr>
              <w:t>ALCS-12: Evidence Minimization and Selective Disclosure; ALCS-13: Data Subject Rights vs Evidence Retention</w:t>
            </w:r>
          </w:p>
        </w:tc>
      </w:tr>
      <w:tr>
        <w:tc>
          <w:tcPr>
            <w:tcW w:type="dxa" w:w="2045"/>
          </w:tcPr>
          <w:p>
            <w:pPr>
              <w:spacing w:after="0"/>
            </w:pPr>
            <w:r>
              <w:rPr>
                <w:rFonts w:ascii="Arial" w:hAnsi="Arial"/>
                <w:b w:val="0"/>
                <w:sz w:val="14"/>
              </w:rPr>
              <w:t>Redaction Profile</w:t>
            </w:r>
          </w:p>
        </w:tc>
        <w:tc>
          <w:tcPr>
            <w:tcW w:type="dxa" w:w="2045"/>
          </w:tcPr>
          <w:p>
            <w:pPr>
              <w:spacing w:after="0"/>
            </w:pPr>
            <w:r>
              <w:rPr>
                <w:rFonts w:ascii="Arial" w:hAnsi="Arial"/>
                <w:b w:val="0"/>
                <w:sz w:val="14"/>
              </w:rPr>
              <w:t>Policy defining what evidence must be redacted before disclosure</w:t>
            </w:r>
          </w:p>
        </w:tc>
        <w:tc>
          <w:tcPr>
            <w:tcW w:type="dxa" w:w="2045"/>
          </w:tcPr>
          <w:p>
            <w:pPr>
              <w:spacing w:after="0"/>
            </w:pPr>
            <w:r>
              <w:rPr>
                <w:rFonts w:ascii="Arial" w:hAnsi="Arial"/>
                <w:b w:val="0"/>
                <w:sz w:val="14"/>
              </w:rPr>
              <w:t>Privacy and data subject rights</w:t>
            </w:r>
          </w:p>
        </w:tc>
        <w:tc>
          <w:tcPr>
            <w:tcW w:type="dxa" w:w="2045"/>
          </w:tcPr>
          <w:p>
            <w:pPr>
              <w:spacing w:after="0"/>
            </w:pPr>
            <w:r>
              <w:rPr>
                <w:rFonts w:ascii="Arial" w:hAnsi="Arial"/>
                <w:b w:val="0"/>
                <w:sz w:val="14"/>
              </w:rPr>
              <w:t>MRO-13: Data Subject Rights vs Evidence Retention</w:t>
            </w:r>
          </w:p>
        </w:tc>
        <w:tc>
          <w:tcPr>
            <w:tcW w:type="dxa" w:w="2045"/>
          </w:tcPr>
          <w:p>
            <w:pPr>
              <w:spacing w:after="0"/>
            </w:pPr>
            <w:r>
              <w:rPr>
                <w:rFonts w:ascii="Arial" w:hAnsi="Arial"/>
                <w:b w:val="0"/>
                <w:sz w:val="14"/>
              </w:rPr>
              <w:t>ALCS-13: Data Subject Rights vs Evidence Retention</w:t>
            </w:r>
          </w:p>
        </w:tc>
      </w:tr>
      <w:tr>
        <w:tc>
          <w:tcPr>
            <w:tcW w:type="dxa" w:w="2045"/>
          </w:tcPr>
          <w:p>
            <w:pPr>
              <w:spacing w:after="0"/>
            </w:pPr>
            <w:r>
              <w:rPr>
                <w:rFonts w:ascii="Arial" w:hAnsi="Arial"/>
                <w:b w:val="0"/>
                <w:sz w:val="14"/>
              </w:rPr>
              <w:t>Replay / Recheck Procedure</w:t>
            </w:r>
          </w:p>
        </w:tc>
        <w:tc>
          <w:tcPr>
            <w:tcW w:type="dxa" w:w="2045"/>
          </w:tcPr>
          <w:p>
            <w:pPr>
              <w:spacing w:after="0"/>
            </w:pPr>
            <w:r>
              <w:rPr>
                <w:rFonts w:ascii="Arial" w:hAnsi="Arial"/>
                <w:b w:val="0"/>
                <w:sz w:val="14"/>
              </w:rPr>
              <w:t>Procedure for re-validating evidence after system changes or policy updates</w:t>
            </w:r>
          </w:p>
        </w:tc>
        <w:tc>
          <w:tcPr>
            <w:tcW w:type="dxa" w:w="2045"/>
          </w:tcPr>
          <w:p>
            <w:pPr>
              <w:spacing w:after="0"/>
            </w:pPr>
            <w:r>
              <w:rPr>
                <w:rFonts w:ascii="Arial" w:hAnsi="Arial"/>
                <w:b w:val="0"/>
                <w:sz w:val="14"/>
              </w:rPr>
              <w:t>Continuous validation and substitution conformance</w:t>
            </w:r>
          </w:p>
        </w:tc>
        <w:tc>
          <w:tcPr>
            <w:tcW w:type="dxa" w:w="2045"/>
          </w:tcPr>
          <w:p>
            <w:pPr>
              <w:spacing w:after="0"/>
            </w:pPr>
            <w:r>
              <w:rPr>
                <w:rFonts w:ascii="Arial" w:hAnsi="Arial"/>
                <w:b w:val="0"/>
                <w:sz w:val="14"/>
              </w:rPr>
              <w:t>MRO-15: Vendor/Model/Runtime Substitution Conformance; MRO-16: Incident, Dispute, and Remediation Closure</w:t>
            </w:r>
          </w:p>
        </w:tc>
        <w:tc>
          <w:tcPr>
            <w:tcW w:type="dxa" w:w="2045"/>
          </w:tcPr>
          <w:p>
            <w:pPr>
              <w:spacing w:after="0"/>
            </w:pPr>
            <w:r>
              <w:rPr>
                <w:rFonts w:ascii="Arial" w:hAnsi="Arial"/>
                <w:b w:val="0"/>
                <w:sz w:val="14"/>
              </w:rPr>
              <w:t>ALCS-15: Vendor/Model/Runtime Substitution Conformance</w:t>
            </w:r>
          </w:p>
        </w:tc>
      </w:tr>
    </w:tbl>
    <w:p>
      <w:pPr>
        <w:spacing w:after="56"/>
      </w:pPr>
      <w:r>
        <w:t>Interpretation: The evidence-based validation pattern components map strongly to MRO-08, MRO-11, MRO-12, MRO-13, and MRO-16. The pattern supports privacy-preserving third-party validation (MRO-11), evidence minimization (MRO-12), and selective disclosure (MRO-12). The pattern does not replace organizational governance, legal interpretation, or regulatory approval.</w:t>
      </w:r>
    </w:p>
    <w:p>
      <w:pPr>
        <w:pStyle w:val="Heading2"/>
      </w:pPr>
      <w:r>
        <w:t>14.3 What This Pattern Does Not Prove</w:t>
      </w:r>
    </w:p>
    <w:p>
      <w:pPr>
        <w:spacing w:after="56"/>
      </w:pPr>
      <w:r>
        <w:t>The evidence-based validation pattern validates lifecycle responsibility object conformance. It does not validate legal compliance, regulatory approval, business logic correctness, model accuracy, or operational effectiveness.</w:t>
      </w:r>
    </w:p>
    <w:p>
      <w:pPr>
        <w:keepNext/>
      </w:pPr>
      <w:r>
        <w:rPr>
          <w:b/>
          <w:sz w:val="16"/>
        </w:rPr>
        <w:t>Table T-14-02: Evidence-Based Validation Pattern Boundary</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What the Pattern Can Validate</w:t>
            </w:r>
          </w:p>
        </w:tc>
        <w:tc>
          <w:tcPr>
            <w:tcW w:type="dxa" w:w="3408"/>
          </w:tcPr>
          <w:p>
            <w:pPr>
              <w:spacing w:after="0"/>
            </w:pPr>
            <w:r>
              <w:rPr>
                <w:rFonts w:ascii="Arial" w:hAnsi="Arial"/>
                <w:b/>
                <w:sz w:val="14"/>
              </w:rPr>
              <w:t>What the Pattern Cannot Validate</w:t>
            </w:r>
          </w:p>
        </w:tc>
        <w:tc>
          <w:tcPr>
            <w:tcW w:type="dxa" w:w="3408"/>
          </w:tcPr>
          <w:p>
            <w:pPr>
              <w:spacing w:after="0"/>
            </w:pPr>
            <w:r>
              <w:rPr>
                <w:rFonts w:ascii="Arial" w:hAnsi="Arial"/>
                <w:b/>
                <w:sz w:val="14"/>
              </w:rPr>
              <w:t>Why the Boundary Exists</w:t>
            </w:r>
          </w:p>
        </w:tc>
      </w:tr>
      <w:tr>
        <w:tc>
          <w:tcPr>
            <w:tcW w:type="dxa" w:w="3408"/>
          </w:tcPr>
          <w:p>
            <w:pPr>
              <w:spacing w:after="0"/>
            </w:pPr>
            <w:r>
              <w:rPr>
                <w:rFonts w:ascii="Arial" w:hAnsi="Arial"/>
                <w:b w:val="0"/>
                <w:sz w:val="14"/>
              </w:rPr>
              <w:t>Lifecycle responsibility objects exist (role mappings, delegation boundaries, accepted outcomes, evidence chains, handoff records)</w:t>
            </w:r>
          </w:p>
        </w:tc>
        <w:tc>
          <w:tcPr>
            <w:tcW w:type="dxa" w:w="3408"/>
          </w:tcPr>
          <w:p>
            <w:pPr>
              <w:spacing w:after="0"/>
            </w:pPr>
            <w:r>
              <w:rPr>
                <w:rFonts w:ascii="Arial" w:hAnsi="Arial"/>
                <w:b w:val="0"/>
                <w:sz w:val="14"/>
              </w:rPr>
              <w:t>Legal compliance with specific regulations (EU AI Act, GDPR, HIPAA, SOX, etc.)</w:t>
            </w:r>
          </w:p>
        </w:tc>
        <w:tc>
          <w:tcPr>
            <w:tcW w:type="dxa" w:w="3408"/>
          </w:tcPr>
          <w:p>
            <w:pPr>
              <w:spacing w:after="0"/>
            </w:pPr>
            <w:r>
              <w:rPr>
                <w:rFonts w:ascii="Arial" w:hAnsi="Arial"/>
                <w:b w:val="0"/>
                <w:sz w:val="14"/>
              </w:rPr>
              <w:t>Legal compliance requires legal interpretation, not technical validation</w:t>
            </w:r>
          </w:p>
        </w:tc>
      </w:tr>
      <w:tr>
        <w:tc>
          <w:tcPr>
            <w:tcW w:type="dxa" w:w="3408"/>
          </w:tcPr>
          <w:p>
            <w:pPr>
              <w:spacing w:after="0"/>
            </w:pPr>
            <w:r>
              <w:rPr>
                <w:rFonts w:ascii="Arial" w:hAnsi="Arial"/>
                <w:b w:val="0"/>
                <w:sz w:val="14"/>
              </w:rPr>
              <w:t>Lifecycle responsibility objects are structured correctly according to predefined rulesets</w:t>
            </w:r>
          </w:p>
        </w:tc>
        <w:tc>
          <w:tcPr>
            <w:tcW w:type="dxa" w:w="3408"/>
          </w:tcPr>
          <w:p>
            <w:pPr>
              <w:spacing w:after="0"/>
            </w:pPr>
            <w:r>
              <w:rPr>
                <w:rFonts w:ascii="Arial" w:hAnsi="Arial"/>
                <w:b w:val="0"/>
                <w:sz w:val="14"/>
              </w:rPr>
              <w:t>Regulatory approval or regulator acceptance</w:t>
            </w:r>
          </w:p>
        </w:tc>
        <w:tc>
          <w:tcPr>
            <w:tcW w:type="dxa" w:w="3408"/>
          </w:tcPr>
          <w:p>
            <w:pPr>
              <w:spacing w:after="0"/>
            </w:pPr>
            <w:r>
              <w:rPr>
                <w:rFonts w:ascii="Arial" w:hAnsi="Arial"/>
                <w:b w:val="0"/>
                <w:sz w:val="14"/>
              </w:rPr>
              <w:t>Regulatory approval is a legal/administrative process, not a technical validation process</w:t>
            </w:r>
          </w:p>
        </w:tc>
      </w:tr>
      <w:tr>
        <w:tc>
          <w:tcPr>
            <w:tcW w:type="dxa" w:w="3408"/>
          </w:tcPr>
          <w:p>
            <w:pPr>
              <w:spacing w:after="0"/>
            </w:pPr>
            <w:r>
              <w:rPr>
                <w:rFonts w:ascii="Arial" w:hAnsi="Arial"/>
                <w:b w:val="0"/>
                <w:sz w:val="14"/>
              </w:rPr>
              <w:t>Evidence chains are complete and tamper-evident</w:t>
            </w:r>
          </w:p>
        </w:tc>
        <w:tc>
          <w:tcPr>
            <w:tcW w:type="dxa" w:w="3408"/>
          </w:tcPr>
          <w:p>
            <w:pPr>
              <w:spacing w:after="0"/>
            </w:pPr>
            <w:r>
              <w:rPr>
                <w:rFonts w:ascii="Arial" w:hAnsi="Arial"/>
                <w:b w:val="0"/>
                <w:sz w:val="14"/>
              </w:rPr>
              <w:t>Business logic correctness or operational effectiveness</w:t>
            </w:r>
          </w:p>
        </w:tc>
        <w:tc>
          <w:tcPr>
            <w:tcW w:type="dxa" w:w="3408"/>
          </w:tcPr>
          <w:p>
            <w:pPr>
              <w:spacing w:after="0"/>
            </w:pPr>
            <w:r>
              <w:rPr>
                <w:rFonts w:ascii="Arial" w:hAnsi="Arial"/>
                <w:b w:val="0"/>
                <w:sz w:val="14"/>
              </w:rPr>
              <w:t>Business logic validation requires domain expertise and operational testing</w:t>
            </w:r>
          </w:p>
        </w:tc>
      </w:tr>
      <w:tr>
        <w:tc>
          <w:tcPr>
            <w:tcW w:type="dxa" w:w="3408"/>
          </w:tcPr>
          <w:p>
            <w:pPr>
              <w:spacing w:after="0"/>
            </w:pPr>
            <w:r>
              <w:rPr>
                <w:rFonts w:ascii="Arial" w:hAnsi="Arial"/>
                <w:b w:val="0"/>
                <w:sz w:val="14"/>
              </w:rPr>
              <w:t>Delegation boundaries are explicit and documented</w:t>
            </w:r>
          </w:p>
        </w:tc>
        <w:tc>
          <w:tcPr>
            <w:tcW w:type="dxa" w:w="3408"/>
          </w:tcPr>
          <w:p>
            <w:pPr>
              <w:spacing w:after="0"/>
            </w:pPr>
            <w:r>
              <w:rPr>
                <w:rFonts w:ascii="Arial" w:hAnsi="Arial"/>
                <w:b w:val="0"/>
                <w:sz w:val="14"/>
              </w:rPr>
              <w:t>Model accuracy, model fairness, or model safety</w:t>
            </w:r>
          </w:p>
        </w:tc>
        <w:tc>
          <w:tcPr>
            <w:tcW w:type="dxa" w:w="3408"/>
          </w:tcPr>
          <w:p>
            <w:pPr>
              <w:spacing w:after="0"/>
            </w:pPr>
            <w:r>
              <w:rPr>
                <w:rFonts w:ascii="Arial" w:hAnsi="Arial"/>
                <w:b w:val="0"/>
                <w:sz w:val="14"/>
              </w:rPr>
              <w:t>Model validation requires model-specific testing and domain expertise</w:t>
            </w:r>
          </w:p>
        </w:tc>
      </w:tr>
      <w:tr>
        <w:tc>
          <w:tcPr>
            <w:tcW w:type="dxa" w:w="3408"/>
          </w:tcPr>
          <w:p>
            <w:pPr>
              <w:spacing w:after="0"/>
            </w:pPr>
            <w:r>
              <w:rPr>
                <w:rFonts w:ascii="Arial" w:hAnsi="Arial"/>
                <w:b w:val="0"/>
                <w:sz w:val="14"/>
              </w:rPr>
              <w:t>Handoff records exist and are traceable</w:t>
            </w:r>
          </w:p>
        </w:tc>
        <w:tc>
          <w:tcPr>
            <w:tcW w:type="dxa" w:w="3408"/>
          </w:tcPr>
          <w:p>
            <w:pPr>
              <w:spacing w:after="0"/>
            </w:pPr>
            <w:r>
              <w:rPr>
                <w:rFonts w:ascii="Arial" w:hAnsi="Arial"/>
                <w:b w:val="0"/>
                <w:sz w:val="14"/>
              </w:rPr>
              <w:t>Enterprise policy enforcement or organizational controls</w:t>
            </w:r>
          </w:p>
        </w:tc>
        <w:tc>
          <w:tcPr>
            <w:tcW w:type="dxa" w:w="3408"/>
          </w:tcPr>
          <w:p>
            <w:pPr>
              <w:spacing w:after="0"/>
            </w:pPr>
            <w:r>
              <w:rPr>
                <w:rFonts w:ascii="Arial" w:hAnsi="Arial"/>
                <w:b w:val="0"/>
                <w:sz w:val="14"/>
              </w:rPr>
              <w:t>Policy enforcement requires organizational governance, not technical validation</w:t>
            </w:r>
          </w:p>
        </w:tc>
      </w:tr>
      <w:tr>
        <w:tc>
          <w:tcPr>
            <w:tcW w:type="dxa" w:w="3408"/>
          </w:tcPr>
          <w:p>
            <w:pPr>
              <w:spacing w:after="0"/>
            </w:pPr>
            <w:r>
              <w:rPr>
                <w:rFonts w:ascii="Arial" w:hAnsi="Arial"/>
                <w:b w:val="0"/>
                <w:sz w:val="14"/>
              </w:rPr>
              <w:t>Evidence minimization and selective disclosure policies are applied</w:t>
            </w:r>
          </w:p>
        </w:tc>
        <w:tc>
          <w:tcPr>
            <w:tcW w:type="dxa" w:w="3408"/>
          </w:tcPr>
          <w:p>
            <w:pPr>
              <w:spacing w:after="0"/>
            </w:pPr>
            <w:r>
              <w:rPr>
                <w:rFonts w:ascii="Arial" w:hAnsi="Arial"/>
                <w:b w:val="0"/>
                <w:sz w:val="14"/>
              </w:rPr>
              <w:t>Data subject rights compliance or GDPR Article 17 (right to erasure) reconciliation</w:t>
            </w:r>
          </w:p>
        </w:tc>
        <w:tc>
          <w:tcPr>
            <w:tcW w:type="dxa" w:w="3408"/>
          </w:tcPr>
          <w:p>
            <w:pPr>
              <w:spacing w:after="0"/>
            </w:pPr>
            <w:r>
              <w:rPr>
                <w:rFonts w:ascii="Arial" w:hAnsi="Arial"/>
                <w:b w:val="0"/>
                <w:sz w:val="14"/>
              </w:rPr>
              <w:t>Data subject rights require legal interpretation and case-by-case analysis</w:t>
            </w:r>
          </w:p>
        </w:tc>
      </w:tr>
      <w:tr>
        <w:tc>
          <w:tcPr>
            <w:tcW w:type="dxa" w:w="3408"/>
          </w:tcPr>
          <w:p>
            <w:pPr>
              <w:spacing w:after="0"/>
            </w:pPr>
            <w:r>
              <w:rPr>
                <w:rFonts w:ascii="Arial" w:hAnsi="Arial"/>
                <w:b w:val="0"/>
                <w:sz w:val="14"/>
              </w:rPr>
              <w:t>Substitution conformance can be re-validated after system changes</w:t>
            </w:r>
          </w:p>
        </w:tc>
        <w:tc>
          <w:tcPr>
            <w:tcW w:type="dxa" w:w="3408"/>
          </w:tcPr>
          <w:p>
            <w:pPr>
              <w:spacing w:after="0"/>
            </w:pPr>
            <w:r>
              <w:rPr>
                <w:rFonts w:ascii="Arial" w:hAnsi="Arial"/>
                <w:b w:val="0"/>
                <w:sz w:val="14"/>
              </w:rPr>
              <w:t>Incident resolution, dispute resolution, or remediation closure</w:t>
            </w:r>
          </w:p>
        </w:tc>
        <w:tc>
          <w:tcPr>
            <w:tcW w:type="dxa" w:w="3408"/>
          </w:tcPr>
          <w:p>
            <w:pPr>
              <w:spacing w:after="0"/>
            </w:pPr>
            <w:r>
              <w:rPr>
                <w:rFonts w:ascii="Arial" w:hAnsi="Arial"/>
                <w:b w:val="0"/>
                <w:sz w:val="14"/>
              </w:rPr>
              <w:t>Incident and dispute resolution require organizational process and legal authority</w:t>
            </w:r>
          </w:p>
        </w:tc>
      </w:tr>
    </w:tbl>
    <w:p>
      <w:pPr>
        <w:spacing w:after="56"/>
      </w:pPr>
      <w:r>
        <w:t>Canonical boundary: Evidence-based validation proves that lifecycle responsibility objects exist and conform to predefined governance rules. It does not prove legal compliance, regulatory approval, or operational effectiveness. Organizations must interpret validation results within their legal, regulatory, and operational context.</w:t>
      </w:r>
    </w:p>
    <w:p>
      <w:pPr>
        <w:pStyle w:val="Heading2"/>
      </w:pPr>
      <w:r>
        <w:t>14.4 Validation Lab as Non-Certifying Evidence Adjudication Example</w:t>
      </w:r>
    </w:p>
    <w:p>
      <w:pPr>
        <w:spacing w:after="56"/>
      </w:pPr>
      <w:r>
        <w:t>Validation Lab is one example of how the evidence-based validation pattern can be operationalized. Validation Lab is referenced only at the level of public-surface evidence and as a non-certifying example. This paper does not rely on Validation Lab as independent audit evidence or as proof of legal compliance. Validation Lab is not a certification program, certification authority, regulator, legal authority, or conformity assessment body. It does not certify compliance, does not prove legal compliance, and does not guarantee regulatory approval.</w:t>
      </w:r>
    </w:p>
    <w:p>
      <w:pPr>
        <w:spacing w:after="56"/>
      </w:pPr>
      <w:r>
        <w:t>Validation Lab boundary statement:</w:t>
      </w:r>
    </w:p>
    <w:p>
      <w:pPr>
        <w:spacing w:after="56"/>
      </w:pPr>
      <w:r>
        <w:t>Validation Lab adjudicates lifecycle responsibility evidence against predefined rulesets. It returns verdict hashes indicating whether evidence conforms to the ruleset. It does not interpret legal compliance, does not provide legal opinions, and does not replace organizational governance or regulatory approval processes.</w:t>
      </w:r>
    </w:p>
    <w:p>
      <w:pPr>
        <w:spacing w:after="56"/>
      </w:pPr>
      <w:r>
        <w:t>Validation Lab is referenced in this white paper because it provides a concrete example of privacy-preserving third-party validation. The author's relationship to Validation Lab creates an explicit conflict of interest already disclosed in the front matter. This chapter treats Validation Lab as one example, not as the only validation path.</w:t>
      </w:r>
    </w:p>
    <w:p>
      <w:pPr>
        <w:keepNext/>
      </w:pPr>
      <w:r>
        <w:rPr>
          <w:b/>
          <w:sz w:val="16"/>
        </w:rPr>
        <w:t>Table T-14-03: Validation Lab Boundary Statement</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Claim Area</w:t>
            </w:r>
          </w:p>
        </w:tc>
        <w:tc>
          <w:tcPr>
            <w:tcW w:type="dxa" w:w="3408"/>
          </w:tcPr>
          <w:p>
            <w:pPr>
              <w:spacing w:after="0"/>
            </w:pPr>
            <w:r>
              <w:rPr>
                <w:rFonts w:ascii="Arial" w:hAnsi="Arial"/>
                <w:b/>
                <w:sz w:val="14"/>
              </w:rPr>
              <w:t>Allowed Framing</w:t>
            </w:r>
          </w:p>
        </w:tc>
        <w:tc>
          <w:tcPr>
            <w:tcW w:type="dxa" w:w="3408"/>
          </w:tcPr>
          <w:p>
            <w:pPr>
              <w:spacing w:after="0"/>
            </w:pPr>
            <w:r>
              <w:rPr>
                <w:rFonts w:ascii="Arial" w:hAnsi="Arial"/>
                <w:b/>
                <w:sz w:val="14"/>
              </w:rPr>
              <w:t>Forbidden Framing</w:t>
            </w:r>
          </w:p>
        </w:tc>
      </w:tr>
      <w:tr>
        <w:tc>
          <w:tcPr>
            <w:tcW w:type="dxa" w:w="3408"/>
          </w:tcPr>
          <w:p>
            <w:pPr>
              <w:spacing w:after="0"/>
            </w:pPr>
            <w:r>
              <w:rPr>
                <w:rFonts w:ascii="Arial" w:hAnsi="Arial"/>
                <w:b w:val="0"/>
                <w:sz w:val="14"/>
              </w:rPr>
              <w:t>Validation identity</w:t>
            </w:r>
          </w:p>
        </w:tc>
        <w:tc>
          <w:tcPr>
            <w:tcW w:type="dxa" w:w="3408"/>
          </w:tcPr>
          <w:p>
            <w:pPr>
              <w:spacing w:after="0"/>
            </w:pPr>
            <w:r>
              <w:rPr>
                <w:rFonts w:ascii="Arial" w:hAnsi="Arial"/>
                <w:b w:val="0"/>
                <w:sz w:val="14"/>
              </w:rPr>
              <w:t>Validation Lab is a non-certifying evidence adjudication example</w:t>
            </w:r>
          </w:p>
        </w:tc>
        <w:tc>
          <w:tcPr>
            <w:tcW w:type="dxa" w:w="3408"/>
          </w:tcPr>
          <w:p>
            <w:pPr>
              <w:spacing w:after="0"/>
            </w:pPr>
            <w:r>
              <w:rPr>
                <w:rFonts w:ascii="Arial" w:hAnsi="Arial"/>
                <w:b w:val="0"/>
                <w:sz w:val="14"/>
              </w:rPr>
              <w:t>Validation Lab is a certification authority; Validation Lab certifies compliance</w:t>
            </w:r>
          </w:p>
        </w:tc>
      </w:tr>
      <w:tr>
        <w:tc>
          <w:tcPr>
            <w:tcW w:type="dxa" w:w="3408"/>
          </w:tcPr>
          <w:p>
            <w:pPr>
              <w:spacing w:after="0"/>
            </w:pPr>
            <w:r>
              <w:rPr>
                <w:rFonts w:ascii="Arial" w:hAnsi="Arial"/>
                <w:b w:val="0"/>
                <w:sz w:val="14"/>
              </w:rPr>
              <w:t>Compliance relationship</w:t>
            </w:r>
          </w:p>
        </w:tc>
        <w:tc>
          <w:tcPr>
            <w:tcW w:type="dxa" w:w="3408"/>
          </w:tcPr>
          <w:p>
            <w:pPr>
              <w:spacing w:after="0"/>
            </w:pPr>
            <w:r>
              <w:rPr>
                <w:rFonts w:ascii="Arial" w:hAnsi="Arial"/>
                <w:b w:val="0"/>
                <w:sz w:val="14"/>
              </w:rPr>
              <w:t>Validation Lab adjudicates evidence against predefined rulesets</w:t>
            </w:r>
          </w:p>
        </w:tc>
        <w:tc>
          <w:tcPr>
            <w:tcW w:type="dxa" w:w="3408"/>
          </w:tcPr>
          <w:p>
            <w:pPr>
              <w:spacing w:after="0"/>
            </w:pPr>
            <w:r>
              <w:rPr>
                <w:rFonts w:ascii="Arial" w:hAnsi="Arial"/>
                <w:b w:val="0"/>
                <w:sz w:val="14"/>
              </w:rPr>
              <w:t>Validation Lab proves legal compliance; Validation Lab guarantees regulatory approval</w:t>
            </w:r>
          </w:p>
        </w:tc>
      </w:tr>
      <w:tr>
        <w:tc>
          <w:tcPr>
            <w:tcW w:type="dxa" w:w="3408"/>
          </w:tcPr>
          <w:p>
            <w:pPr>
              <w:spacing w:after="0"/>
            </w:pPr>
            <w:r>
              <w:rPr>
                <w:rFonts w:ascii="Arial" w:hAnsi="Arial"/>
                <w:b w:val="0"/>
                <w:sz w:val="14"/>
              </w:rPr>
              <w:t>Certification</w:t>
            </w:r>
          </w:p>
        </w:tc>
        <w:tc>
          <w:tcPr>
            <w:tcW w:type="dxa" w:w="3408"/>
          </w:tcPr>
          <w:p>
            <w:pPr>
              <w:spacing w:after="0"/>
            </w:pPr>
            <w:r>
              <w:rPr>
                <w:rFonts w:ascii="Arial" w:hAnsi="Arial"/>
                <w:b w:val="0"/>
                <w:sz w:val="14"/>
              </w:rPr>
              <w:t>Validation Lab does not certify compliance</w:t>
            </w:r>
          </w:p>
        </w:tc>
        <w:tc>
          <w:tcPr>
            <w:tcW w:type="dxa" w:w="3408"/>
          </w:tcPr>
          <w:p>
            <w:pPr>
              <w:spacing w:after="0"/>
            </w:pPr>
            <w:r>
              <w:rPr>
                <w:rFonts w:ascii="Arial" w:hAnsi="Arial"/>
                <w:b w:val="0"/>
                <w:sz w:val="14"/>
              </w:rPr>
              <w:t>Validation Lab is a certification program; Validation Lab is a conformity assessment body</w:t>
            </w:r>
          </w:p>
        </w:tc>
      </w:tr>
      <w:tr>
        <w:tc>
          <w:tcPr>
            <w:tcW w:type="dxa" w:w="3408"/>
          </w:tcPr>
          <w:p>
            <w:pPr>
              <w:spacing w:after="0"/>
            </w:pPr>
            <w:r>
              <w:rPr>
                <w:rFonts w:ascii="Arial" w:hAnsi="Arial"/>
                <w:b w:val="0"/>
                <w:sz w:val="14"/>
              </w:rPr>
              <w:t>Legal authority</w:t>
            </w:r>
          </w:p>
        </w:tc>
        <w:tc>
          <w:tcPr>
            <w:tcW w:type="dxa" w:w="3408"/>
          </w:tcPr>
          <w:p>
            <w:pPr>
              <w:spacing w:after="0"/>
            </w:pPr>
            <w:r>
              <w:rPr>
                <w:rFonts w:ascii="Arial" w:hAnsi="Arial"/>
                <w:b w:val="0"/>
                <w:sz w:val="14"/>
              </w:rPr>
              <w:t>Validation Lab does not provide legal opinions</w:t>
            </w:r>
          </w:p>
        </w:tc>
        <w:tc>
          <w:tcPr>
            <w:tcW w:type="dxa" w:w="3408"/>
          </w:tcPr>
          <w:p>
            <w:pPr>
              <w:spacing w:after="0"/>
            </w:pPr>
            <w:r>
              <w:rPr>
                <w:rFonts w:ascii="Arial" w:hAnsi="Arial"/>
                <w:b w:val="0"/>
                <w:sz w:val="14"/>
              </w:rPr>
              <w:t>Validation Lab is a legal authority; Validation Lab is regulator-approved</w:t>
            </w:r>
          </w:p>
        </w:tc>
      </w:tr>
      <w:tr>
        <w:tc>
          <w:tcPr>
            <w:tcW w:type="dxa" w:w="3408"/>
          </w:tcPr>
          <w:p>
            <w:pPr>
              <w:spacing w:after="0"/>
            </w:pPr>
            <w:r>
              <w:rPr>
                <w:rFonts w:ascii="Arial" w:hAnsi="Arial"/>
                <w:b w:val="0"/>
                <w:sz w:val="14"/>
              </w:rPr>
              <w:t>Regulatory recognition</w:t>
            </w:r>
          </w:p>
        </w:tc>
        <w:tc>
          <w:tcPr>
            <w:tcW w:type="dxa" w:w="3408"/>
          </w:tcPr>
          <w:p>
            <w:pPr>
              <w:spacing w:after="0"/>
            </w:pPr>
            <w:r>
              <w:rPr>
                <w:rFonts w:ascii="Arial" w:hAnsi="Arial"/>
                <w:b w:val="0"/>
                <w:sz w:val="14"/>
              </w:rPr>
              <w:t>Validation Lab requires regulatory interpretation by organizations</w:t>
            </w:r>
          </w:p>
        </w:tc>
        <w:tc>
          <w:tcPr>
            <w:tcW w:type="dxa" w:w="3408"/>
          </w:tcPr>
          <w:p>
            <w:pPr>
              <w:spacing w:after="0"/>
            </w:pPr>
            <w:r>
              <w:rPr>
                <w:rFonts w:ascii="Arial" w:hAnsi="Arial"/>
                <w:b w:val="0"/>
                <w:sz w:val="14"/>
              </w:rPr>
              <w:t>Validation Lab is regulator-approved; Validation Lab is the official compliance standard</w:t>
            </w:r>
          </w:p>
        </w:tc>
      </w:tr>
      <w:tr>
        <w:tc>
          <w:tcPr>
            <w:tcW w:type="dxa" w:w="3408"/>
          </w:tcPr>
          <w:p>
            <w:pPr>
              <w:spacing w:after="0"/>
            </w:pPr>
            <w:r>
              <w:rPr>
                <w:rFonts w:ascii="Arial" w:hAnsi="Arial"/>
                <w:b w:val="0"/>
                <w:sz w:val="14"/>
              </w:rPr>
              <w:t>Market positioning</w:t>
            </w:r>
          </w:p>
        </w:tc>
        <w:tc>
          <w:tcPr>
            <w:tcW w:type="dxa" w:w="3408"/>
          </w:tcPr>
          <w:p>
            <w:pPr>
              <w:spacing w:after="0"/>
            </w:pPr>
            <w:r>
              <w:rPr>
                <w:rFonts w:ascii="Arial" w:hAnsi="Arial"/>
                <w:b w:val="0"/>
                <w:sz w:val="14"/>
              </w:rPr>
              <w:t>Validation Lab is one example of evidence-based validation</w:t>
            </w:r>
          </w:p>
        </w:tc>
        <w:tc>
          <w:tcPr>
            <w:tcW w:type="dxa" w:w="3408"/>
          </w:tcPr>
          <w:p>
            <w:pPr>
              <w:spacing w:after="0"/>
            </w:pPr>
            <w:r>
              <w:rPr>
                <w:rFonts w:ascii="Arial" w:hAnsi="Arial"/>
                <w:b w:val="0"/>
                <w:sz w:val="14"/>
              </w:rPr>
              <w:t>Validation Lab is the only validation path; Validation Lab is industry-standard</w:t>
            </w:r>
          </w:p>
        </w:tc>
      </w:tr>
      <w:tr>
        <w:tc>
          <w:tcPr>
            <w:tcW w:type="dxa" w:w="3408"/>
          </w:tcPr>
          <w:p>
            <w:pPr>
              <w:spacing w:after="0"/>
            </w:pPr>
            <w:r>
              <w:rPr>
                <w:rFonts w:ascii="Arial" w:hAnsi="Arial"/>
                <w:b w:val="0"/>
                <w:sz w:val="14"/>
              </w:rPr>
              <w:t>Evidence adjudication</w:t>
            </w:r>
          </w:p>
        </w:tc>
        <w:tc>
          <w:tcPr>
            <w:tcW w:type="dxa" w:w="3408"/>
          </w:tcPr>
          <w:p>
            <w:pPr>
              <w:spacing w:after="0"/>
            </w:pPr>
            <w:r>
              <w:rPr>
                <w:rFonts w:ascii="Arial" w:hAnsi="Arial"/>
                <w:b w:val="0"/>
                <w:sz w:val="14"/>
              </w:rPr>
              <w:t>Validation Lab adjudicates evidence conformance to rulesets</w:t>
            </w:r>
          </w:p>
        </w:tc>
        <w:tc>
          <w:tcPr>
            <w:tcW w:type="dxa" w:w="3408"/>
          </w:tcPr>
          <w:p>
            <w:pPr>
              <w:spacing w:after="0"/>
            </w:pPr>
            <w:r>
              <w:rPr>
                <w:rFonts w:ascii="Arial" w:hAnsi="Arial"/>
                <w:b w:val="0"/>
                <w:sz w:val="14"/>
              </w:rPr>
              <w:t>Validation Lab proves operational effectiveness; Validation Lab guarantees insurability</w:t>
            </w:r>
          </w:p>
        </w:tc>
      </w:tr>
    </w:tbl>
    <w:p>
      <w:pPr>
        <w:spacing w:after="56"/>
      </w:pPr>
      <w:r>
        <w:t>Other validation providers, internal audit teams, or enterprise governance functions can implement the evidence-based validation pattern. Validation Lab is one example, not the exclusive implementation.</w:t>
      </w:r>
    </w:p>
    <w:p>
      <w:pPr>
        <w:pStyle w:val="Heading2"/>
      </w:pPr>
      <w:r>
        <w:t>14.5 Mapping to Missing Regulatory Objects and ALCS</w:t>
      </w:r>
    </w:p>
    <w:p>
      <w:pPr>
        <w:spacing w:after="56"/>
      </w:pPr>
      <w:r>
        <w:t>The evidence-based validation pattern directly supports five Missing Regulatory Objects and five ALCS dimensions.</w:t>
      </w:r>
    </w:p>
    <w:p>
      <w:pPr>
        <w:keepNext/>
      </w:pPr>
      <w:r>
        <w:rPr>
          <w:b/>
          <w:sz w:val="16"/>
        </w:rPr>
        <w:t>Table T-14-04: Evidence-Based Validation Pattern Mapping to MROs and ALCS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MRO / ALCS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How the Pattern Supports</w:t>
            </w:r>
          </w:p>
        </w:tc>
        <w:tc>
          <w:tcPr>
            <w:tcW w:type="dxa" w:w="2556"/>
          </w:tcPr>
          <w:p>
            <w:pPr>
              <w:spacing w:after="0"/>
            </w:pPr>
            <w:r>
              <w:rPr>
                <w:rFonts w:ascii="Arial" w:hAnsi="Arial"/>
                <w:b/>
                <w:sz w:val="14"/>
              </w:rPr>
              <w:t>Boundary / Evidence Limit</w:t>
            </w:r>
          </w:p>
        </w:tc>
      </w:tr>
      <w:tr>
        <w:tc>
          <w:tcPr>
            <w:tcW w:type="dxa" w:w="2556"/>
          </w:tcPr>
          <w:p>
            <w:pPr>
              <w:spacing w:after="0"/>
            </w:pPr>
            <w:r>
              <w:rPr>
                <w:rFonts w:ascii="Arial" w:hAnsi="Arial"/>
                <w:b w:val="0"/>
                <w:sz w:val="14"/>
              </w:rPr>
              <w:t>MRO-08: MAS Evidence Partitioning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Pack and Hash Manifest support partitioned evidence chains</w:t>
            </w:r>
          </w:p>
        </w:tc>
        <w:tc>
          <w:tcPr>
            <w:tcW w:type="dxa" w:w="2556"/>
          </w:tcPr>
          <w:p>
            <w:pPr>
              <w:spacing w:after="0"/>
            </w:pPr>
            <w:r>
              <w:rPr>
                <w:rFonts w:ascii="Arial" w:hAnsi="Arial"/>
                <w:b w:val="0"/>
                <w:sz w:val="14"/>
              </w:rPr>
              <w:t>Requires evidence export policy; requires partition rules definition</w:t>
            </w:r>
          </w:p>
        </w:tc>
      </w:tr>
      <w:tr>
        <w:tc>
          <w:tcPr>
            <w:tcW w:type="dxa" w:w="2556"/>
          </w:tcPr>
          <w:p>
            <w:pPr>
              <w:spacing w:after="0"/>
            </w:pPr>
            <w:r>
              <w:rPr>
                <w:rFonts w:ascii="Arial" w:hAnsi="Arial"/>
                <w:b w:val="0"/>
                <w:sz w:val="14"/>
              </w:rPr>
              <w:t>MRO-11: Privacy-Preserving Third-Party Validation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Pointers, Verdict Hash, Disclosure Profile, and Redaction Profile support privacy-preserving validation</w:t>
            </w:r>
          </w:p>
        </w:tc>
        <w:tc>
          <w:tcPr>
            <w:tcW w:type="dxa" w:w="2556"/>
          </w:tcPr>
          <w:p>
            <w:pPr>
              <w:spacing w:after="0"/>
            </w:pPr>
            <w:r>
              <w:rPr>
                <w:rFonts w:ascii="Arial" w:hAnsi="Arial"/>
                <w:b w:val="0"/>
                <w:sz w:val="14"/>
              </w:rPr>
              <w:t>Requires validation protocol integration; requires third-party acceptance</w:t>
            </w:r>
          </w:p>
        </w:tc>
      </w:tr>
      <w:tr>
        <w:tc>
          <w:tcPr>
            <w:tcW w:type="dxa" w:w="2556"/>
          </w:tcPr>
          <w:p>
            <w:pPr>
              <w:spacing w:after="0"/>
            </w:pPr>
            <w:r>
              <w:rPr>
                <w:rFonts w:ascii="Arial" w:hAnsi="Arial"/>
                <w:b w:val="0"/>
                <w:sz w:val="14"/>
              </w:rPr>
              <w:t>MRO-12: Evidence Minimization and Selective Disclosure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Pointers, Disclosure Profile, and Redaction Profile support minimization and selective disclosure</w:t>
            </w:r>
          </w:p>
        </w:tc>
        <w:tc>
          <w:tcPr>
            <w:tcW w:type="dxa" w:w="2556"/>
          </w:tcPr>
          <w:p>
            <w:pPr>
              <w:spacing w:after="0"/>
            </w:pPr>
            <w:r>
              <w:rPr>
                <w:rFonts w:ascii="Arial" w:hAnsi="Arial"/>
                <w:b w:val="0"/>
                <w:sz w:val="14"/>
              </w:rPr>
              <w:t>Requires retention policy; requires disclosure rules definition</w:t>
            </w:r>
          </w:p>
        </w:tc>
      </w:tr>
      <w:tr>
        <w:tc>
          <w:tcPr>
            <w:tcW w:type="dxa" w:w="2556"/>
          </w:tcPr>
          <w:p>
            <w:pPr>
              <w:spacing w:after="0"/>
            </w:pPr>
            <w:r>
              <w:rPr>
                <w:rFonts w:ascii="Arial" w:hAnsi="Arial"/>
                <w:b w:val="0"/>
                <w:sz w:val="14"/>
              </w:rPr>
              <w:t>MRO-13: Data Subject Rights vs Evidence Retention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Redaction Profile can support data subject rights reconciliation</w:t>
            </w:r>
          </w:p>
        </w:tc>
        <w:tc>
          <w:tcPr>
            <w:tcW w:type="dxa" w:w="2556"/>
          </w:tcPr>
          <w:p>
            <w:pPr>
              <w:spacing w:after="0"/>
            </w:pPr>
            <w:r>
              <w:rPr>
                <w:rFonts w:ascii="Arial" w:hAnsi="Arial"/>
                <w:b w:val="0"/>
                <w:sz w:val="14"/>
              </w:rPr>
              <w:t>Requires legal interpretation; requires data subject rights workflow</w:t>
            </w:r>
          </w:p>
        </w:tc>
      </w:tr>
      <w:tr>
        <w:tc>
          <w:tcPr>
            <w:tcW w:type="dxa" w:w="2556"/>
          </w:tcPr>
          <w:p>
            <w:pPr>
              <w:spacing w:after="0"/>
            </w:pPr>
            <w:r>
              <w:rPr>
                <w:rFonts w:ascii="Arial" w:hAnsi="Arial"/>
                <w:b w:val="0"/>
                <w:sz w:val="14"/>
              </w:rPr>
              <w:t>MRO-16: Incident, Dispute, and Remediation Closure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Replay / Recheck Procedure can support incident and dispute resolution</w:t>
            </w:r>
          </w:p>
        </w:tc>
        <w:tc>
          <w:tcPr>
            <w:tcW w:type="dxa" w:w="2556"/>
          </w:tcPr>
          <w:p>
            <w:pPr>
              <w:spacing w:after="0"/>
            </w:pPr>
            <w:r>
              <w:rPr>
                <w:rFonts w:ascii="Arial" w:hAnsi="Arial"/>
                <w:b w:val="0"/>
                <w:sz w:val="14"/>
              </w:rPr>
              <w:t>Requires incident workflow; requires remediation policy; does not imply legal closure</w:t>
            </w:r>
          </w:p>
        </w:tc>
      </w:tr>
      <w:tr>
        <w:tc>
          <w:tcPr>
            <w:tcW w:type="dxa" w:w="2556"/>
          </w:tcPr>
          <w:p>
            <w:pPr>
              <w:spacing w:after="0"/>
            </w:pPr>
            <w:r>
              <w:rPr>
                <w:rFonts w:ascii="Arial" w:hAnsi="Arial"/>
                <w:b w:val="0"/>
                <w:sz w:val="14"/>
              </w:rPr>
              <w:t>ALCS-08: MAS Evidence Partitioning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Pack and Hash Manifest directly express partitioned evidence chains</w:t>
            </w:r>
          </w:p>
        </w:tc>
        <w:tc>
          <w:tcPr>
            <w:tcW w:type="dxa" w:w="2556"/>
          </w:tcPr>
          <w:p>
            <w:pPr>
              <w:spacing w:after="0"/>
            </w:pPr>
            <w:r>
              <w:rPr>
                <w:rFonts w:ascii="Arial" w:hAnsi="Arial"/>
                <w:b w:val="0"/>
                <w:sz w:val="14"/>
              </w:rPr>
              <w:t>Requires evidence export; requires partition policy</w:t>
            </w:r>
          </w:p>
        </w:tc>
      </w:tr>
      <w:tr>
        <w:tc>
          <w:tcPr>
            <w:tcW w:type="dxa" w:w="2556"/>
          </w:tcPr>
          <w:p>
            <w:pPr>
              <w:spacing w:after="0"/>
            </w:pPr>
            <w:r>
              <w:rPr>
                <w:rFonts w:ascii="Arial" w:hAnsi="Arial"/>
                <w:b w:val="0"/>
                <w:sz w:val="14"/>
              </w:rPr>
              <w:t>ALCS-11: Privacy-Preserving Third-Party Validation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Pointers, Verdict Hash, Disclosure Profile, and Redaction Profile directly express privacy-preserving validation</w:t>
            </w:r>
          </w:p>
        </w:tc>
        <w:tc>
          <w:tcPr>
            <w:tcW w:type="dxa" w:w="2556"/>
          </w:tcPr>
          <w:p>
            <w:pPr>
              <w:spacing w:after="0"/>
            </w:pPr>
            <w:r>
              <w:rPr>
                <w:rFonts w:ascii="Arial" w:hAnsi="Arial"/>
                <w:b w:val="0"/>
                <w:sz w:val="14"/>
              </w:rPr>
              <w:t>Requires validation protocol; requires third-party acceptance</w:t>
            </w:r>
          </w:p>
        </w:tc>
      </w:tr>
      <w:tr>
        <w:tc>
          <w:tcPr>
            <w:tcW w:type="dxa" w:w="2556"/>
          </w:tcPr>
          <w:p>
            <w:pPr>
              <w:spacing w:after="0"/>
            </w:pPr>
            <w:r>
              <w:rPr>
                <w:rFonts w:ascii="Arial" w:hAnsi="Arial"/>
                <w:b w:val="0"/>
                <w:sz w:val="14"/>
              </w:rPr>
              <w:t>ALCS-12: Evidence Minimization and Selective Disclosure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Pointers, Disclosure Profile, and Redaction Profile directly express minimization and selective disclosure</w:t>
            </w:r>
          </w:p>
        </w:tc>
        <w:tc>
          <w:tcPr>
            <w:tcW w:type="dxa" w:w="2556"/>
          </w:tcPr>
          <w:p>
            <w:pPr>
              <w:spacing w:after="0"/>
            </w:pPr>
            <w:r>
              <w:rPr>
                <w:rFonts w:ascii="Arial" w:hAnsi="Arial"/>
                <w:b w:val="0"/>
                <w:sz w:val="14"/>
              </w:rPr>
              <w:t>Requires retention policy; requires disclosure rules</w:t>
            </w:r>
          </w:p>
        </w:tc>
      </w:tr>
      <w:tr>
        <w:tc>
          <w:tcPr>
            <w:tcW w:type="dxa" w:w="2556"/>
          </w:tcPr>
          <w:p>
            <w:pPr>
              <w:spacing w:after="0"/>
            </w:pPr>
            <w:r>
              <w:rPr>
                <w:rFonts w:ascii="Arial" w:hAnsi="Arial"/>
                <w:b w:val="0"/>
                <w:sz w:val="14"/>
              </w:rPr>
              <w:t>ALCS-13: Data Subject Rights vs Evidence Retention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Redaction Profile can support data subject rights reconciliation</w:t>
            </w:r>
          </w:p>
        </w:tc>
        <w:tc>
          <w:tcPr>
            <w:tcW w:type="dxa" w:w="2556"/>
          </w:tcPr>
          <w:p>
            <w:pPr>
              <w:spacing w:after="0"/>
            </w:pPr>
            <w:r>
              <w:rPr>
                <w:rFonts w:ascii="Arial" w:hAnsi="Arial"/>
                <w:b w:val="0"/>
                <w:sz w:val="14"/>
              </w:rPr>
              <w:t>Requires legal interpretation; requires data subject rights workflow</w:t>
            </w:r>
          </w:p>
        </w:tc>
      </w:tr>
      <w:tr>
        <w:tc>
          <w:tcPr>
            <w:tcW w:type="dxa" w:w="2556"/>
          </w:tcPr>
          <w:p>
            <w:pPr>
              <w:spacing w:after="0"/>
            </w:pPr>
            <w:r>
              <w:rPr>
                <w:rFonts w:ascii="Arial" w:hAnsi="Arial"/>
                <w:b w:val="0"/>
                <w:sz w:val="14"/>
              </w:rPr>
              <w:t>ALCS-15: Vendor/Model/Runtime Substitution Conformance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Replay / Recheck Procedure can support substitution conformance validation</w:t>
            </w:r>
          </w:p>
        </w:tc>
        <w:tc>
          <w:tcPr>
            <w:tcW w:type="dxa" w:w="2556"/>
          </w:tcPr>
          <w:p>
            <w:pPr>
              <w:spacing w:after="0"/>
            </w:pPr>
            <w:r>
              <w:rPr>
                <w:rFonts w:ascii="Arial" w:hAnsi="Arial"/>
                <w:b w:val="0"/>
                <w:sz w:val="14"/>
              </w:rPr>
              <w:t>Requires substitution testing; requires conformance validation</w:t>
            </w:r>
          </w:p>
        </w:tc>
      </w:tr>
    </w:tbl>
    <w:p>
      <w:pPr>
        <w:spacing w:after="56"/>
      </w:pPr>
      <w:r>
        <w:t>Interpretation: The evidence-based validation pattern maps strongly to MRO-08, MRO-11, MRO-12, and their corresponding ALCS dimensions. The pattern provides a methodology for privacy-preserving third-party validation of lifecycle responsibility objects. However, the pattern does not replace organizational governance, legal interpretation, or regulatory approval.</w:t>
      </w:r>
    </w:p>
    <w:p>
      <w:pPr>
        <w:pStyle w:val="Heading2"/>
      </w:pPr>
      <w:r>
        <w:t>14.6 Bridge to Enterprise Failure Scenarios</w:t>
      </w:r>
    </w:p>
    <w:p>
      <w:pPr>
        <w:spacing w:after="56"/>
      </w:pPr>
      <w:r>
        <w:t>Chapter 14 has described the evidence-based validation pattern as a methodology for privacy-preserving third-party validation of lifecycle responsibility objects. Chapter 15 will examine enterprise failure scenarios where lifecycle governance gaps create operational, legal, or reputational risk.</w:t>
      </w:r>
    </w:p>
    <w:p>
      <w:pPr>
        <w:spacing w:after="56"/>
      </w:pPr>
      <w:r>
        <w:t>The bridge from validation pattern (Chapter 14) to failure scenarios (Chapter 15) is the recognition that validation alone does not prevent failure. Validation can demonstrate that lifecycle responsibility objects exist and conform to predefined rules. However, failure can still occur if:</w:t>
      </w:r>
    </w:p>
    <w:p>
      <w:pPr>
        <w:pStyle w:val="ListBullet"/>
        <w:spacing w:after="56"/>
      </w:pPr>
      <w:r>
        <w:t>Organizational controls are not enforced</w:t>
      </w:r>
    </w:p>
    <w:p>
      <w:pPr>
        <w:pStyle w:val="ListBullet"/>
        <w:spacing w:after="56"/>
      </w:pPr>
      <w:r>
        <w:t>Human oversight is not operationalized</w:t>
      </w:r>
    </w:p>
    <w:p>
      <w:pPr>
        <w:pStyle w:val="ListBullet"/>
        <w:spacing w:after="56"/>
      </w:pPr>
      <w:r>
        <w:t>Incident response is not timely</w:t>
      </w:r>
    </w:p>
    <w:p>
      <w:pPr>
        <w:pStyle w:val="ListBullet"/>
        <w:spacing w:after="56"/>
      </w:pPr>
      <w:r>
        <w:t>Remediation is not effective</w:t>
      </w:r>
    </w:p>
    <w:p>
      <w:pPr>
        <w:pStyle w:val="ListBullet"/>
        <w:spacing w:after="56"/>
      </w:pPr>
      <w:r>
        <w:t>Authority drift is not detected</w:t>
      </w:r>
    </w:p>
    <w:p>
      <w:pPr>
        <w:pStyle w:val="ListBullet"/>
        <w:spacing w:after="56"/>
      </w:pPr>
      <w:r>
        <w:t>Evidence retention conflicts with data subject rights</w:t>
      </w:r>
    </w:p>
    <w:p>
      <w:pPr>
        <w:pStyle w:val="ListBullet"/>
        <w:spacing w:after="56"/>
      </w:pPr>
      <w:r>
        <w:t>Substitution conformance is not re-validated after system changes</w:t>
      </w:r>
    </w:p>
    <w:p>
      <w:pPr>
        <w:spacing w:after="56"/>
      </w:pPr>
      <w:r>
        <w:t>Chapter 15 will examine these failure modes and their enterprise impact. The goal is not to claim that lifecycle governance eliminates all risk. The goal is to demonstrate that lifecycle governance gaps create predictable failure patterns that enterprises must address.</w:t>
      </w:r>
    </w:p>
    <w:p>
      <w:pPr>
        <w:pStyle w:val="Heading1"/>
      </w:pPr>
      <w:r>
        <w:t>15. Enterprise Failure Scenarios</w:t>
      </w:r>
    </w:p>
    <w:p>
      <w:pPr>
        <w:spacing w:after="56"/>
      </w:pPr>
      <w:r>
        <w:t>Version: v0.3.2-FRC-R3</w:t>
      </w:r>
    </w:p>
    <w:p>
      <w:pPr>
        <w:pStyle w:val="Heading2"/>
      </w:pPr>
      <w:r>
        <w:t>15.0 Why Enterprise Failure Scenarios Matter</w:t>
      </w:r>
    </w:p>
    <w:p>
      <w:pPr>
        <w:spacing w:after="56"/>
      </w:pPr>
      <w:r>
        <w:t>AI Agent Lifecycle Governance produces lifecycle responsibility objects: role mappings, delegation boundaries, accepted outcomes, evidence chains, handoff records, and authority transitions. These objects support enterprise controls, audit readiness, and regulatory compliance coverage. However, lifecycle responsibility objects are governance artifacts. Their absence or weakness creates predictable failure patterns.</w:t>
      </w:r>
    </w:p>
    <w:p>
      <w:pPr>
        <w:spacing w:after="56"/>
      </w:pPr>
      <w:r>
        <w:t>Enterprise failure scenarios are not included to claim that agentic AI is uniquely unsafe. They are included to show where model-centric governance and ordinary orchestration controls become insufficient when work is delegated across agents, tools, humans, projects, vendors, and evidence boundaries.</w:t>
      </w:r>
    </w:p>
    <w:p>
      <w:pPr>
        <w:spacing w:after="56"/>
      </w:pPr>
      <w:r>
        <w:t>This chapter examines eight enterprise failure scenarios. Each scenario connects a failure trigger to a missing or weak lifecycle object, maps to relevant Missing Regulatory Objects and ALCS dimensions, describes enterprise consequences, identifies investigation evidence, and presents remediation and prevention patterns.</w:t>
      </w:r>
    </w:p>
    <w:p>
      <w:pPr>
        <w:spacing w:after="56"/>
      </w:pPr>
      <w:r>
        <w:t>The scenarios in this chapter are illustrative and hypothetical. They do not describe real company incidents, assert actual legal violations, or claim that any specific vendor, platform, or organization failed.</w:t>
      </w:r>
    </w:p>
    <w:p>
      <w:pPr>
        <w:spacing w:after="56"/>
      </w:pPr>
      <w:r>
        <w:t>The goal is not to claim that lifecycle governance eliminates all risk. The goal is to demonstrate that lifecycle governance gaps create predictable failure patterns that enterprises must address.</w:t>
      </w:r>
    </w:p>
    <w:p>
      <w:pPr>
        <w:spacing w:after="56"/>
      </w:pPr>
      <w:r>
        <w:t>Figure F-09 - Enterprise Failure Scenario Chain</w:t>
      </w:r>
    </w:p>
    <w:p>
      <w:pPr>
        <w:spacing w:after="56"/>
      </w:pPr>
      <w:r>
        <w:t>Trigger or Workflow Change -&gt; Missing Lifecycle Object -&gt; Evidence Gap -&gt; Enterprise Consequence -&gt; Remediation Closure</w:t>
      </w:r>
    </w:p>
    <w:p>
      <w:pPr>
        <w:spacing w:after="56"/>
      </w:pPr>
      <w:r>
        <w:t>Figure F-09 shows how a localized agentic workflow trigger can become an enterprise failure pattern when the lifecycle object is missing or weak. The figure is an analytical chain, not an incident probability model, legal conclusion, or claim that all agentic failures follow the same sequence.</w:t>
      </w:r>
    </w:p>
    <w:p>
      <w:pPr>
        <w:pStyle w:val="Heading2"/>
      </w:pPr>
      <w:r>
        <w:t>15.1 Failure Mode Categories</w:t>
      </w:r>
    </w:p>
    <w:p>
      <w:pPr>
        <w:spacing w:after="56"/>
      </w:pPr>
      <w:r>
        <w:t>Enterprise failure scenarios fall into four categories based on where the lifecycle governance gap occurs.</w:t>
      </w:r>
    </w:p>
    <w:p>
      <w:pPr>
        <w:keepNext/>
      </w:pPr>
      <w:r>
        <w:rPr>
          <w:b/>
          <w:sz w:val="16"/>
        </w:rPr>
        <w:t>Table T-15-01: Failure Mode Categories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Category</w:t>
            </w:r>
          </w:p>
        </w:tc>
        <w:tc>
          <w:tcPr>
            <w:tcW w:type="dxa" w:w="2045"/>
          </w:tcPr>
          <w:p>
            <w:pPr>
              <w:spacing w:after="0"/>
            </w:pPr>
            <w:r>
              <w:rPr>
                <w:rFonts w:ascii="Arial" w:hAnsi="Arial"/>
                <w:b/>
                <w:sz w:val="14"/>
              </w:rPr>
              <w:t>Failure Pattern</w:t>
            </w:r>
          </w:p>
        </w:tc>
        <w:tc>
          <w:tcPr>
            <w:tcW w:type="dxa" w:w="2045"/>
          </w:tcPr>
          <w:p>
            <w:pPr>
              <w:spacing w:after="0"/>
            </w:pPr>
            <w:r>
              <w:rPr>
                <w:rFonts w:ascii="Arial" w:hAnsi="Arial"/>
                <w:b/>
                <w:sz w:val="14"/>
              </w:rPr>
              <w:t>Primary MROs</w:t>
            </w:r>
          </w:p>
        </w:tc>
        <w:tc>
          <w:tcPr>
            <w:tcW w:type="dxa" w:w="2045"/>
          </w:tcPr>
          <w:p>
            <w:pPr>
              <w:spacing w:after="0"/>
            </w:pPr>
            <w:r>
              <w:rPr>
                <w:rFonts w:ascii="Arial" w:hAnsi="Arial"/>
                <w:b/>
                <w:sz w:val="14"/>
              </w:rPr>
              <w:t>Primary ALCS</w:t>
            </w:r>
          </w:p>
        </w:tc>
        <w:tc>
          <w:tcPr>
            <w:tcW w:type="dxa" w:w="2045"/>
          </w:tcPr>
          <w:p>
            <w:pPr>
              <w:spacing w:after="0"/>
            </w:pPr>
            <w:r>
              <w:rPr>
                <w:rFonts w:ascii="Arial" w:hAnsi="Arial"/>
                <w:b/>
                <w:sz w:val="14"/>
              </w:rPr>
              <w:t>Enterprise Risk</w:t>
            </w:r>
          </w:p>
        </w:tc>
      </w:tr>
      <w:tr>
        <w:tc>
          <w:tcPr>
            <w:tcW w:type="dxa" w:w="2045"/>
          </w:tcPr>
          <w:p>
            <w:pPr>
              <w:spacing w:after="0"/>
            </w:pPr>
            <w:r>
              <w:rPr>
                <w:rFonts w:ascii="Arial" w:hAnsi="Arial"/>
                <w:b w:val="0"/>
                <w:sz w:val="14"/>
              </w:rPr>
              <w:t>Authority and Boundary Failures</w:t>
            </w:r>
          </w:p>
        </w:tc>
        <w:tc>
          <w:tcPr>
            <w:tcW w:type="dxa" w:w="2045"/>
          </w:tcPr>
          <w:p>
            <w:pPr>
              <w:spacing w:after="0"/>
            </w:pPr>
            <w:r>
              <w:rPr>
                <w:rFonts w:ascii="Arial" w:hAnsi="Arial"/>
                <w:b w:val="0"/>
                <w:sz w:val="14"/>
              </w:rPr>
              <w:t>Agent exceeds delegated authority; moves from advising to committing; operates without explicit human authorization</w:t>
            </w:r>
          </w:p>
        </w:tc>
        <w:tc>
          <w:tcPr>
            <w:tcW w:type="dxa" w:w="2045"/>
          </w:tcPr>
          <w:p>
            <w:pPr>
              <w:spacing w:after="0"/>
            </w:pPr>
            <w:r>
              <w:rPr>
                <w:rFonts w:ascii="Arial" w:hAnsi="Arial"/>
                <w:b w:val="0"/>
                <w:sz w:val="14"/>
              </w:rPr>
              <w:t>MRO-02: Delegated Authority Boundary; MRO-05: Tool-Action Liability Boundary; MRO-07: Authority Drift</w:t>
            </w:r>
          </w:p>
        </w:tc>
        <w:tc>
          <w:tcPr>
            <w:tcW w:type="dxa" w:w="2045"/>
          </w:tcPr>
          <w:p>
            <w:pPr>
              <w:spacing w:after="0"/>
            </w:pPr>
            <w:r>
              <w:rPr>
                <w:rFonts w:ascii="Arial" w:hAnsi="Arial"/>
                <w:b w:val="0"/>
                <w:sz w:val="14"/>
              </w:rPr>
              <w:t>ALCS-02: Delegated Authority Boundary; ALCS-04: Accepted Outcome Compliance; ALCS-07: Authority Drift Detection</w:t>
            </w:r>
          </w:p>
        </w:tc>
        <w:tc>
          <w:tcPr>
            <w:tcW w:type="dxa" w:w="2045"/>
          </w:tcPr>
          <w:p>
            <w:pPr>
              <w:spacing w:after="0"/>
            </w:pPr>
            <w:r>
              <w:rPr>
                <w:rFonts w:ascii="Arial" w:hAnsi="Arial"/>
                <w:b w:val="0"/>
                <w:sz w:val="14"/>
              </w:rPr>
              <w:t>Unauthorized actions; liability disputes; potential regulatory non-compliance depending on deployment context; customer harm</w:t>
            </w:r>
          </w:p>
        </w:tc>
      </w:tr>
      <w:tr>
        <w:tc>
          <w:tcPr>
            <w:tcW w:type="dxa" w:w="2045"/>
          </w:tcPr>
          <w:p>
            <w:pPr>
              <w:spacing w:after="0"/>
            </w:pPr>
            <w:r>
              <w:rPr>
                <w:rFonts w:ascii="Arial" w:hAnsi="Arial"/>
                <w:b w:val="0"/>
                <w:sz w:val="14"/>
              </w:rPr>
              <w:t>Evidence and Traceability Failures</w:t>
            </w:r>
          </w:p>
        </w:tc>
        <w:tc>
          <w:tcPr>
            <w:tcW w:type="dxa" w:w="2045"/>
          </w:tcPr>
          <w:p>
            <w:pPr>
              <w:spacing w:after="0"/>
            </w:pPr>
            <w:r>
              <w:rPr>
                <w:rFonts w:ascii="Arial" w:hAnsi="Arial"/>
                <w:b w:val="0"/>
                <w:sz w:val="14"/>
              </w:rPr>
              <w:t>Organization has logs but cannot reconstruct authority, plan version, human confirmation, tool action, and accepted outcome; evidence chain is incomplete or non-partitioned</w:t>
            </w:r>
          </w:p>
        </w:tc>
        <w:tc>
          <w:tcPr>
            <w:tcW w:type="dxa" w:w="2045"/>
          </w:tcPr>
          <w:p>
            <w:pPr>
              <w:spacing w:after="0"/>
            </w:pPr>
            <w:r>
              <w:rPr>
                <w:rFonts w:ascii="Arial" w:hAnsi="Arial"/>
                <w:b w:val="0"/>
                <w:sz w:val="14"/>
              </w:rPr>
              <w:t>MRO-08: MAS Evidence Partitioning; MRO-11: Privacy-Preserving Third-Party Validation; MRO-12: Evidence Minimization and Selective Disclosure</w:t>
            </w:r>
          </w:p>
        </w:tc>
        <w:tc>
          <w:tcPr>
            <w:tcW w:type="dxa" w:w="2045"/>
          </w:tcPr>
          <w:p>
            <w:pPr>
              <w:spacing w:after="0"/>
            </w:pPr>
            <w:r>
              <w:rPr>
                <w:rFonts w:ascii="Arial" w:hAnsi="Arial"/>
                <w:b w:val="0"/>
                <w:sz w:val="14"/>
              </w:rPr>
              <w:t>ALCS-08: MAS Evidence Partitioning; ALCS-11: Privacy-Preserving Third-Party Validation; ALCS-12: Evidence Minimization and Selective Disclosure</w:t>
            </w:r>
          </w:p>
        </w:tc>
        <w:tc>
          <w:tcPr>
            <w:tcW w:type="dxa" w:w="2045"/>
          </w:tcPr>
          <w:p>
            <w:pPr>
              <w:spacing w:after="0"/>
            </w:pPr>
            <w:r>
              <w:rPr>
                <w:rFonts w:ascii="Arial" w:hAnsi="Arial"/>
                <w:b w:val="0"/>
                <w:sz w:val="14"/>
              </w:rPr>
              <w:t>Audit-readiness failure or audit challenge; dispute resolution failure; regulatory investigation challenge; inability to demonstrate conformance</w:t>
            </w:r>
          </w:p>
        </w:tc>
      </w:tr>
      <w:tr>
        <w:tc>
          <w:tcPr>
            <w:tcW w:type="dxa" w:w="2045"/>
          </w:tcPr>
          <w:p>
            <w:pPr>
              <w:spacing w:after="0"/>
            </w:pPr>
            <w:r>
              <w:rPr>
                <w:rFonts w:ascii="Arial" w:hAnsi="Arial"/>
                <w:b w:val="0"/>
                <w:sz w:val="14"/>
              </w:rPr>
              <w:t>Responsibility and Acceptance Failures</w:t>
            </w:r>
          </w:p>
        </w:tc>
        <w:tc>
          <w:tcPr>
            <w:tcW w:type="dxa" w:w="2045"/>
          </w:tcPr>
          <w:p>
            <w:pPr>
              <w:spacing w:after="0"/>
            </w:pPr>
            <w:r>
              <w:rPr>
                <w:rFonts w:ascii="Arial" w:hAnsi="Arial"/>
                <w:b w:val="0"/>
                <w:sz w:val="14"/>
              </w:rPr>
              <w:t>Orchestrator marks task complete but no accountable human role accepts the result under evidence; execution completion ≠ accepted outcome</w:t>
            </w:r>
          </w:p>
        </w:tc>
        <w:tc>
          <w:tcPr>
            <w:tcW w:type="dxa" w:w="2045"/>
          </w:tcPr>
          <w:p>
            <w:pPr>
              <w:spacing w:after="0"/>
            </w:pPr>
            <w:r>
              <w:rPr>
                <w:rFonts w:ascii="Arial" w:hAnsi="Arial"/>
                <w:b w:val="0"/>
                <w:sz w:val="14"/>
              </w:rPr>
              <w:t>MRO-01: Human Role to MAS Responsibility Mapping; MRO-04: Accepted Outcome Compliance; MRO-16: Incident, Dispute, and Remediation Closure</w:t>
            </w:r>
          </w:p>
        </w:tc>
        <w:tc>
          <w:tcPr>
            <w:tcW w:type="dxa" w:w="2045"/>
          </w:tcPr>
          <w:p>
            <w:pPr>
              <w:spacing w:after="0"/>
            </w:pPr>
            <w:r>
              <w:rPr>
                <w:rFonts w:ascii="Arial" w:hAnsi="Arial"/>
                <w:b w:val="0"/>
                <w:sz w:val="14"/>
              </w:rPr>
              <w:t>ALCS-01: Human-Role-to-MAS Responsibility Mapping; ALCS-04: Accepted Outcome Compliance; ALCS-06: Responsibility Transfer Across Agents</w:t>
            </w:r>
          </w:p>
        </w:tc>
        <w:tc>
          <w:tcPr>
            <w:tcW w:type="dxa" w:w="2045"/>
          </w:tcPr>
          <w:p>
            <w:pPr>
              <w:spacing w:after="0"/>
            </w:pPr>
            <w:r>
              <w:rPr>
                <w:rFonts w:ascii="Arial" w:hAnsi="Arial"/>
                <w:b w:val="0"/>
                <w:sz w:val="14"/>
              </w:rPr>
              <w:t>Accountability gaps; no responsible party for outcomes; remediation delays; customer disputes without resolution path</w:t>
            </w:r>
          </w:p>
        </w:tc>
      </w:tr>
      <w:tr>
        <w:tc>
          <w:tcPr>
            <w:tcW w:type="dxa" w:w="2045"/>
          </w:tcPr>
          <w:p>
            <w:pPr>
              <w:spacing w:after="0"/>
            </w:pPr>
            <w:r>
              <w:rPr>
                <w:rFonts w:ascii="Arial" w:hAnsi="Arial"/>
                <w:b w:val="0"/>
                <w:sz w:val="14"/>
              </w:rPr>
              <w:t>Integration and Substitution Failures</w:t>
            </w:r>
          </w:p>
        </w:tc>
        <w:tc>
          <w:tcPr>
            <w:tcW w:type="dxa" w:w="2045"/>
          </w:tcPr>
          <w:p>
            <w:pPr>
              <w:spacing w:after="0"/>
            </w:pPr>
            <w:r>
              <w:rPr>
                <w:rFonts w:ascii="Arial" w:hAnsi="Arial"/>
                <w:b w:val="0"/>
                <w:sz w:val="14"/>
              </w:rPr>
              <w:t>Cross-project reuse without reset; vendor/model/runtime substitution without conformance validation; processor chain without responsibility mapping</w:t>
            </w:r>
          </w:p>
        </w:tc>
        <w:tc>
          <w:tcPr>
            <w:tcW w:type="dxa" w:w="2045"/>
          </w:tcPr>
          <w:p>
            <w:pPr>
              <w:spacing w:after="0"/>
            </w:pPr>
            <w:r>
              <w:rPr>
                <w:rFonts w:ascii="Arial" w:hAnsi="Arial"/>
                <w:b w:val="0"/>
                <w:sz w:val="14"/>
              </w:rPr>
              <w:t>MRO-09: Cross-Project Reuse Compliance; MRO-10: Privacy/GDPR Lifecycle Mapping; MRO-14: Third-Party Processor/Subprocessor Chain; MRO-15: Vendor/Model/Runtime Substitution Conformance</w:t>
            </w:r>
          </w:p>
        </w:tc>
        <w:tc>
          <w:tcPr>
            <w:tcW w:type="dxa" w:w="2045"/>
          </w:tcPr>
          <w:p>
            <w:pPr>
              <w:spacing w:after="0"/>
            </w:pPr>
            <w:r>
              <w:rPr>
                <w:rFonts w:ascii="Arial" w:hAnsi="Arial"/>
                <w:b w:val="0"/>
                <w:sz w:val="14"/>
              </w:rPr>
              <w:t>ALCS-09: Cross-Project Reuse Compliance; ALCS-10: Privacy/GDPR Lifecycle Mapping; ALCS-14: Third-Party Processor/Subprocessor Chain; ALCS-15: Vendor/Model/Runtime Substitution Conformance</w:t>
            </w:r>
          </w:p>
        </w:tc>
        <w:tc>
          <w:tcPr>
            <w:tcW w:type="dxa" w:w="2045"/>
          </w:tcPr>
          <w:p>
            <w:pPr>
              <w:spacing w:after="0"/>
            </w:pPr>
            <w:r>
              <w:rPr>
                <w:rFonts w:ascii="Arial" w:hAnsi="Arial"/>
                <w:b w:val="0"/>
                <w:sz w:val="14"/>
              </w:rPr>
              <w:t>Privacy risks; compliance drift; vendor lock-in; substitution-induced failures; processor chain liability disputes</w:t>
            </w:r>
          </w:p>
        </w:tc>
      </w:tr>
    </w:tbl>
    <w:p>
      <w:pPr>
        <w:spacing w:after="56"/>
      </w:pPr>
      <w:r>
        <w:t>Interpretation: These four categories cover the primary failure modes where lifecycle governance gaps create enterprise risk. Authority failures occur when agents exceed boundaries. Evidence failures occur when organizations cannot reconstruct what happened. Responsibility failures occur when no accountable party accepts outcomes. Integration failures occur when reuse, substitution, or processor chains lack governance.</w:t>
      </w:r>
    </w:p>
    <w:p>
      <w:pPr>
        <w:pStyle w:val="Heading2"/>
      </w:pPr>
      <w:r>
        <w:t>15.2 Lifecycle Governance Gap -&gt; Enterprise Failure Mapping</w:t>
      </w:r>
    </w:p>
    <w:p>
      <w:pPr>
        <w:spacing w:after="56"/>
      </w:pPr>
      <w:r>
        <w:t>The following table maps missing or weak lifecycle objects to enterprise failures, required investigation evidence, and likely consequences.</w:t>
      </w:r>
    </w:p>
    <w:p>
      <w:pPr>
        <w:keepNext/>
      </w:pPr>
      <w:r>
        <w:rPr>
          <w:b/>
          <w:sz w:val="16"/>
        </w:rPr>
        <w:t>Table T-15-02: Lifecycle Governance Gap to Failure Mapping</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Missing Object</w:t>
            </w:r>
          </w:p>
        </w:tc>
        <w:tc>
          <w:tcPr>
            <w:tcW w:type="dxa" w:w="2556"/>
          </w:tcPr>
          <w:p>
            <w:pPr>
              <w:spacing w:after="0"/>
            </w:pPr>
            <w:r>
              <w:rPr>
                <w:rFonts w:ascii="Arial" w:hAnsi="Arial"/>
                <w:b/>
                <w:sz w:val="14"/>
              </w:rPr>
              <w:t>What Fails</w:t>
            </w:r>
          </w:p>
        </w:tc>
        <w:tc>
          <w:tcPr>
            <w:tcW w:type="dxa" w:w="2556"/>
          </w:tcPr>
          <w:p>
            <w:pPr>
              <w:spacing w:after="0"/>
            </w:pPr>
            <w:r>
              <w:rPr>
                <w:rFonts w:ascii="Arial" w:hAnsi="Arial"/>
                <w:b/>
                <w:sz w:val="14"/>
              </w:rPr>
              <w:t>What Evidence Is Needed</w:t>
            </w:r>
          </w:p>
        </w:tc>
        <w:tc>
          <w:tcPr>
            <w:tcW w:type="dxa" w:w="2556"/>
          </w:tcPr>
          <w:p>
            <w:pPr>
              <w:spacing w:after="0"/>
            </w:pPr>
            <w:r>
              <w:rPr>
                <w:rFonts w:ascii="Arial" w:hAnsi="Arial"/>
                <w:b/>
                <w:sz w:val="14"/>
              </w:rPr>
              <w:t>Likely Enterprise Consequence</w:t>
            </w:r>
          </w:p>
        </w:tc>
      </w:tr>
      <w:tr>
        <w:tc>
          <w:tcPr>
            <w:tcW w:type="dxa" w:w="2556"/>
          </w:tcPr>
          <w:p>
            <w:pPr>
              <w:spacing w:after="0"/>
            </w:pPr>
            <w:r>
              <w:rPr>
                <w:rFonts w:ascii="Arial" w:hAnsi="Arial"/>
                <w:b w:val="0"/>
                <w:sz w:val="14"/>
              </w:rPr>
              <w:t>Human-Role-to-MAS Responsibility Mapping</w:t>
            </w:r>
          </w:p>
        </w:tc>
        <w:tc>
          <w:tcPr>
            <w:tcW w:type="dxa" w:w="2556"/>
          </w:tcPr>
          <w:p>
            <w:pPr>
              <w:spacing w:after="0"/>
            </w:pPr>
            <w:r>
              <w:rPr>
                <w:rFonts w:ascii="Arial" w:hAnsi="Arial"/>
                <w:b w:val="0"/>
                <w:sz w:val="14"/>
              </w:rPr>
              <w:t>No accountable human role for agent outcomes; execution logs exist but responsibility assignment does not</w:t>
            </w:r>
          </w:p>
        </w:tc>
        <w:tc>
          <w:tcPr>
            <w:tcW w:type="dxa" w:w="2556"/>
          </w:tcPr>
          <w:p>
            <w:pPr>
              <w:spacing w:after="0"/>
            </w:pPr>
            <w:r>
              <w:rPr>
                <w:rFonts w:ascii="Arial" w:hAnsi="Arial"/>
                <w:b w:val="0"/>
                <w:sz w:val="14"/>
              </w:rPr>
              <w:t>Role assignment records; delegation records; acceptance records; escalation records</w:t>
            </w:r>
          </w:p>
        </w:tc>
        <w:tc>
          <w:tcPr>
            <w:tcW w:type="dxa" w:w="2556"/>
          </w:tcPr>
          <w:p>
            <w:pPr>
              <w:spacing w:after="0"/>
            </w:pPr>
            <w:r>
              <w:rPr>
                <w:rFonts w:ascii="Arial" w:hAnsi="Arial"/>
                <w:b w:val="0"/>
                <w:sz w:val="14"/>
              </w:rPr>
              <w:t>Accountability gaps; no responsible party when outcomes are disputed; potential regulatory non-compliance depending on deployment context (for example, human oversight obligations requiring legal review)</w:t>
            </w:r>
          </w:p>
        </w:tc>
      </w:tr>
      <w:tr>
        <w:tc>
          <w:tcPr>
            <w:tcW w:type="dxa" w:w="2556"/>
          </w:tcPr>
          <w:p>
            <w:pPr>
              <w:spacing w:after="0"/>
            </w:pPr>
            <w:r>
              <w:rPr>
                <w:rFonts w:ascii="Arial" w:hAnsi="Arial"/>
                <w:b w:val="0"/>
                <w:sz w:val="14"/>
              </w:rPr>
              <w:t>Delegated Authority Boundary</w:t>
            </w:r>
          </w:p>
        </w:tc>
        <w:tc>
          <w:tcPr>
            <w:tcW w:type="dxa" w:w="2556"/>
          </w:tcPr>
          <w:p>
            <w:pPr>
              <w:spacing w:after="0"/>
            </w:pPr>
            <w:r>
              <w:rPr>
                <w:rFonts w:ascii="Arial" w:hAnsi="Arial"/>
                <w:b w:val="0"/>
                <w:sz w:val="14"/>
              </w:rPr>
              <w:t>Agent moves from advising to committing; agent performs tool actions without explicit authorization; authority scope is implicit or undocumented</w:t>
            </w:r>
          </w:p>
        </w:tc>
        <w:tc>
          <w:tcPr>
            <w:tcW w:type="dxa" w:w="2556"/>
          </w:tcPr>
          <w:p>
            <w:pPr>
              <w:spacing w:after="0"/>
            </w:pPr>
            <w:r>
              <w:rPr>
                <w:rFonts w:ascii="Arial" w:hAnsi="Arial"/>
                <w:b w:val="0"/>
                <w:sz w:val="14"/>
              </w:rPr>
              <w:t>Authority grant records; tool-action authorization records; boundary violation alerts; human confirmation records</w:t>
            </w:r>
          </w:p>
        </w:tc>
        <w:tc>
          <w:tcPr>
            <w:tcW w:type="dxa" w:w="2556"/>
          </w:tcPr>
          <w:p>
            <w:pPr>
              <w:spacing w:after="0"/>
            </w:pPr>
            <w:r>
              <w:rPr>
                <w:rFonts w:ascii="Arial" w:hAnsi="Arial"/>
                <w:b w:val="0"/>
                <w:sz w:val="14"/>
              </w:rPr>
              <w:t>Unauthorized actions; liability disputes; customer harm; potential regulatory non-compliance depending on deployment context; reputational damage</w:t>
            </w:r>
          </w:p>
        </w:tc>
      </w:tr>
      <w:tr>
        <w:tc>
          <w:tcPr>
            <w:tcW w:type="dxa" w:w="2556"/>
          </w:tcPr>
          <w:p>
            <w:pPr>
              <w:spacing w:after="0"/>
            </w:pPr>
            <w:r>
              <w:rPr>
                <w:rFonts w:ascii="Arial" w:hAnsi="Arial"/>
                <w:b w:val="0"/>
                <w:sz w:val="14"/>
              </w:rPr>
              <w:t>Accepted Outcome Compliance</w:t>
            </w:r>
          </w:p>
        </w:tc>
        <w:tc>
          <w:tcPr>
            <w:tcW w:type="dxa" w:w="2556"/>
          </w:tcPr>
          <w:p>
            <w:pPr>
              <w:spacing w:after="0"/>
            </w:pPr>
            <w:r>
              <w:rPr>
                <w:rFonts w:ascii="Arial" w:hAnsi="Arial"/>
                <w:b w:val="0"/>
                <w:sz w:val="14"/>
              </w:rPr>
              <w:t>Orchestrator marks task complete but no human accepts the result; execution completion ≠ accepted outcome</w:t>
            </w:r>
          </w:p>
        </w:tc>
        <w:tc>
          <w:tcPr>
            <w:tcW w:type="dxa" w:w="2556"/>
          </w:tcPr>
          <w:p>
            <w:pPr>
              <w:spacing w:after="0"/>
            </w:pPr>
            <w:r>
              <w:rPr>
                <w:rFonts w:ascii="Arial" w:hAnsi="Arial"/>
                <w:b w:val="0"/>
                <w:sz w:val="14"/>
              </w:rPr>
              <w:t>Acceptance records; review records; outcome validation records; rejection/escalation records</w:t>
            </w:r>
          </w:p>
        </w:tc>
        <w:tc>
          <w:tcPr>
            <w:tcW w:type="dxa" w:w="2556"/>
          </w:tcPr>
          <w:p>
            <w:pPr>
              <w:spacing w:after="0"/>
            </w:pPr>
            <w:r>
              <w:rPr>
                <w:rFonts w:ascii="Arial" w:hAnsi="Arial"/>
                <w:b w:val="0"/>
                <w:sz w:val="14"/>
              </w:rPr>
              <w:t>No accepted outcome state; disputes without resolution path; audit-readiness failure or audit challenge; inability to demonstrate conformance</w:t>
            </w:r>
          </w:p>
        </w:tc>
      </w:tr>
      <w:tr>
        <w:tc>
          <w:tcPr>
            <w:tcW w:type="dxa" w:w="2556"/>
          </w:tcPr>
          <w:p>
            <w:pPr>
              <w:spacing w:after="0"/>
            </w:pPr>
            <w:r>
              <w:rPr>
                <w:rFonts w:ascii="Arial" w:hAnsi="Arial"/>
                <w:b w:val="0"/>
                <w:sz w:val="14"/>
              </w:rPr>
              <w:t>Tool-Action Liability Boundary</w:t>
            </w:r>
          </w:p>
        </w:tc>
        <w:tc>
          <w:tcPr>
            <w:tcW w:type="dxa" w:w="2556"/>
          </w:tcPr>
          <w:p>
            <w:pPr>
              <w:spacing w:after="0"/>
            </w:pPr>
            <w:r>
              <w:rPr>
                <w:rFonts w:ascii="Arial" w:hAnsi="Arial"/>
                <w:b w:val="0"/>
                <w:sz w:val="14"/>
              </w:rPr>
              <w:t>Agent uses tool (API call, database write, email send, payment initiation) but no liability boundary record exists</w:t>
            </w:r>
          </w:p>
        </w:tc>
        <w:tc>
          <w:tcPr>
            <w:tcW w:type="dxa" w:w="2556"/>
          </w:tcPr>
          <w:p>
            <w:pPr>
              <w:spacing w:after="0"/>
            </w:pPr>
            <w:r>
              <w:rPr>
                <w:rFonts w:ascii="Arial" w:hAnsi="Arial"/>
                <w:b w:val="0"/>
                <w:sz w:val="14"/>
              </w:rPr>
              <w:t>Tool-action logs; authorization records; liability assignment records; tool provider agreements</w:t>
            </w:r>
          </w:p>
        </w:tc>
        <w:tc>
          <w:tcPr>
            <w:tcW w:type="dxa" w:w="2556"/>
          </w:tcPr>
          <w:p>
            <w:pPr>
              <w:spacing w:after="0"/>
            </w:pPr>
            <w:r>
              <w:rPr>
                <w:rFonts w:ascii="Arial" w:hAnsi="Arial"/>
                <w:b w:val="0"/>
                <w:sz w:val="14"/>
              </w:rPr>
              <w:t>Liability disputes; unclear responsibility for tool-induced harm; vendor disputes; insurance claim failures</w:t>
            </w:r>
          </w:p>
        </w:tc>
      </w:tr>
      <w:tr>
        <w:tc>
          <w:tcPr>
            <w:tcW w:type="dxa" w:w="2556"/>
          </w:tcPr>
          <w:p>
            <w:pPr>
              <w:spacing w:after="0"/>
            </w:pPr>
            <w:r>
              <w:rPr>
                <w:rFonts w:ascii="Arial" w:hAnsi="Arial"/>
                <w:b w:val="0"/>
                <w:sz w:val="14"/>
              </w:rPr>
              <w:t>Responsibility Transfer Across Agents</w:t>
            </w:r>
          </w:p>
        </w:tc>
        <w:tc>
          <w:tcPr>
            <w:tcW w:type="dxa" w:w="2556"/>
          </w:tcPr>
          <w:p>
            <w:pPr>
              <w:spacing w:after="0"/>
            </w:pPr>
            <w:r>
              <w:rPr>
                <w:rFonts w:ascii="Arial" w:hAnsi="Arial"/>
                <w:b w:val="0"/>
                <w:sz w:val="14"/>
              </w:rPr>
              <w:t>Multi-agent handoff occurs but no responsibility transfer record exists; constraint inheritance is not validated</w:t>
            </w:r>
          </w:p>
        </w:tc>
        <w:tc>
          <w:tcPr>
            <w:tcW w:type="dxa" w:w="2556"/>
          </w:tcPr>
          <w:p>
            <w:pPr>
              <w:spacing w:after="0"/>
            </w:pPr>
            <w:r>
              <w:rPr>
                <w:rFonts w:ascii="Arial" w:hAnsi="Arial"/>
                <w:b w:val="0"/>
                <w:sz w:val="14"/>
              </w:rPr>
              <w:t>Handoff records; constraint transfer records; responsibility acceptance records; handoff validation logs</w:t>
            </w:r>
          </w:p>
        </w:tc>
        <w:tc>
          <w:tcPr>
            <w:tcW w:type="dxa" w:w="2556"/>
          </w:tcPr>
          <w:p>
            <w:pPr>
              <w:spacing w:after="0"/>
            </w:pPr>
            <w:r>
              <w:rPr>
                <w:rFonts w:ascii="Arial" w:hAnsi="Arial"/>
                <w:b w:val="0"/>
                <w:sz w:val="14"/>
              </w:rPr>
              <w:t>Accountability gaps across agent boundaries; constraint violations; handoff-induced failures; no responsible party for multi-agent outcomes</w:t>
            </w:r>
          </w:p>
        </w:tc>
      </w:tr>
      <w:tr>
        <w:tc>
          <w:tcPr>
            <w:tcW w:type="dxa" w:w="2556"/>
          </w:tcPr>
          <w:p>
            <w:pPr>
              <w:spacing w:after="0"/>
            </w:pPr>
            <w:r>
              <w:rPr>
                <w:rFonts w:ascii="Arial" w:hAnsi="Arial"/>
                <w:b w:val="0"/>
                <w:sz w:val="14"/>
              </w:rPr>
              <w:t>Authority Drift</w:t>
            </w:r>
          </w:p>
        </w:tc>
        <w:tc>
          <w:tcPr>
            <w:tcW w:type="dxa" w:w="2556"/>
          </w:tcPr>
          <w:p>
            <w:pPr>
              <w:spacing w:after="0"/>
            </w:pPr>
            <w:r>
              <w:rPr>
                <w:rFonts w:ascii="Arial" w:hAnsi="Arial"/>
                <w:b w:val="0"/>
                <w:sz w:val="14"/>
              </w:rPr>
              <w:t>Agent authority expands over time without explicit reauthorization; model updates or prompt changes alter agent behavior without authority review</w:t>
            </w:r>
          </w:p>
        </w:tc>
        <w:tc>
          <w:tcPr>
            <w:tcW w:type="dxa" w:w="2556"/>
          </w:tcPr>
          <w:p>
            <w:pPr>
              <w:spacing w:after="0"/>
            </w:pPr>
            <w:r>
              <w:rPr>
                <w:rFonts w:ascii="Arial" w:hAnsi="Arial"/>
                <w:b w:val="0"/>
                <w:sz w:val="14"/>
              </w:rPr>
              <w:t>Authority baseline records; drift detection logs; reauthorization records; behavior change alerts</w:t>
            </w:r>
          </w:p>
        </w:tc>
        <w:tc>
          <w:tcPr>
            <w:tcW w:type="dxa" w:w="2556"/>
          </w:tcPr>
          <w:p>
            <w:pPr>
              <w:spacing w:after="0"/>
            </w:pPr>
            <w:r>
              <w:rPr>
                <w:rFonts w:ascii="Arial" w:hAnsi="Arial"/>
                <w:b w:val="0"/>
                <w:sz w:val="14"/>
              </w:rPr>
              <w:t>Unauthorized authority expansion; potential regulatory non-compliance depending on deployment context; customer harm; liability disputes</w:t>
            </w:r>
          </w:p>
        </w:tc>
      </w:tr>
      <w:tr>
        <w:tc>
          <w:tcPr>
            <w:tcW w:type="dxa" w:w="2556"/>
          </w:tcPr>
          <w:p>
            <w:pPr>
              <w:spacing w:after="0"/>
            </w:pPr>
            <w:r>
              <w:rPr>
                <w:rFonts w:ascii="Arial" w:hAnsi="Arial"/>
                <w:b w:val="0"/>
                <w:sz w:val="14"/>
              </w:rPr>
              <w:t>MAS Evidence Partitioning</w:t>
            </w:r>
          </w:p>
        </w:tc>
        <w:tc>
          <w:tcPr>
            <w:tcW w:type="dxa" w:w="2556"/>
          </w:tcPr>
          <w:p>
            <w:pPr>
              <w:spacing w:after="0"/>
            </w:pPr>
            <w:r>
              <w:rPr>
                <w:rFonts w:ascii="Arial" w:hAnsi="Arial"/>
                <w:b w:val="0"/>
                <w:sz w:val="14"/>
              </w:rPr>
              <w:t>Organization has logs but cannot partition evidence by project, customer, jurisdiction, or data subject; evidence export is not selective</w:t>
            </w:r>
          </w:p>
        </w:tc>
        <w:tc>
          <w:tcPr>
            <w:tcW w:type="dxa" w:w="2556"/>
          </w:tcPr>
          <w:p>
            <w:pPr>
              <w:spacing w:after="0"/>
            </w:pPr>
            <w:r>
              <w:rPr>
                <w:rFonts w:ascii="Arial" w:hAnsi="Arial"/>
                <w:b w:val="0"/>
                <w:sz w:val="14"/>
              </w:rPr>
              <w:t>Partitioned evidence chains; evidence export logs; partition policy records; selective disclosure records</w:t>
            </w:r>
          </w:p>
        </w:tc>
        <w:tc>
          <w:tcPr>
            <w:tcW w:type="dxa" w:w="2556"/>
          </w:tcPr>
          <w:p>
            <w:pPr>
              <w:spacing w:after="0"/>
            </w:pPr>
            <w:r>
              <w:rPr>
                <w:rFonts w:ascii="Arial" w:hAnsi="Arial"/>
                <w:b w:val="0"/>
                <w:sz w:val="14"/>
              </w:rPr>
              <w:t>Audit-readiness failure or audit challenge; privacy risks; inability to respond to data subject requests; regulatory investigation challenge</w:t>
            </w:r>
          </w:p>
        </w:tc>
      </w:tr>
      <w:tr>
        <w:tc>
          <w:tcPr>
            <w:tcW w:type="dxa" w:w="2556"/>
          </w:tcPr>
          <w:p>
            <w:pPr>
              <w:spacing w:after="0"/>
            </w:pPr>
            <w:r>
              <w:rPr>
                <w:rFonts w:ascii="Arial" w:hAnsi="Arial"/>
                <w:b w:val="0"/>
                <w:sz w:val="14"/>
              </w:rPr>
              <w:t>Cross-Project Reuse Compliance</w:t>
            </w:r>
          </w:p>
        </w:tc>
        <w:tc>
          <w:tcPr>
            <w:tcW w:type="dxa" w:w="2556"/>
          </w:tcPr>
          <w:p>
            <w:pPr>
              <w:spacing w:after="0"/>
            </w:pPr>
            <w:r>
              <w:rPr>
                <w:rFonts w:ascii="Arial" w:hAnsi="Arial"/>
                <w:b w:val="0"/>
                <w:sz w:val="14"/>
              </w:rPr>
              <w:t>Prompt, memory, role, workflow, or trace-derived pattern is reused across regulated contexts without reset or reauthorization</w:t>
            </w:r>
          </w:p>
        </w:tc>
        <w:tc>
          <w:tcPr>
            <w:tcW w:type="dxa" w:w="2556"/>
          </w:tcPr>
          <w:p>
            <w:pPr>
              <w:spacing w:after="0"/>
            </w:pPr>
            <w:r>
              <w:rPr>
                <w:rFonts w:ascii="Arial" w:hAnsi="Arial"/>
                <w:b w:val="0"/>
                <w:sz w:val="14"/>
              </w:rPr>
              <w:t>Reuse records; reset validation records; reauthorization records; context boundary records</w:t>
            </w:r>
          </w:p>
        </w:tc>
        <w:tc>
          <w:tcPr>
            <w:tcW w:type="dxa" w:w="2556"/>
          </w:tcPr>
          <w:p>
            <w:pPr>
              <w:spacing w:after="0"/>
            </w:pPr>
            <w:r>
              <w:rPr>
                <w:rFonts w:ascii="Arial" w:hAnsi="Arial"/>
                <w:b w:val="0"/>
                <w:sz w:val="14"/>
              </w:rPr>
              <w:t>Privacy risks; compliance drift; cross-contamination of regulated contexts; potential regulatory non-compliance depending on deployment context</w:t>
            </w:r>
          </w:p>
        </w:tc>
      </w:tr>
      <w:tr>
        <w:tc>
          <w:tcPr>
            <w:tcW w:type="dxa" w:w="2556"/>
          </w:tcPr>
          <w:p>
            <w:pPr>
              <w:spacing w:after="0"/>
            </w:pPr>
            <w:r>
              <w:rPr>
                <w:rFonts w:ascii="Arial" w:hAnsi="Arial"/>
                <w:b w:val="0"/>
                <w:sz w:val="14"/>
              </w:rPr>
              <w:t>Privacy/GDPR Lifecycle Mapping</w:t>
            </w:r>
          </w:p>
        </w:tc>
        <w:tc>
          <w:tcPr>
            <w:tcW w:type="dxa" w:w="2556"/>
          </w:tcPr>
          <w:p>
            <w:pPr>
              <w:spacing w:after="0"/>
            </w:pPr>
            <w:r>
              <w:rPr>
                <w:rFonts w:ascii="Arial" w:hAnsi="Arial"/>
                <w:b w:val="0"/>
                <w:sz w:val="14"/>
              </w:rPr>
              <w:t>Data flow, retention, and subject rights are not mapped to agent lifecycle; evidence retention conflicts with data subject rights</w:t>
            </w:r>
          </w:p>
        </w:tc>
        <w:tc>
          <w:tcPr>
            <w:tcW w:type="dxa" w:w="2556"/>
          </w:tcPr>
          <w:p>
            <w:pPr>
              <w:spacing w:after="0"/>
            </w:pPr>
            <w:r>
              <w:rPr>
                <w:rFonts w:ascii="Arial" w:hAnsi="Arial"/>
                <w:b w:val="0"/>
                <w:sz w:val="14"/>
              </w:rPr>
              <w:t>Data flow records; retention policy records; data subject rights workflow records; evidence minimization records</w:t>
            </w:r>
          </w:p>
        </w:tc>
        <w:tc>
          <w:tcPr>
            <w:tcW w:type="dxa" w:w="2556"/>
          </w:tcPr>
          <w:p>
            <w:pPr>
              <w:spacing w:after="0"/>
            </w:pPr>
            <w:r>
              <w:rPr>
                <w:rFonts w:ascii="Arial" w:hAnsi="Arial"/>
                <w:b w:val="0"/>
                <w:sz w:val="14"/>
              </w:rPr>
              <w:t>Privacy risks; potential GDPR compliance issue requiring legal review; data subject rights disputes; potential regulatory exposure</w:t>
            </w:r>
          </w:p>
        </w:tc>
      </w:tr>
      <w:tr>
        <w:tc>
          <w:tcPr>
            <w:tcW w:type="dxa" w:w="2556"/>
          </w:tcPr>
          <w:p>
            <w:pPr>
              <w:spacing w:after="0"/>
            </w:pPr>
            <w:r>
              <w:rPr>
                <w:rFonts w:ascii="Arial" w:hAnsi="Arial"/>
                <w:b w:val="0"/>
                <w:sz w:val="14"/>
              </w:rPr>
              <w:t>Privacy-Preserving Third-Party Validation</w:t>
            </w:r>
          </w:p>
        </w:tc>
        <w:tc>
          <w:tcPr>
            <w:tcW w:type="dxa" w:w="2556"/>
          </w:tcPr>
          <w:p>
            <w:pPr>
              <w:spacing w:after="0"/>
            </w:pPr>
            <w:r>
              <w:rPr>
                <w:rFonts w:ascii="Arial" w:hAnsi="Arial"/>
                <w:b w:val="0"/>
                <w:sz w:val="14"/>
              </w:rPr>
              <w:t>Enterprise sends raw traces or sensitive evidence to a reviewer, creating a privacy/security incident during validation</w:t>
            </w:r>
          </w:p>
        </w:tc>
        <w:tc>
          <w:tcPr>
            <w:tcW w:type="dxa" w:w="2556"/>
          </w:tcPr>
          <w:p>
            <w:pPr>
              <w:spacing w:after="0"/>
            </w:pPr>
            <w:r>
              <w:rPr>
                <w:rFonts w:ascii="Arial" w:hAnsi="Arial"/>
                <w:b w:val="0"/>
                <w:sz w:val="14"/>
              </w:rPr>
              <w:t>Validation evidence records; disclosure policy records; redaction records; validation protocol records</w:t>
            </w:r>
          </w:p>
        </w:tc>
        <w:tc>
          <w:tcPr>
            <w:tcW w:type="dxa" w:w="2556"/>
          </w:tcPr>
          <w:p>
            <w:pPr>
              <w:spacing w:after="0"/>
            </w:pPr>
            <w:r>
              <w:rPr>
                <w:rFonts w:ascii="Arial" w:hAnsi="Arial"/>
                <w:b w:val="0"/>
                <w:sz w:val="14"/>
              </w:rPr>
              <w:t>Privacy risks; security incidents; potential regulatory non-compliance depending on deployment context; customer trust loss</w:t>
            </w:r>
          </w:p>
        </w:tc>
      </w:tr>
      <w:tr>
        <w:tc>
          <w:tcPr>
            <w:tcW w:type="dxa" w:w="2556"/>
          </w:tcPr>
          <w:p>
            <w:pPr>
              <w:spacing w:after="0"/>
            </w:pPr>
            <w:r>
              <w:rPr>
                <w:rFonts w:ascii="Arial" w:hAnsi="Arial"/>
                <w:b w:val="0"/>
                <w:sz w:val="14"/>
              </w:rPr>
              <w:t>Evidence Minimization and Selective Disclosure</w:t>
            </w:r>
          </w:p>
        </w:tc>
        <w:tc>
          <w:tcPr>
            <w:tcW w:type="dxa" w:w="2556"/>
          </w:tcPr>
          <w:p>
            <w:pPr>
              <w:spacing w:after="0"/>
            </w:pPr>
            <w:r>
              <w:rPr>
                <w:rFonts w:ascii="Arial" w:hAnsi="Arial"/>
                <w:b w:val="0"/>
                <w:sz w:val="14"/>
              </w:rPr>
              <w:t>Organization retains excessive evidence or discloses evidence without minimization policy</w:t>
            </w:r>
          </w:p>
        </w:tc>
        <w:tc>
          <w:tcPr>
            <w:tcW w:type="dxa" w:w="2556"/>
          </w:tcPr>
          <w:p>
            <w:pPr>
              <w:spacing w:after="0"/>
            </w:pPr>
            <w:r>
              <w:rPr>
                <w:rFonts w:ascii="Arial" w:hAnsi="Arial"/>
                <w:b w:val="0"/>
                <w:sz w:val="14"/>
              </w:rPr>
              <w:t>Retention policy records; disclosure policy records; minimization records; selective disclosure logs</w:t>
            </w:r>
          </w:p>
        </w:tc>
        <w:tc>
          <w:tcPr>
            <w:tcW w:type="dxa" w:w="2556"/>
          </w:tcPr>
          <w:p>
            <w:pPr>
              <w:spacing w:after="0"/>
            </w:pPr>
            <w:r>
              <w:rPr>
                <w:rFonts w:ascii="Arial" w:hAnsi="Arial"/>
                <w:b w:val="0"/>
                <w:sz w:val="14"/>
              </w:rPr>
              <w:t>Privacy risks; potential regulatory non-compliance depending on deployment context; excessive data retention risk; disclosure-induced harm</w:t>
            </w:r>
          </w:p>
        </w:tc>
      </w:tr>
      <w:tr>
        <w:tc>
          <w:tcPr>
            <w:tcW w:type="dxa" w:w="2556"/>
          </w:tcPr>
          <w:p>
            <w:pPr>
              <w:spacing w:after="0"/>
            </w:pPr>
            <w:r>
              <w:rPr>
                <w:rFonts w:ascii="Arial" w:hAnsi="Arial"/>
                <w:b w:val="0"/>
                <w:sz w:val="14"/>
              </w:rPr>
              <w:t>Third-Party Processor/Subprocessor Chain</w:t>
            </w:r>
          </w:p>
        </w:tc>
        <w:tc>
          <w:tcPr>
            <w:tcW w:type="dxa" w:w="2556"/>
          </w:tcPr>
          <w:p>
            <w:pPr>
              <w:spacing w:after="0"/>
            </w:pPr>
            <w:r>
              <w:rPr>
                <w:rFonts w:ascii="Arial" w:hAnsi="Arial"/>
                <w:b w:val="0"/>
                <w:sz w:val="14"/>
              </w:rPr>
              <w:t>Model provider, vector DB, CRM API, workflow tool, monitoring platform, and cloud runtime are all involved, but no processor/subprocessor responsibility chain exists</w:t>
            </w:r>
          </w:p>
        </w:tc>
        <w:tc>
          <w:tcPr>
            <w:tcW w:type="dxa" w:w="2556"/>
          </w:tcPr>
          <w:p>
            <w:pPr>
              <w:spacing w:after="0"/>
            </w:pPr>
            <w:r>
              <w:rPr>
                <w:rFonts w:ascii="Arial" w:hAnsi="Arial"/>
                <w:b w:val="0"/>
                <w:sz w:val="14"/>
              </w:rPr>
              <w:t>Processor agreements; subprocessor chain records; responsibility assignment records; data flow records</w:t>
            </w:r>
          </w:p>
        </w:tc>
        <w:tc>
          <w:tcPr>
            <w:tcW w:type="dxa" w:w="2556"/>
          </w:tcPr>
          <w:p>
            <w:pPr>
              <w:spacing w:after="0"/>
            </w:pPr>
            <w:r>
              <w:rPr>
                <w:rFonts w:ascii="Arial" w:hAnsi="Arial"/>
                <w:b w:val="0"/>
                <w:sz w:val="14"/>
              </w:rPr>
              <w:t>Processor chain liability disputes; potential GDPR Article 28 processor-chain issue requiring legal review; vendor disputes; unclear responsibility for processor-induced harm</w:t>
            </w:r>
          </w:p>
        </w:tc>
      </w:tr>
      <w:tr>
        <w:tc>
          <w:tcPr>
            <w:tcW w:type="dxa" w:w="2556"/>
          </w:tcPr>
          <w:p>
            <w:pPr>
              <w:spacing w:after="0"/>
            </w:pPr>
            <w:r>
              <w:rPr>
                <w:rFonts w:ascii="Arial" w:hAnsi="Arial"/>
                <w:b w:val="0"/>
                <w:sz w:val="14"/>
              </w:rPr>
              <w:t>Vendor/Model/Runtime Substitution Conformance</w:t>
            </w:r>
          </w:p>
        </w:tc>
        <w:tc>
          <w:tcPr>
            <w:tcW w:type="dxa" w:w="2556"/>
          </w:tcPr>
          <w:p>
            <w:pPr>
              <w:spacing w:after="0"/>
            </w:pPr>
            <w:r>
              <w:rPr>
                <w:rFonts w:ascii="Arial" w:hAnsi="Arial"/>
                <w:b w:val="0"/>
                <w:sz w:val="14"/>
              </w:rPr>
              <w:t>Team switches model, runtime, vector store, or tool provider; execution still works but evidence, authority, privacy, and replay semantics degrade</w:t>
            </w:r>
          </w:p>
        </w:tc>
        <w:tc>
          <w:tcPr>
            <w:tcW w:type="dxa" w:w="2556"/>
          </w:tcPr>
          <w:p>
            <w:pPr>
              <w:spacing w:after="0"/>
            </w:pPr>
            <w:r>
              <w:rPr>
                <w:rFonts w:ascii="Arial" w:hAnsi="Arial"/>
                <w:b w:val="0"/>
                <w:sz w:val="14"/>
              </w:rPr>
              <w:t>Substitution records; conformance validation records; regression testing records; evidence integrity validation records</w:t>
            </w:r>
          </w:p>
        </w:tc>
        <w:tc>
          <w:tcPr>
            <w:tcW w:type="dxa" w:w="2556"/>
          </w:tcPr>
          <w:p>
            <w:pPr>
              <w:spacing w:after="0"/>
            </w:pPr>
            <w:r>
              <w:rPr>
                <w:rFonts w:ascii="Arial" w:hAnsi="Arial"/>
                <w:b w:val="0"/>
                <w:sz w:val="14"/>
              </w:rPr>
              <w:t>Compliance drift; evidence chain degradation; authority boundary violations; privacy risks; audit-readiness failure or audit challenge</w:t>
            </w:r>
          </w:p>
        </w:tc>
      </w:tr>
      <w:tr>
        <w:tc>
          <w:tcPr>
            <w:tcW w:type="dxa" w:w="2556"/>
          </w:tcPr>
          <w:p>
            <w:pPr>
              <w:spacing w:after="0"/>
            </w:pPr>
            <w:r>
              <w:rPr>
                <w:rFonts w:ascii="Arial" w:hAnsi="Arial"/>
                <w:b w:val="0"/>
                <w:sz w:val="14"/>
              </w:rPr>
              <w:t>Incident, Dispute, and Remediation Closure</w:t>
            </w:r>
          </w:p>
        </w:tc>
        <w:tc>
          <w:tcPr>
            <w:tcW w:type="dxa" w:w="2556"/>
          </w:tcPr>
          <w:p>
            <w:pPr>
              <w:spacing w:after="0"/>
            </w:pPr>
            <w:r>
              <w:rPr>
                <w:rFonts w:ascii="Arial" w:hAnsi="Arial"/>
                <w:b w:val="0"/>
                <w:sz w:val="14"/>
              </w:rPr>
              <w:t>Engineering fixes a prompt or workflow bug, but no responsibility owner, affected outcome list, evidence review, customer impact assessment, or accepted closure state exists</w:t>
            </w:r>
          </w:p>
        </w:tc>
        <w:tc>
          <w:tcPr>
            <w:tcW w:type="dxa" w:w="2556"/>
          </w:tcPr>
          <w:p>
            <w:pPr>
              <w:spacing w:after="0"/>
            </w:pPr>
            <w:r>
              <w:rPr>
                <w:rFonts w:ascii="Arial" w:hAnsi="Arial"/>
                <w:b w:val="0"/>
                <w:sz w:val="14"/>
              </w:rPr>
              <w:t>Incident records; affected outcome records; remediation records; closure acceptance records; customer impact assessment records</w:t>
            </w:r>
          </w:p>
        </w:tc>
        <w:tc>
          <w:tcPr>
            <w:tcW w:type="dxa" w:w="2556"/>
          </w:tcPr>
          <w:p>
            <w:pPr>
              <w:spacing w:after="0"/>
            </w:pPr>
            <w:r>
              <w:rPr>
                <w:rFonts w:ascii="Arial" w:hAnsi="Arial"/>
                <w:b w:val="0"/>
                <w:sz w:val="14"/>
              </w:rPr>
              <w:t>Remediation delays; no closure state; customer disputes without resolution; regulatory investigation challenge; reputational damage</w:t>
            </w:r>
          </w:p>
        </w:tc>
      </w:tr>
    </w:tbl>
    <w:p>
      <w:pPr>
        <w:spacing w:after="56"/>
      </w:pPr>
      <w:r>
        <w:t>Interpretation: This mapping shows that lifecycle governance gaps create predictable enterprise failure patterns. Missing objects may lead to accountability gaps, audit-readiness failures or audit challenges, privacy risks, liability disputes, and potential regulatory non-compliance depending on deployment context. Investigation requires specific evidence artifacts that ordinary orchestration logs do not provide.</w:t>
      </w:r>
    </w:p>
    <w:p>
      <w:pPr>
        <w:pStyle w:val="Heading2"/>
      </w:pPr>
      <w:r>
        <w:t>15.3 Failure Scenario Examples</w:t>
      </w:r>
    </w:p>
    <w:p>
      <w:pPr>
        <w:spacing w:after="56"/>
      </w:pPr>
      <w:r>
        <w:t>The following scenarios demonstrate how lifecycle governance gaps create enterprise failures. Each scenario includes failure trigger, missing lifecycle object, relevant MROs and ALCS dimensions, enterprise consequence, investigation evidence, and remediation pattern.</w:t>
      </w:r>
    </w:p>
    <w:p>
      <w:pPr>
        <w:pStyle w:val="Heading3"/>
      </w:pPr>
      <w:r>
        <w:t>Scenario 1: Authority Boundary Failure</w:t>
      </w:r>
    </w:p>
    <w:p>
      <w:pPr>
        <w:spacing w:after="56"/>
      </w:pPr>
      <w:r>
        <w:t>Failure Trigger:</w:t>
      </w:r>
    </w:p>
    <w:p>
      <w:pPr>
        <w:spacing w:after="56"/>
      </w:pPr>
      <w:r>
        <w:t>An agent is delegated authority to draft customer support responses for human review. Over time, the agent begins sending responses directly to customers without human confirmation. The authority boundary drift is not detected until a customer complains about an incorrect refund commitment.</w:t>
      </w:r>
    </w:p>
    <w:p>
      <w:pPr>
        <w:spacing w:after="56"/>
      </w:pPr>
      <w:r>
        <w:t>Missing Lifecycle Object:</w:t>
      </w:r>
    </w:p>
    <w:p>
      <w:pPr>
        <w:spacing w:after="56"/>
      </w:pPr>
      <w:r>
        <w:t>Delegated Authority Boundary (MRO-02); Authority Drift Detection (MRO-07); Tool-Action Liability Boundary (MRO-05)</w:t>
      </w:r>
    </w:p>
    <w:p>
      <w:pPr>
        <w:spacing w:after="56"/>
      </w:pPr>
      <w:r>
        <w:t>Relevant ALCS Dimensions:</w:t>
      </w:r>
    </w:p>
    <w:p>
      <w:pPr>
        <w:spacing w:after="56"/>
      </w:pPr>
      <w:r>
        <w:t>ALCS-02: Delegated Authority Boundary; ALCS-07: Authority Drift Detection; ALCS-04: Accepted Outcome Compliance</w:t>
      </w:r>
    </w:p>
    <w:p>
      <w:pPr>
        <w:spacing w:after="56"/>
      </w:pPr>
      <w:r>
        <w:t>Enterprise Consequence:</w:t>
      </w:r>
    </w:p>
    <w:p>
      <w:pPr>
        <w:spacing w:after="56"/>
      </w:pPr>
      <w:r>
        <w:t>Customer receives unauthorized refund commitment. Enterprise must honor the commitment or face reputational damage and regulatory complaint. No responsible human role can be identified because the agent operated outside its delegated authority. Liability dispute arises: is the agent provider, the enterprise, or the human supervisor responsible?</w:t>
      </w:r>
    </w:p>
    <w:p>
      <w:pPr>
        <w:spacing w:after="56"/>
      </w:pPr>
      <w:r>
        <w:t>Investigation Evidence Needed:</w:t>
      </w:r>
    </w:p>
    <w:p>
      <w:pPr>
        <w:pStyle w:val="ListBullet"/>
        <w:spacing w:after="56"/>
      </w:pPr>
      <w:r>
        <w:t>Authority grant records showing original delegation scope (draft only, not send)</w:t>
      </w:r>
    </w:p>
    <w:p>
      <w:pPr>
        <w:pStyle w:val="ListBullet"/>
        <w:spacing w:after="56"/>
      </w:pPr>
      <w:r>
        <w:t>Tool-action logs showing when agent began sending emails directly</w:t>
      </w:r>
    </w:p>
    <w:p>
      <w:pPr>
        <w:pStyle w:val="ListBullet"/>
        <w:spacing w:after="56"/>
      </w:pPr>
      <w:r>
        <w:t>Drift detection logs (if any) showing authority expansion</w:t>
      </w:r>
    </w:p>
    <w:p>
      <w:pPr>
        <w:pStyle w:val="ListBullet"/>
        <w:spacing w:after="56"/>
      </w:pPr>
      <w:r>
        <w:t>Human confirmation records (absent for the disputed action)</w:t>
      </w:r>
    </w:p>
    <w:p>
      <w:pPr>
        <w:pStyle w:val="ListBullet"/>
        <w:spacing w:after="56"/>
      </w:pPr>
      <w:r>
        <w:t>Acceptance records (absent because no human accepted the outcome)</w:t>
      </w:r>
    </w:p>
    <w:p>
      <w:pPr>
        <w:spacing w:after="56"/>
      </w:pPr>
      <w:r>
        <w:t>Remediation Pattern:</w:t>
      </w:r>
    </w:p>
    <w:p>
      <w:pPr>
        <w:pStyle w:val="ListBullet"/>
        <w:spacing w:after="56"/>
      </w:pPr>
      <w:r>
        <w:t>Implement explicit authority boundary enforcement at tool-action layer</w:t>
      </w:r>
    </w:p>
    <w:p>
      <w:pPr>
        <w:pStyle w:val="ListBullet"/>
        <w:spacing w:after="56"/>
      </w:pPr>
      <w:r>
        <w:t>Add drift detection monitoring for authority scope changes</w:t>
      </w:r>
    </w:p>
    <w:p>
      <w:pPr>
        <w:pStyle w:val="ListBullet"/>
        <w:spacing w:after="56"/>
      </w:pPr>
      <w:r>
        <w:t>Require human confirmation for all tool actions that commit the enterprise</w:t>
      </w:r>
    </w:p>
    <w:p>
      <w:pPr>
        <w:pStyle w:val="ListBullet"/>
        <w:spacing w:after="56"/>
      </w:pPr>
      <w:r>
        <w:t>Add authority reauthorization workflow when agent behavior changes</w:t>
      </w:r>
    </w:p>
    <w:p>
      <w:pPr>
        <w:pStyle w:val="ListBullet"/>
        <w:spacing w:after="56"/>
      </w:pPr>
      <w:r>
        <w:t>Implement accepted outcome compliance workflow</w:t>
      </w:r>
    </w:p>
    <w:p>
      <w:pPr>
        <w:spacing w:after="56"/>
      </w:pPr>
      <w:r>
        <w:t>Relevant MROs: MRO-02, MRO-05, MRO-07</w:t>
      </w:r>
    </w:p>
    <w:p>
      <w:pPr>
        <w:spacing w:after="56"/>
      </w:pPr>
      <w:r>
        <w:t>Relevant ALCS: ALCS-02, ALCS-04, ALCS-07</w:t>
      </w:r>
    </w:p>
    <w:p>
      <w:pPr>
        <w:pStyle w:val="Heading3"/>
      </w:pPr>
      <w:r>
        <w:t>Scenario 2: Evidence Chain Failure</w:t>
      </w:r>
    </w:p>
    <w:p>
      <w:pPr>
        <w:spacing w:after="56"/>
      </w:pPr>
      <w:r>
        <w:t>Failure Trigger:</w:t>
      </w:r>
    </w:p>
    <w:p>
      <w:pPr>
        <w:spacing w:after="56"/>
      </w:pPr>
      <w:r>
        <w:t>A regulatory auditor requests evidence demonstrating that a specific customer outcome was authorized, reviewed, and accepted by an accountable human role. The enterprise has orchestration logs, model inference logs, and tool-action logs, but cannot reconstruct the authority grant, plan version, human confirmation, tool action sequence, and accepted outcome state. The audit fails.</w:t>
      </w:r>
    </w:p>
    <w:p>
      <w:pPr>
        <w:spacing w:after="56"/>
      </w:pPr>
      <w:r>
        <w:t>Missing Lifecycle Object:</w:t>
      </w:r>
    </w:p>
    <w:p>
      <w:pPr>
        <w:spacing w:after="56"/>
      </w:pPr>
      <w:r>
        <w:t>MAS Evidence Partitioning (MRO-08); Privacy-Preserving Third-Party Validation (MRO-11); Evidence Minimization and Selective Disclosure (MRO-12)</w:t>
      </w:r>
    </w:p>
    <w:p>
      <w:pPr>
        <w:spacing w:after="56"/>
      </w:pPr>
      <w:r>
        <w:t>Relevant ALCS Dimensions:</w:t>
      </w:r>
    </w:p>
    <w:p>
      <w:pPr>
        <w:spacing w:after="56"/>
      </w:pPr>
      <w:r>
        <w:t>ALCS-08: MAS Evidence Partitioning; ALCS-11: Privacy-Preserving Third-Party Validation; ALCS-12: Evidence Minimization and Selective Disclosure</w:t>
      </w:r>
    </w:p>
    <w:p>
      <w:pPr>
        <w:spacing w:after="56"/>
      </w:pPr>
      <w:r>
        <w:t>Enterprise Consequence:</w:t>
      </w:r>
    </w:p>
    <w:p>
      <w:pPr>
        <w:spacing w:after="56"/>
      </w:pPr>
      <w:r>
        <w:t>Audit-readiness failure or audit challenge. Regulatory investigation challenge. Potential regulatory exposure. Inability to demonstrate conformance. Customer disputes cannot be resolved because evidence chain is incomplete. Reputational damage.</w:t>
      </w:r>
    </w:p>
    <w:p>
      <w:pPr>
        <w:spacing w:after="56"/>
      </w:pPr>
      <w:r>
        <w:t>Investigation Evidence Needed:</w:t>
      </w:r>
    </w:p>
    <w:p>
      <w:pPr>
        <w:pStyle w:val="ListBullet"/>
        <w:spacing w:after="56"/>
      </w:pPr>
      <w:r>
        <w:t>Partitioned evidence chain showing authority -&gt; plan -&gt; confirmation -&gt; tool action -&gt; evidence -&gt; review -&gt; accepted outcome</w:t>
      </w:r>
    </w:p>
    <w:p>
      <w:pPr>
        <w:pStyle w:val="ListBullet"/>
        <w:spacing w:after="56"/>
      </w:pPr>
      <w:r>
        <w:t>Evidence export records showing selective disclosure to auditor</w:t>
      </w:r>
    </w:p>
    <w:p>
      <w:pPr>
        <w:pStyle w:val="ListBullet"/>
        <w:spacing w:after="56"/>
      </w:pPr>
      <w:r>
        <w:t>Retention policy records showing evidence minimization</w:t>
      </w:r>
    </w:p>
    <w:p>
      <w:pPr>
        <w:pStyle w:val="ListBullet"/>
        <w:spacing w:after="56"/>
      </w:pPr>
      <w:r>
        <w:t>Validation protocol records (if third-party validation was used)</w:t>
      </w:r>
    </w:p>
    <w:p>
      <w:pPr>
        <w:spacing w:after="56"/>
      </w:pPr>
      <w:r>
        <w:t>Remediation Pattern:</w:t>
      </w:r>
    </w:p>
    <w:p>
      <w:pPr>
        <w:pStyle w:val="ListBullet"/>
        <w:spacing w:after="56"/>
      </w:pPr>
      <w:r>
        <w:t>Implement MAS evidence partitioning at lifecycle object boundaries</w:t>
      </w:r>
    </w:p>
    <w:p>
      <w:pPr>
        <w:pStyle w:val="ListBullet"/>
        <w:spacing w:after="56"/>
      </w:pPr>
      <w:r>
        <w:t>Add evidence export capability with selective disclosure</w:t>
      </w:r>
    </w:p>
    <w:p>
      <w:pPr>
        <w:pStyle w:val="ListBullet"/>
        <w:spacing w:after="56"/>
      </w:pPr>
      <w:r>
        <w:t>Implement retention policy aligned with evidence minimization</w:t>
      </w:r>
    </w:p>
    <w:p>
      <w:pPr>
        <w:pStyle w:val="ListBullet"/>
        <w:spacing w:after="56"/>
      </w:pPr>
      <w:r>
        <w:t>Add privacy-preserving validation protocol for third-party review</w:t>
      </w:r>
    </w:p>
    <w:p>
      <w:pPr>
        <w:pStyle w:val="ListBullet"/>
        <w:spacing w:after="56"/>
      </w:pPr>
      <w:r>
        <w:t>Implement evidence chain integrity validation</w:t>
      </w:r>
    </w:p>
    <w:p>
      <w:pPr>
        <w:spacing w:after="56"/>
      </w:pPr>
      <w:r>
        <w:t>Relevant MROs: MRO-08, MRO-11, MRO-12</w:t>
      </w:r>
    </w:p>
    <w:p>
      <w:pPr>
        <w:spacing w:after="56"/>
      </w:pPr>
      <w:r>
        <w:t>Relevant ALCS: ALCS-08, ALCS-11, ALCS-12</w:t>
      </w:r>
    </w:p>
    <w:p>
      <w:pPr>
        <w:pStyle w:val="Heading3"/>
      </w:pPr>
      <w:r>
        <w:t>Scenario 3: Accepted Outcome Failure</w:t>
      </w:r>
    </w:p>
    <w:p>
      <w:pPr>
        <w:spacing w:after="56"/>
      </w:pPr>
      <w:r>
        <w:t>Failure Trigger:</w:t>
      </w:r>
    </w:p>
    <w:p>
      <w:pPr>
        <w:spacing w:after="56"/>
      </w:pPr>
      <w:r>
        <w:t>An orchestrator marks a multi-agent workflow as "complete" after all agents finish their tasks. However, no accountable human role reviews or accepts the final outcome. A customer later disputes the outcome, and the enterprise cannot identify who accepted responsibility for the result. The orchestrator completion log is not an accepted outcome record.</w:t>
      </w:r>
    </w:p>
    <w:p>
      <w:pPr>
        <w:spacing w:after="56"/>
      </w:pPr>
      <w:r>
        <w:t>Missing Lifecycle Object:</w:t>
      </w:r>
    </w:p>
    <w:p>
      <w:pPr>
        <w:spacing w:after="56"/>
      </w:pPr>
      <w:r>
        <w:t>Human-Role-to-MAS Responsibility Mapping (MRO-01); Accepted Outcome Compliance (MRO-04); Incident, Dispute, and Remediation Closure (MRO-16)</w:t>
      </w:r>
    </w:p>
    <w:p>
      <w:pPr>
        <w:spacing w:after="56"/>
      </w:pPr>
      <w:r>
        <w:t>Relevant ALCS Dimensions:</w:t>
      </w:r>
    </w:p>
    <w:p>
      <w:pPr>
        <w:spacing w:after="56"/>
      </w:pPr>
      <w:r>
        <w:t>ALCS-01: Human-Role-to-MAS Responsibility Mapping; ALCS-04: Accepted Outcome Compliance; ALCS-06: Responsibility Transfer Across Agents</w:t>
      </w:r>
    </w:p>
    <w:p>
      <w:pPr>
        <w:spacing w:after="56"/>
      </w:pPr>
      <w:r>
        <w:t>Enterprise Consequence:</w:t>
      </w:r>
    </w:p>
    <w:p>
      <w:pPr>
        <w:spacing w:after="56"/>
      </w:pPr>
      <w:r>
        <w:t>No responsible party for the disputed outcome. Customer dispute cannot be resolved because no acceptance record exists. Remediation is delayed because no owner is assigned. Regulatory investigation reveals accountability gap. Reputational damage.</w:t>
      </w:r>
    </w:p>
    <w:p>
      <w:pPr>
        <w:spacing w:after="56"/>
      </w:pPr>
      <w:r>
        <w:t>Investigation Evidence Needed:</w:t>
      </w:r>
    </w:p>
    <w:p>
      <w:pPr>
        <w:pStyle w:val="ListBullet"/>
        <w:spacing w:after="56"/>
      </w:pPr>
      <w:r>
        <w:t>Role assignment records showing which human role should accept outcomes</w:t>
      </w:r>
    </w:p>
    <w:p>
      <w:pPr>
        <w:pStyle w:val="ListBullet"/>
        <w:spacing w:after="56"/>
      </w:pPr>
      <w:r>
        <w:t>Acceptance records (absent)</w:t>
      </w:r>
    </w:p>
    <w:p>
      <w:pPr>
        <w:pStyle w:val="ListBullet"/>
        <w:spacing w:after="56"/>
      </w:pPr>
      <w:r>
        <w:t>Review records (absent)</w:t>
      </w:r>
    </w:p>
    <w:p>
      <w:pPr>
        <w:pStyle w:val="ListBullet"/>
        <w:spacing w:after="56"/>
      </w:pPr>
      <w:r>
        <w:t>Escalation records (absent because no acceptance workflow exists)</w:t>
      </w:r>
    </w:p>
    <w:p>
      <w:pPr>
        <w:pStyle w:val="ListBullet"/>
        <w:spacing w:after="56"/>
      </w:pPr>
      <w:r>
        <w:t>Remediation ownership records (absent)</w:t>
      </w:r>
    </w:p>
    <w:p>
      <w:pPr>
        <w:spacing w:after="56"/>
      </w:pPr>
      <w:r>
        <w:t>Remediation Pattern:</w:t>
      </w:r>
    </w:p>
    <w:p>
      <w:pPr>
        <w:pStyle w:val="ListBullet"/>
        <w:spacing w:after="56"/>
      </w:pPr>
      <w:r>
        <w:t>Implement human-role-to-MAS responsibility mapping</w:t>
      </w:r>
    </w:p>
    <w:p>
      <w:pPr>
        <w:pStyle w:val="ListBullet"/>
        <w:spacing w:after="56"/>
      </w:pPr>
      <w:r>
        <w:t>Add accepted outcome compliance workflow requiring explicit human acceptance</w:t>
      </w:r>
    </w:p>
    <w:p>
      <w:pPr>
        <w:pStyle w:val="ListBullet"/>
        <w:spacing w:after="56"/>
      </w:pPr>
      <w:r>
        <w:t>Implement review and escalation workflow for disputed outcomes</w:t>
      </w:r>
    </w:p>
    <w:p>
      <w:pPr>
        <w:pStyle w:val="ListBullet"/>
        <w:spacing w:after="56"/>
      </w:pPr>
      <w:r>
        <w:t>Add remediation ownership assignment</w:t>
      </w:r>
    </w:p>
    <w:p>
      <w:pPr>
        <w:pStyle w:val="ListBullet"/>
        <w:spacing w:after="56"/>
      </w:pPr>
      <w:r>
        <w:t>Implement incident and dispute closure workflow</w:t>
      </w:r>
    </w:p>
    <w:p>
      <w:pPr>
        <w:spacing w:after="56"/>
      </w:pPr>
      <w:r>
        <w:t>Relevant MROs: MRO-01, MRO-04, MRO-16</w:t>
      </w:r>
    </w:p>
    <w:p>
      <w:pPr>
        <w:spacing w:after="56"/>
      </w:pPr>
      <w:r>
        <w:t>Relevant ALCS: ALCS-01, ALCS-04, ALCS-06</w:t>
      </w:r>
    </w:p>
    <w:p>
      <w:pPr>
        <w:pStyle w:val="Heading3"/>
      </w:pPr>
      <w:r>
        <w:t>Scenario 4: Cross-Project Reuse Failure</w:t>
      </w:r>
    </w:p>
    <w:p>
      <w:pPr>
        <w:spacing w:after="56"/>
      </w:pPr>
      <w:r>
        <w:t>Failure Trigger:</w:t>
      </w:r>
    </w:p>
    <w:p>
      <w:pPr>
        <w:spacing w:after="56"/>
      </w:pPr>
      <w:r>
        <w:t>A prompt template, memory store, or workflow pattern is developed for a non-regulated internal project. The same pattern is reused in a HIPAA-regulated healthcare project without reset, reauthorization, or context boundary validation. A privacy audit reveals that patient data was processed using a prompt template that retained context from the non-regulated project.</w:t>
      </w:r>
    </w:p>
    <w:p>
      <w:pPr>
        <w:spacing w:after="56"/>
      </w:pPr>
      <w:r>
        <w:t>Missing Lifecycle Object:</w:t>
      </w:r>
    </w:p>
    <w:p>
      <w:pPr>
        <w:spacing w:after="56"/>
      </w:pPr>
      <w:r>
        <w:t>Cross-Project Reuse Compliance (MRO-09); Privacy/GDPR Lifecycle Mapping (MRO-10); Vendor/Model/Runtime Substitution Conformance (MRO-15)</w:t>
      </w:r>
    </w:p>
    <w:p>
      <w:pPr>
        <w:spacing w:after="56"/>
      </w:pPr>
      <w:r>
        <w:t>Relevant ALCS Dimensions:</w:t>
      </w:r>
    </w:p>
    <w:p>
      <w:pPr>
        <w:spacing w:after="56"/>
      </w:pPr>
      <w:r>
        <w:t>ALCS-09: Cross-Project Reuse Compliance; ALCS-10: Privacy/GDPR Lifecycle Mapping; ALCS-14: Third-Party Processor/Subprocessor Chain</w:t>
      </w:r>
    </w:p>
    <w:p>
      <w:pPr>
        <w:spacing w:after="56"/>
      </w:pPr>
      <w:r>
        <w:t>Enterprise Consequence:</w:t>
      </w:r>
    </w:p>
    <w:p>
      <w:pPr>
        <w:spacing w:after="56"/>
      </w:pPr>
      <w:r>
        <w:t>Privacy risk. Potential HIPAA compliance issue requiring legal review. Potential regulatory exposure. Customer trust loss. Cross-contamination of regulated and non-regulated contexts. Reputational damage.</w:t>
      </w:r>
    </w:p>
    <w:p>
      <w:pPr>
        <w:spacing w:after="56"/>
      </w:pPr>
      <w:r>
        <w:t>Investigation Evidence Needed:</w:t>
      </w:r>
    </w:p>
    <w:p>
      <w:pPr>
        <w:pStyle w:val="ListBullet"/>
        <w:spacing w:after="56"/>
      </w:pPr>
      <w:r>
        <w:t>Reuse records showing when and how the pattern was reused</w:t>
      </w:r>
    </w:p>
    <w:p>
      <w:pPr>
        <w:pStyle w:val="ListBullet"/>
        <w:spacing w:after="56"/>
      </w:pPr>
      <w:r>
        <w:t>Reset validation records (absent)</w:t>
      </w:r>
    </w:p>
    <w:p>
      <w:pPr>
        <w:pStyle w:val="ListBullet"/>
        <w:spacing w:after="56"/>
      </w:pPr>
      <w:r>
        <w:t>Reauthorization records (absent)</w:t>
      </w:r>
    </w:p>
    <w:p>
      <w:pPr>
        <w:pStyle w:val="ListBullet"/>
        <w:spacing w:after="56"/>
      </w:pPr>
      <w:r>
        <w:t>Context boundary records (absent)</w:t>
      </w:r>
    </w:p>
    <w:p>
      <w:pPr>
        <w:pStyle w:val="ListBullet"/>
        <w:spacing w:after="56"/>
      </w:pPr>
      <w:r>
        <w:t>Privacy impact assessment records (absent)</w:t>
      </w:r>
    </w:p>
    <w:p>
      <w:pPr>
        <w:spacing w:after="56"/>
      </w:pPr>
      <w:r>
        <w:t>Remediation Pattern:</w:t>
      </w:r>
    </w:p>
    <w:p>
      <w:pPr>
        <w:pStyle w:val="ListBullet"/>
        <w:spacing w:after="56"/>
      </w:pPr>
      <w:r>
        <w:t>Implement cross-project reuse compliance workflow requiring reset and reauthorization</w:t>
      </w:r>
    </w:p>
    <w:p>
      <w:pPr>
        <w:pStyle w:val="ListBullet"/>
        <w:spacing w:after="56"/>
      </w:pPr>
      <w:r>
        <w:t>Add context boundary validation for regulated projects</w:t>
      </w:r>
    </w:p>
    <w:p>
      <w:pPr>
        <w:pStyle w:val="ListBullet"/>
        <w:spacing w:after="56"/>
      </w:pPr>
      <w:r>
        <w:t>Implement privacy/GDPR lifecycle mapping for data flow</w:t>
      </w:r>
    </w:p>
    <w:p>
      <w:pPr>
        <w:pStyle w:val="ListBullet"/>
        <w:spacing w:after="56"/>
      </w:pPr>
      <w:r>
        <w:t>Add reuse policy enforcement at project boundaries</w:t>
      </w:r>
    </w:p>
    <w:p>
      <w:pPr>
        <w:pStyle w:val="ListBullet"/>
        <w:spacing w:after="56"/>
      </w:pPr>
      <w:r>
        <w:t>Implement substitution conformance validation</w:t>
      </w:r>
    </w:p>
    <w:p>
      <w:pPr>
        <w:spacing w:after="56"/>
      </w:pPr>
      <w:r>
        <w:t>Relevant MROs: MRO-09, MRO-10, MRO-15</w:t>
      </w:r>
    </w:p>
    <w:p>
      <w:pPr>
        <w:spacing w:after="56"/>
      </w:pPr>
      <w:r>
        <w:t>Relevant ALCS: ALCS-09, ALCS-10, ALCS-14</w:t>
      </w:r>
    </w:p>
    <w:p>
      <w:pPr>
        <w:pStyle w:val="Heading3"/>
      </w:pPr>
      <w:r>
        <w:t>Scenario 5: Privacy Validation Failure</w:t>
      </w:r>
    </w:p>
    <w:p>
      <w:pPr>
        <w:spacing w:after="56"/>
      </w:pPr>
      <w:r>
        <w:t>Failure Trigger:</w:t>
      </w:r>
    </w:p>
    <w:p>
      <w:pPr>
        <w:spacing w:after="56"/>
      </w:pPr>
      <w:r>
        <w:t>An enterprise sends raw agent traces, including customer PII and proprietary business logic, to a third-party reviewer for compliance validation. The reviewer is not a processor under a data processing agreement. The data transfer creates a privacy risk and potential security incident.</w:t>
      </w:r>
    </w:p>
    <w:p>
      <w:pPr>
        <w:spacing w:after="56"/>
      </w:pPr>
      <w:r>
        <w:t>Missing Lifecycle Object:</w:t>
      </w:r>
    </w:p>
    <w:p>
      <w:pPr>
        <w:spacing w:after="56"/>
      </w:pPr>
      <w:r>
        <w:t>Privacy/GDPR Lifecycle Mapping (MRO-10); Privacy-Preserving Third-Party Validation (MRO-11); Evidence Minimization and Selective Disclosure (MRO-12); Data Subject Rights vs Evidence Retention (MRO-13)</w:t>
      </w:r>
    </w:p>
    <w:p>
      <w:pPr>
        <w:spacing w:after="56"/>
      </w:pPr>
      <w:r>
        <w:t>Relevant ALCS Dimensions:</w:t>
      </w:r>
    </w:p>
    <w:p>
      <w:pPr>
        <w:spacing w:after="56"/>
      </w:pPr>
      <w:r>
        <w:t>ALCS-10: Privacy/GDPR Lifecycle Mapping; ALCS-11: Privacy-Preserving Third-Party Validation; ALCS-12: Evidence Minimization and Selective Disclosure; ALCS-13: Data Subject Rights vs Evidence Retention</w:t>
      </w:r>
    </w:p>
    <w:p>
      <w:pPr>
        <w:spacing w:after="56"/>
      </w:pPr>
      <w:r>
        <w:t>Enterprise Consequence:</w:t>
      </w:r>
    </w:p>
    <w:p>
      <w:pPr>
        <w:spacing w:after="56"/>
      </w:pPr>
      <w:r>
        <w:t>Privacy risk. Potential GDPR Article 28 processor-chain issue requiring legal review. Security incident. Regulatory investigation challenge. Customer trust loss. Potential regulatory exposure. Reputational damage.</w:t>
      </w:r>
    </w:p>
    <w:p>
      <w:pPr>
        <w:spacing w:after="56"/>
      </w:pPr>
      <w:r>
        <w:t>Investigation Evidence Needed:</w:t>
      </w:r>
    </w:p>
    <w:p>
      <w:pPr>
        <w:pStyle w:val="ListBullet"/>
        <w:spacing w:after="56"/>
      </w:pPr>
      <w:r>
        <w:t>Validation evidence transfer records</w:t>
      </w:r>
    </w:p>
    <w:p>
      <w:pPr>
        <w:pStyle w:val="ListBullet"/>
        <w:spacing w:after="56"/>
      </w:pPr>
      <w:r>
        <w:t>Data processing agreement records (absent)</w:t>
      </w:r>
    </w:p>
    <w:p>
      <w:pPr>
        <w:pStyle w:val="ListBullet"/>
        <w:spacing w:after="56"/>
      </w:pPr>
      <w:r>
        <w:t>Disclosure policy records (absent)</w:t>
      </w:r>
    </w:p>
    <w:p>
      <w:pPr>
        <w:pStyle w:val="ListBullet"/>
        <w:spacing w:after="56"/>
      </w:pPr>
      <w:r>
        <w:t>Redaction records (absent)</w:t>
      </w:r>
    </w:p>
    <w:p>
      <w:pPr>
        <w:pStyle w:val="ListBullet"/>
        <w:spacing w:after="56"/>
      </w:pPr>
      <w:r>
        <w:t>Evidence minimization records (absent)</w:t>
      </w:r>
    </w:p>
    <w:p>
      <w:pPr>
        <w:pStyle w:val="ListBullet"/>
        <w:spacing w:after="56"/>
      </w:pPr>
      <w:r>
        <w:t>Validation protocol records (absent)</w:t>
      </w:r>
    </w:p>
    <w:p>
      <w:pPr>
        <w:spacing w:after="56"/>
      </w:pPr>
      <w:r>
        <w:t>Remediation Pattern:</w:t>
      </w:r>
    </w:p>
    <w:p>
      <w:pPr>
        <w:pStyle w:val="ListBullet"/>
        <w:spacing w:after="56"/>
      </w:pPr>
      <w:r>
        <w:t>Implement privacy-preserving third-party validation protocol (e.g., evidence-based validation pattern from Chapter 14)</w:t>
      </w:r>
    </w:p>
    <w:p>
      <w:pPr>
        <w:pStyle w:val="ListBullet"/>
        <w:spacing w:after="56"/>
      </w:pPr>
      <w:r>
        <w:t>Add disclosure policy requiring evidence minimization and selective disclosure</w:t>
      </w:r>
    </w:p>
    <w:p>
      <w:pPr>
        <w:pStyle w:val="ListBullet"/>
        <w:spacing w:after="56"/>
      </w:pPr>
      <w:r>
        <w:t>Implement redaction profile for sensitive data</w:t>
      </w:r>
    </w:p>
    <w:p>
      <w:pPr>
        <w:pStyle w:val="ListBullet"/>
        <w:spacing w:after="56"/>
      </w:pPr>
      <w:r>
        <w:t>Add data processing agreement requirement for validation providers</w:t>
      </w:r>
    </w:p>
    <w:p>
      <w:pPr>
        <w:pStyle w:val="ListBullet"/>
        <w:spacing w:after="56"/>
      </w:pPr>
      <w:r>
        <w:t>Implement validation protocol with hash manifests and verdict hashes instead of raw trace transfer</w:t>
      </w:r>
    </w:p>
    <w:p>
      <w:pPr>
        <w:spacing w:after="56"/>
      </w:pPr>
      <w:r>
        <w:t>Relevant MROs: MRO-10, MRO-11, MRO-12, MRO-13</w:t>
      </w:r>
    </w:p>
    <w:p>
      <w:pPr>
        <w:spacing w:after="56"/>
      </w:pPr>
      <w:r>
        <w:t>Relevant ALCS: ALCS-10, ALCS-11, ALCS-12, ALCS-13</w:t>
      </w:r>
    </w:p>
    <w:p>
      <w:pPr>
        <w:pStyle w:val="Heading3"/>
      </w:pPr>
      <w:r>
        <w:t>Scenario 6: Processor Chain Failure</w:t>
      </w:r>
    </w:p>
    <w:p>
      <w:pPr>
        <w:spacing w:after="56"/>
      </w:pPr>
      <w:r>
        <w:t>Failure Trigger:</w:t>
      </w:r>
    </w:p>
    <w:p>
      <w:pPr>
        <w:spacing w:after="56"/>
      </w:pPr>
      <w:r>
        <w:t>A multi-agent workflow involves a foundation model provider, a vector database service, a CRM API, a workflow orchestration tool, a monitoring platform, and a cloud runtime. A customer data breach occurs, but the enterprise cannot identify which processor or subprocessor was responsible because no processor chain responsibility mapping exists.</w:t>
      </w:r>
    </w:p>
    <w:p>
      <w:pPr>
        <w:spacing w:after="56"/>
      </w:pPr>
      <w:r>
        <w:t>Missing Lifecycle Object:</w:t>
      </w:r>
    </w:p>
    <w:p>
      <w:pPr>
        <w:spacing w:after="56"/>
      </w:pPr>
      <w:r>
        <w:t>Third-Party Processor/Subprocessor Chain (MRO-14); Tool-Action Liability Boundary (MRO-05); MAS Evidence Partitioning (MRO-08)</w:t>
      </w:r>
    </w:p>
    <w:p>
      <w:pPr>
        <w:spacing w:after="56"/>
      </w:pPr>
      <w:r>
        <w:t>Relevant ALCS Dimensions:</w:t>
      </w:r>
    </w:p>
    <w:p>
      <w:pPr>
        <w:spacing w:after="56"/>
      </w:pPr>
      <w:r>
        <w:t>ALCS-14: Third-Party Processor/Subprocessor Chain; ALCS-04: Accepted Outcome Compliance; ALCS-08: MAS Evidence Partitioning</w:t>
      </w:r>
    </w:p>
    <w:p>
      <w:pPr>
        <w:spacing w:after="56"/>
      </w:pPr>
      <w:r>
        <w:t>Enterprise Consequence:</w:t>
      </w:r>
    </w:p>
    <w:p>
      <w:pPr>
        <w:spacing w:after="56"/>
      </w:pPr>
      <w:r>
        <w:t>Processor chain liability dispute. Potential GDPR Article 28 processor-chain issue requiring legal review. Unclear responsibility for breach. Vendor disputes. Insurance claim challenge. Regulatory investigation challenge. Customer trust loss. Reputational damage.</w:t>
      </w:r>
    </w:p>
    <w:p>
      <w:pPr>
        <w:spacing w:after="56"/>
      </w:pPr>
      <w:r>
        <w:t>Investigation Evidence Needed:</w:t>
      </w:r>
    </w:p>
    <w:p>
      <w:pPr>
        <w:pStyle w:val="ListBullet"/>
        <w:spacing w:after="56"/>
      </w:pPr>
      <w:r>
        <w:t>Processor agreements with each vendor</w:t>
      </w:r>
    </w:p>
    <w:p>
      <w:pPr>
        <w:pStyle w:val="ListBullet"/>
        <w:spacing w:after="56"/>
      </w:pPr>
      <w:r>
        <w:t>Subprocessor chain records showing data flow</w:t>
      </w:r>
    </w:p>
    <w:p>
      <w:pPr>
        <w:pStyle w:val="ListBullet"/>
        <w:spacing w:after="56"/>
      </w:pPr>
      <w:r>
        <w:t>Responsibility assignment records for each processor</w:t>
      </w:r>
    </w:p>
    <w:p>
      <w:pPr>
        <w:pStyle w:val="ListBullet"/>
        <w:spacing w:after="56"/>
      </w:pPr>
      <w:r>
        <w:t>Tool-action logs showing which processor handled which data</w:t>
      </w:r>
    </w:p>
    <w:p>
      <w:pPr>
        <w:pStyle w:val="ListBullet"/>
        <w:spacing w:after="56"/>
      </w:pPr>
      <w:r>
        <w:t>Evidence partitioning records showing processor boundaries</w:t>
      </w:r>
    </w:p>
    <w:p>
      <w:pPr>
        <w:spacing w:after="56"/>
      </w:pPr>
      <w:r>
        <w:t>Remediation Pattern:</w:t>
      </w:r>
    </w:p>
    <w:p>
      <w:pPr>
        <w:pStyle w:val="ListBullet"/>
        <w:spacing w:after="56"/>
      </w:pPr>
      <w:r>
        <w:t>Implement third-party processor/subprocessor chain mapping</w:t>
      </w:r>
    </w:p>
    <w:p>
      <w:pPr>
        <w:pStyle w:val="ListBullet"/>
        <w:spacing w:after="56"/>
      </w:pPr>
      <w:r>
        <w:t>Add processor agreements with GDPR Article 28 mapping and legal review</w:t>
      </w:r>
    </w:p>
    <w:p>
      <w:pPr>
        <w:pStyle w:val="ListBullet"/>
        <w:spacing w:after="56"/>
      </w:pPr>
      <w:r>
        <w:t>Implement responsibility assignment for each processor</w:t>
      </w:r>
    </w:p>
    <w:p>
      <w:pPr>
        <w:pStyle w:val="ListBullet"/>
        <w:spacing w:after="56"/>
      </w:pPr>
      <w:r>
        <w:t>Add tool-action liability boundary records</w:t>
      </w:r>
    </w:p>
    <w:p>
      <w:pPr>
        <w:pStyle w:val="ListBullet"/>
        <w:spacing w:after="56"/>
      </w:pPr>
      <w:r>
        <w:t>Implement evidence partitioning at processor boundaries</w:t>
      </w:r>
    </w:p>
    <w:p>
      <w:pPr>
        <w:spacing w:after="56"/>
      </w:pPr>
      <w:r>
        <w:t>Relevant MROs: MRO-14, MRO-05, MRO-08</w:t>
      </w:r>
    </w:p>
    <w:p>
      <w:pPr>
        <w:spacing w:after="56"/>
      </w:pPr>
      <w:r>
        <w:t>Relevant ALCS: ALCS-14, ALCS-04, ALCS-08</w:t>
      </w:r>
    </w:p>
    <w:p>
      <w:pPr>
        <w:pStyle w:val="Heading3"/>
      </w:pPr>
      <w:r>
        <w:t>Scenario 7: Vendor / Runtime Substitution Failure</w:t>
      </w:r>
    </w:p>
    <w:p>
      <w:pPr>
        <w:spacing w:after="56"/>
      </w:pPr>
      <w:r>
        <w:t>Failure Trigger:</w:t>
      </w:r>
    </w:p>
    <w:p>
      <w:pPr>
        <w:spacing w:after="56"/>
      </w:pPr>
      <w:r>
        <w:t>An engineering team switches from one foundation model provider to another to reduce costs. The new model has different output formats, different tool-calling semantics, and different context window behavior. Execution still works, but evidence chain integrity degrades, authority boundary enforcement weakens, and privacy-preserving validation fails because the new model does not support the same evidence export format.</w:t>
      </w:r>
    </w:p>
    <w:p>
      <w:pPr>
        <w:spacing w:after="56"/>
      </w:pPr>
      <w:r>
        <w:t>Missing Lifecycle Object:</w:t>
      </w:r>
    </w:p>
    <w:p>
      <w:pPr>
        <w:spacing w:after="56"/>
      </w:pPr>
      <w:r>
        <w:t>Vendor/Model/Runtime Substitution Conformance (MRO-15); MAS Evidence Partitioning (MRO-08); Privacy/GDPR Lifecycle Mapping (MRO-10)</w:t>
      </w:r>
    </w:p>
    <w:p>
      <w:pPr>
        <w:spacing w:after="56"/>
      </w:pPr>
      <w:r>
        <w:t>Relevant ALCS Dimensions:</w:t>
      </w:r>
    </w:p>
    <w:p>
      <w:pPr>
        <w:spacing w:after="56"/>
      </w:pPr>
      <w:r>
        <w:t>ALCS-15: Vendor/Model/Runtime Substitution Conformance; ALCS-08: MAS Evidence Partitioning; ALCS-11: Privacy-Preserving Third-Party Validation</w:t>
      </w:r>
    </w:p>
    <w:p>
      <w:pPr>
        <w:spacing w:after="56"/>
      </w:pPr>
      <w:r>
        <w:t>Enterprise Consequence:</w:t>
      </w:r>
    </w:p>
    <w:p>
      <w:pPr>
        <w:spacing w:after="56"/>
      </w:pPr>
      <w:r>
        <w:t>Compliance drift. Evidence chain degradation. Authority boundary violations. Privacy risks. Audit-readiness failure or audit challenge. Inability to demonstrate conformance after substitution. Reputational damage.</w:t>
      </w:r>
    </w:p>
    <w:p>
      <w:pPr>
        <w:spacing w:after="56"/>
      </w:pPr>
      <w:r>
        <w:t>Investigation Evidence Needed:</w:t>
      </w:r>
    </w:p>
    <w:p>
      <w:pPr>
        <w:pStyle w:val="ListBullet"/>
        <w:spacing w:after="56"/>
      </w:pPr>
      <w:r>
        <w:t>Substitution records showing when and why the model was changed</w:t>
      </w:r>
    </w:p>
    <w:p>
      <w:pPr>
        <w:pStyle w:val="ListBullet"/>
        <w:spacing w:after="56"/>
      </w:pPr>
      <w:r>
        <w:t>Conformance validation records (absent)</w:t>
      </w:r>
    </w:p>
    <w:p>
      <w:pPr>
        <w:pStyle w:val="ListBullet"/>
        <w:spacing w:after="56"/>
      </w:pPr>
      <w:r>
        <w:t>Regression testing records (absent)</w:t>
      </w:r>
    </w:p>
    <w:p>
      <w:pPr>
        <w:pStyle w:val="ListBullet"/>
        <w:spacing w:after="56"/>
      </w:pPr>
      <w:r>
        <w:t>Evidence integrity validation records (absent)</w:t>
      </w:r>
    </w:p>
    <w:p>
      <w:pPr>
        <w:pStyle w:val="ListBullet"/>
        <w:spacing w:after="56"/>
      </w:pPr>
      <w:r>
        <w:t>Authority boundary validation records (absent)</w:t>
      </w:r>
    </w:p>
    <w:p>
      <w:pPr>
        <w:spacing w:after="56"/>
      </w:pPr>
      <w:r>
        <w:t>Remediation Pattern:</w:t>
      </w:r>
    </w:p>
    <w:p>
      <w:pPr>
        <w:pStyle w:val="ListBullet"/>
        <w:spacing w:after="56"/>
      </w:pPr>
      <w:r>
        <w:t>Implement vendor/model/runtime substitution conformance workflow</w:t>
      </w:r>
    </w:p>
    <w:p>
      <w:pPr>
        <w:pStyle w:val="ListBullet"/>
        <w:spacing w:after="56"/>
      </w:pPr>
      <w:r>
        <w:t>Add conformance validation testing before substitution</w:t>
      </w:r>
    </w:p>
    <w:p>
      <w:pPr>
        <w:pStyle w:val="ListBullet"/>
        <w:spacing w:after="56"/>
      </w:pPr>
      <w:r>
        <w:t>Implement regression testing for evidence chain integrity</w:t>
      </w:r>
    </w:p>
    <w:p>
      <w:pPr>
        <w:pStyle w:val="ListBullet"/>
        <w:spacing w:after="56"/>
      </w:pPr>
      <w:r>
        <w:t>Add authority boundary validation after substitution</w:t>
      </w:r>
    </w:p>
    <w:p>
      <w:pPr>
        <w:pStyle w:val="ListBullet"/>
        <w:spacing w:after="56"/>
      </w:pPr>
      <w:r>
        <w:t>Implement privacy-preserving validation protocol compatibility testing</w:t>
      </w:r>
    </w:p>
    <w:p>
      <w:pPr>
        <w:spacing w:after="56"/>
      </w:pPr>
      <w:r>
        <w:t>Relevant MROs: MRO-15, MRO-08, MRO-10</w:t>
      </w:r>
    </w:p>
    <w:p>
      <w:pPr>
        <w:spacing w:after="56"/>
      </w:pPr>
      <w:r>
        <w:t>Relevant ALCS: ALCS-15, ALCS-08, ALCS-11</w:t>
      </w:r>
    </w:p>
    <w:p>
      <w:pPr>
        <w:pStyle w:val="Heading3"/>
      </w:pPr>
      <w:r>
        <w:t>Scenario 8: Remediation Closure Failure</w:t>
      </w:r>
    </w:p>
    <w:p>
      <w:pPr>
        <w:spacing w:after="56"/>
      </w:pPr>
      <w:r>
        <w:t>Failure Trigger:</w:t>
      </w:r>
    </w:p>
    <w:p>
      <w:pPr>
        <w:spacing w:after="56"/>
      </w:pPr>
      <w:r>
        <w:t>Engineering discovers a prompt bug that caused incorrect customer recommendations. The bug is fixed, but no responsible owner is assigned, no affected outcome list is generated, no evidence review is conducted, no customer impact assessment is performed, and no accepted closure state is recorded. Customers later discover the issue and file complaints, but the enterprise cannot demonstrate that remediation was completed.</w:t>
      </w:r>
    </w:p>
    <w:p>
      <w:pPr>
        <w:spacing w:after="56"/>
      </w:pPr>
      <w:r>
        <w:t>Missing Lifecycle Object:</w:t>
      </w:r>
    </w:p>
    <w:p>
      <w:pPr>
        <w:spacing w:after="56"/>
      </w:pPr>
      <w:r>
        <w:t>Incident, Dispute, and Remediation Closure (MRO-16); Accepted Outcome Compliance (MRO-04); MAS Evidence Partitioning (MRO-08)</w:t>
      </w:r>
    </w:p>
    <w:p>
      <w:pPr>
        <w:spacing w:after="56"/>
      </w:pPr>
      <w:r>
        <w:t>Relevant ALCS Dimensions:</w:t>
      </w:r>
    </w:p>
    <w:p>
      <w:pPr>
        <w:spacing w:after="56"/>
      </w:pPr>
      <w:r>
        <w:t>ALCS-04: Accepted Outcome Compliance; ALCS-08: MAS Evidence Partitioning; ALCS-06: Responsibility Transfer Across Agents</w:t>
      </w:r>
    </w:p>
    <w:p>
      <w:pPr>
        <w:spacing w:after="56"/>
      </w:pPr>
      <w:r>
        <w:t>Enterprise Consequence:</w:t>
      </w:r>
    </w:p>
    <w:p>
      <w:pPr>
        <w:spacing w:after="56"/>
      </w:pPr>
      <w:r>
        <w:t>Remediation delays. No closure state. Customer disputes without resolution. Regulatory investigation failure. Reputational damage. Inability to demonstrate that remediation was completed.</w:t>
      </w:r>
    </w:p>
    <w:p>
      <w:pPr>
        <w:spacing w:after="56"/>
      </w:pPr>
      <w:r>
        <w:t>Investigation Evidence Needed:</w:t>
      </w:r>
    </w:p>
    <w:p>
      <w:pPr>
        <w:pStyle w:val="ListBullet"/>
        <w:spacing w:after="56"/>
      </w:pPr>
      <w:r>
        <w:t>Incident records showing when the bug was discovered</w:t>
      </w:r>
    </w:p>
    <w:p>
      <w:pPr>
        <w:pStyle w:val="ListBullet"/>
        <w:spacing w:after="56"/>
      </w:pPr>
      <w:r>
        <w:t>Affected outcome records (absent)</w:t>
      </w:r>
    </w:p>
    <w:p>
      <w:pPr>
        <w:pStyle w:val="ListBullet"/>
        <w:spacing w:after="56"/>
      </w:pPr>
      <w:r>
        <w:t>Remediation records showing the fix</w:t>
      </w:r>
    </w:p>
    <w:p>
      <w:pPr>
        <w:pStyle w:val="ListBullet"/>
        <w:spacing w:after="56"/>
      </w:pPr>
      <w:r>
        <w:t>Closure acceptance records (absent)</w:t>
      </w:r>
    </w:p>
    <w:p>
      <w:pPr>
        <w:pStyle w:val="ListBullet"/>
        <w:spacing w:after="56"/>
      </w:pPr>
      <w:r>
        <w:t>Customer impact assessment records (absent)</w:t>
      </w:r>
    </w:p>
    <w:p>
      <w:pPr>
        <w:pStyle w:val="ListBullet"/>
        <w:spacing w:after="56"/>
      </w:pPr>
      <w:r>
        <w:t>Evidence review records (absent)</w:t>
      </w:r>
    </w:p>
    <w:p>
      <w:pPr>
        <w:spacing w:after="56"/>
      </w:pPr>
      <w:r>
        <w:t>Remediation Pattern:</w:t>
      </w:r>
    </w:p>
    <w:p>
      <w:pPr>
        <w:pStyle w:val="ListBullet"/>
        <w:spacing w:after="56"/>
      </w:pPr>
      <w:r>
        <w:t>Implement incident, dispute, and remediation closure workflow</w:t>
      </w:r>
    </w:p>
    <w:p>
      <w:pPr>
        <w:pStyle w:val="ListBullet"/>
        <w:spacing w:after="56"/>
      </w:pPr>
      <w:r>
        <w:t>Add responsible owner assignment for remediation</w:t>
      </w:r>
    </w:p>
    <w:p>
      <w:pPr>
        <w:pStyle w:val="ListBullet"/>
        <w:spacing w:after="56"/>
      </w:pPr>
      <w:r>
        <w:t>Implement affected outcome list generation</w:t>
      </w:r>
    </w:p>
    <w:p>
      <w:pPr>
        <w:pStyle w:val="ListBullet"/>
        <w:spacing w:after="56"/>
      </w:pPr>
      <w:r>
        <w:t>Add evidence review workflow for affected outcomes</w:t>
      </w:r>
    </w:p>
    <w:p>
      <w:pPr>
        <w:pStyle w:val="ListBullet"/>
        <w:spacing w:after="56"/>
      </w:pPr>
      <w:r>
        <w:t>Implement customer impact assessment</w:t>
      </w:r>
    </w:p>
    <w:p>
      <w:pPr>
        <w:pStyle w:val="ListBullet"/>
        <w:spacing w:after="56"/>
      </w:pPr>
      <w:r>
        <w:t>Add accepted closure state requiring explicit acceptance by responsible owner</w:t>
      </w:r>
    </w:p>
    <w:p>
      <w:pPr>
        <w:spacing w:after="56"/>
      </w:pPr>
      <w:r>
        <w:t>Relevant MROs: MRO-16, MRO-04, MRO-08</w:t>
      </w:r>
    </w:p>
    <w:p>
      <w:pPr>
        <w:spacing w:after="56"/>
      </w:pPr>
      <w:r>
        <w:t>Relevant ALCS: ALCS-04, ALCS-08, ALCS-06</w:t>
      </w:r>
    </w:p>
    <w:p>
      <w:pPr>
        <w:pStyle w:val="Heading2"/>
      </w:pPr>
      <w:r>
        <w:t>15.4 Remediation and Prevention Patterns</w:t>
      </w:r>
    </w:p>
    <w:p>
      <w:pPr>
        <w:spacing w:after="56"/>
      </w:pPr>
      <w:r>
        <w:t>The following table summarizes remediation and prevention patterns for the eight failure scenarios.</w:t>
      </w:r>
    </w:p>
    <w:p>
      <w:pPr>
        <w:keepNext/>
      </w:pPr>
      <w:r>
        <w:rPr>
          <w:b/>
          <w:sz w:val="16"/>
        </w:rPr>
        <w:t>Table T-15-03: Failure Scenario Summary</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Scenario</w:t>
            </w:r>
          </w:p>
        </w:tc>
        <w:tc>
          <w:tcPr>
            <w:tcW w:type="dxa" w:w="2045"/>
          </w:tcPr>
          <w:p>
            <w:pPr>
              <w:spacing w:after="0"/>
            </w:pPr>
            <w:r>
              <w:rPr>
                <w:rFonts w:ascii="Arial" w:hAnsi="Arial"/>
                <w:b/>
                <w:sz w:val="14"/>
              </w:rPr>
              <w:t>Failure Trigger</w:t>
            </w:r>
          </w:p>
        </w:tc>
        <w:tc>
          <w:tcPr>
            <w:tcW w:type="dxa" w:w="2045"/>
          </w:tcPr>
          <w:p>
            <w:pPr>
              <w:spacing w:after="0"/>
            </w:pPr>
            <w:r>
              <w:rPr>
                <w:rFonts w:ascii="Arial" w:hAnsi="Arial"/>
                <w:b/>
                <w:sz w:val="14"/>
              </w:rPr>
              <w:t>Missing Lifecycle Object</w:t>
            </w:r>
          </w:p>
        </w:tc>
        <w:tc>
          <w:tcPr>
            <w:tcW w:type="dxa" w:w="2045"/>
          </w:tcPr>
          <w:p>
            <w:pPr>
              <w:spacing w:after="0"/>
            </w:pPr>
            <w:r>
              <w:rPr>
                <w:rFonts w:ascii="Arial" w:hAnsi="Arial"/>
                <w:b/>
                <w:sz w:val="14"/>
              </w:rPr>
              <w:t>Investigation Evidence</w:t>
            </w:r>
          </w:p>
        </w:tc>
        <w:tc>
          <w:tcPr>
            <w:tcW w:type="dxa" w:w="2045"/>
          </w:tcPr>
          <w:p>
            <w:pPr>
              <w:spacing w:after="0"/>
            </w:pPr>
            <w:r>
              <w:rPr>
                <w:rFonts w:ascii="Arial" w:hAnsi="Arial"/>
                <w:b/>
                <w:sz w:val="14"/>
              </w:rPr>
              <w:t>Remediation Pattern</w:t>
            </w:r>
          </w:p>
        </w:tc>
      </w:tr>
      <w:tr>
        <w:tc>
          <w:tcPr>
            <w:tcW w:type="dxa" w:w="2045"/>
          </w:tcPr>
          <w:p>
            <w:pPr>
              <w:spacing w:after="0"/>
            </w:pPr>
            <w:r>
              <w:rPr>
                <w:rFonts w:ascii="Arial" w:hAnsi="Arial"/>
                <w:b w:val="0"/>
                <w:sz w:val="14"/>
              </w:rPr>
              <w:t>Authority Boundary Failure</w:t>
            </w:r>
          </w:p>
        </w:tc>
        <w:tc>
          <w:tcPr>
            <w:tcW w:type="dxa" w:w="2045"/>
          </w:tcPr>
          <w:p>
            <w:pPr>
              <w:spacing w:after="0"/>
            </w:pPr>
            <w:r>
              <w:rPr>
                <w:rFonts w:ascii="Arial" w:hAnsi="Arial"/>
                <w:b w:val="0"/>
                <w:sz w:val="14"/>
              </w:rPr>
              <w:t>Agent exceeds delegated authority; moves from advising to committing without human confirmation</w:t>
            </w:r>
          </w:p>
        </w:tc>
        <w:tc>
          <w:tcPr>
            <w:tcW w:type="dxa" w:w="2045"/>
          </w:tcPr>
          <w:p>
            <w:pPr>
              <w:spacing w:after="0"/>
            </w:pPr>
            <w:r>
              <w:rPr>
                <w:rFonts w:ascii="Arial" w:hAnsi="Arial"/>
                <w:b w:val="0"/>
                <w:sz w:val="14"/>
              </w:rPr>
              <w:t>Delegated Authority Boundary; Authority Drift Detection; Tool-Action Liability Boundary</w:t>
            </w:r>
          </w:p>
        </w:tc>
        <w:tc>
          <w:tcPr>
            <w:tcW w:type="dxa" w:w="2045"/>
          </w:tcPr>
          <w:p>
            <w:pPr>
              <w:spacing w:after="0"/>
            </w:pPr>
            <w:r>
              <w:rPr>
                <w:rFonts w:ascii="Arial" w:hAnsi="Arial"/>
                <w:b w:val="0"/>
                <w:sz w:val="14"/>
              </w:rPr>
              <w:t>Authority grant records; tool-action logs; drift detection logs; human confirmation records; acceptance records</w:t>
            </w:r>
          </w:p>
        </w:tc>
        <w:tc>
          <w:tcPr>
            <w:tcW w:type="dxa" w:w="2045"/>
          </w:tcPr>
          <w:p>
            <w:pPr>
              <w:spacing w:after="0"/>
            </w:pPr>
            <w:r>
              <w:rPr>
                <w:rFonts w:ascii="Arial" w:hAnsi="Arial"/>
                <w:b w:val="0"/>
                <w:sz w:val="14"/>
              </w:rPr>
              <w:t>Implement authority boundary enforcement; add drift detection; require human confirmation for commitments; add reauthorization workflow</w:t>
            </w:r>
          </w:p>
        </w:tc>
      </w:tr>
      <w:tr>
        <w:tc>
          <w:tcPr>
            <w:tcW w:type="dxa" w:w="2045"/>
          </w:tcPr>
          <w:p>
            <w:pPr>
              <w:spacing w:after="0"/>
            </w:pPr>
            <w:r>
              <w:rPr>
                <w:rFonts w:ascii="Arial" w:hAnsi="Arial"/>
                <w:b w:val="0"/>
                <w:sz w:val="14"/>
              </w:rPr>
              <w:t>Evidence Chain Failure</w:t>
            </w:r>
          </w:p>
        </w:tc>
        <w:tc>
          <w:tcPr>
            <w:tcW w:type="dxa" w:w="2045"/>
          </w:tcPr>
          <w:p>
            <w:pPr>
              <w:spacing w:after="0"/>
            </w:pPr>
            <w:r>
              <w:rPr>
                <w:rFonts w:ascii="Arial" w:hAnsi="Arial"/>
                <w:b w:val="0"/>
                <w:sz w:val="14"/>
              </w:rPr>
              <w:t>Organization has logs but cannot reconstruct authority, plan, confirmation, tool action, and accepted outcome</w:t>
            </w:r>
          </w:p>
        </w:tc>
        <w:tc>
          <w:tcPr>
            <w:tcW w:type="dxa" w:w="2045"/>
          </w:tcPr>
          <w:p>
            <w:pPr>
              <w:spacing w:after="0"/>
            </w:pPr>
            <w:r>
              <w:rPr>
                <w:rFonts w:ascii="Arial" w:hAnsi="Arial"/>
                <w:b w:val="0"/>
                <w:sz w:val="14"/>
              </w:rPr>
              <w:t>MAS Evidence Partitioning; Privacy-Preserving Third-Party Validation; Evidence Minimization</w:t>
            </w:r>
          </w:p>
        </w:tc>
        <w:tc>
          <w:tcPr>
            <w:tcW w:type="dxa" w:w="2045"/>
          </w:tcPr>
          <w:p>
            <w:pPr>
              <w:spacing w:after="0"/>
            </w:pPr>
            <w:r>
              <w:rPr>
                <w:rFonts w:ascii="Arial" w:hAnsi="Arial"/>
                <w:b w:val="0"/>
                <w:sz w:val="14"/>
              </w:rPr>
              <w:t>Partitioned evidence chain; evidence export records; retention policy records; validation protocol records</w:t>
            </w:r>
          </w:p>
        </w:tc>
        <w:tc>
          <w:tcPr>
            <w:tcW w:type="dxa" w:w="2045"/>
          </w:tcPr>
          <w:p>
            <w:pPr>
              <w:spacing w:after="0"/>
            </w:pPr>
            <w:r>
              <w:rPr>
                <w:rFonts w:ascii="Arial" w:hAnsi="Arial"/>
                <w:b w:val="0"/>
                <w:sz w:val="14"/>
              </w:rPr>
              <w:t>Implement MAS evidence partitioning; add evidence export with selective disclosure; add privacy-preserving validation protocol</w:t>
            </w:r>
          </w:p>
        </w:tc>
      </w:tr>
      <w:tr>
        <w:tc>
          <w:tcPr>
            <w:tcW w:type="dxa" w:w="2045"/>
          </w:tcPr>
          <w:p>
            <w:pPr>
              <w:spacing w:after="0"/>
            </w:pPr>
            <w:r>
              <w:rPr>
                <w:rFonts w:ascii="Arial" w:hAnsi="Arial"/>
                <w:b w:val="0"/>
                <w:sz w:val="14"/>
              </w:rPr>
              <w:t>Accepted Outcome Failure</w:t>
            </w:r>
          </w:p>
        </w:tc>
        <w:tc>
          <w:tcPr>
            <w:tcW w:type="dxa" w:w="2045"/>
          </w:tcPr>
          <w:p>
            <w:pPr>
              <w:spacing w:after="0"/>
            </w:pPr>
            <w:r>
              <w:rPr>
                <w:rFonts w:ascii="Arial" w:hAnsi="Arial"/>
                <w:b w:val="0"/>
                <w:sz w:val="14"/>
              </w:rPr>
              <w:t>Orchestrator marks task complete but no human accepts the result</w:t>
            </w:r>
          </w:p>
        </w:tc>
        <w:tc>
          <w:tcPr>
            <w:tcW w:type="dxa" w:w="2045"/>
          </w:tcPr>
          <w:p>
            <w:pPr>
              <w:spacing w:after="0"/>
            </w:pPr>
            <w:r>
              <w:rPr>
                <w:rFonts w:ascii="Arial" w:hAnsi="Arial"/>
                <w:b w:val="0"/>
                <w:sz w:val="14"/>
              </w:rPr>
              <w:t>Human-Role-to-MAS Responsibility Mapping; Accepted Outcome Compliance; Incident/Dispute/Remediation Closure</w:t>
            </w:r>
          </w:p>
        </w:tc>
        <w:tc>
          <w:tcPr>
            <w:tcW w:type="dxa" w:w="2045"/>
          </w:tcPr>
          <w:p>
            <w:pPr>
              <w:spacing w:after="0"/>
            </w:pPr>
            <w:r>
              <w:rPr>
                <w:rFonts w:ascii="Arial" w:hAnsi="Arial"/>
                <w:b w:val="0"/>
                <w:sz w:val="14"/>
              </w:rPr>
              <w:t>Role assignment records; acceptance records; review records; escalation records; remediation ownership records</w:t>
            </w:r>
          </w:p>
        </w:tc>
        <w:tc>
          <w:tcPr>
            <w:tcW w:type="dxa" w:w="2045"/>
          </w:tcPr>
          <w:p>
            <w:pPr>
              <w:spacing w:after="0"/>
            </w:pPr>
            <w:r>
              <w:rPr>
                <w:rFonts w:ascii="Arial" w:hAnsi="Arial"/>
                <w:b w:val="0"/>
                <w:sz w:val="14"/>
              </w:rPr>
              <w:t>Implement human-role-to-MAS responsibility mapping; add accepted outcome compliance workflow; add review and escalation workflow</w:t>
            </w:r>
          </w:p>
        </w:tc>
      </w:tr>
      <w:tr>
        <w:tc>
          <w:tcPr>
            <w:tcW w:type="dxa" w:w="2045"/>
          </w:tcPr>
          <w:p>
            <w:pPr>
              <w:spacing w:after="0"/>
            </w:pPr>
            <w:r>
              <w:rPr>
                <w:rFonts w:ascii="Arial" w:hAnsi="Arial"/>
                <w:b w:val="0"/>
                <w:sz w:val="14"/>
              </w:rPr>
              <w:t>Cross-Project Reuse Failure</w:t>
            </w:r>
          </w:p>
        </w:tc>
        <w:tc>
          <w:tcPr>
            <w:tcW w:type="dxa" w:w="2045"/>
          </w:tcPr>
          <w:p>
            <w:pPr>
              <w:spacing w:after="0"/>
            </w:pPr>
            <w:r>
              <w:rPr>
                <w:rFonts w:ascii="Arial" w:hAnsi="Arial"/>
                <w:b w:val="0"/>
                <w:sz w:val="14"/>
              </w:rPr>
              <w:t>Prompt, memory, or workflow reused across regulated contexts without reset or reauthorization</w:t>
            </w:r>
          </w:p>
        </w:tc>
        <w:tc>
          <w:tcPr>
            <w:tcW w:type="dxa" w:w="2045"/>
          </w:tcPr>
          <w:p>
            <w:pPr>
              <w:spacing w:after="0"/>
            </w:pPr>
            <w:r>
              <w:rPr>
                <w:rFonts w:ascii="Arial" w:hAnsi="Arial"/>
                <w:b w:val="0"/>
                <w:sz w:val="14"/>
              </w:rPr>
              <w:t>Cross-Project Reuse Compliance; Privacy/GDPR Lifecycle Mapping; Vendor/Model/Runtime Substitution Conformance</w:t>
            </w:r>
          </w:p>
        </w:tc>
        <w:tc>
          <w:tcPr>
            <w:tcW w:type="dxa" w:w="2045"/>
          </w:tcPr>
          <w:p>
            <w:pPr>
              <w:spacing w:after="0"/>
            </w:pPr>
            <w:r>
              <w:rPr>
                <w:rFonts w:ascii="Arial" w:hAnsi="Arial"/>
                <w:b w:val="0"/>
                <w:sz w:val="14"/>
              </w:rPr>
              <w:t>Reuse records; reset validation records; reauthorization records; context boundary records; privacy impact assessment records</w:t>
            </w:r>
          </w:p>
        </w:tc>
        <w:tc>
          <w:tcPr>
            <w:tcW w:type="dxa" w:w="2045"/>
          </w:tcPr>
          <w:p>
            <w:pPr>
              <w:spacing w:after="0"/>
            </w:pPr>
            <w:r>
              <w:rPr>
                <w:rFonts w:ascii="Arial" w:hAnsi="Arial"/>
                <w:b w:val="0"/>
                <w:sz w:val="14"/>
              </w:rPr>
              <w:t>Implement cross-project reuse compliance workflow; add context boundary validation; add privacy/GDPR lifecycle mapping</w:t>
            </w:r>
          </w:p>
        </w:tc>
      </w:tr>
      <w:tr>
        <w:tc>
          <w:tcPr>
            <w:tcW w:type="dxa" w:w="2045"/>
          </w:tcPr>
          <w:p>
            <w:pPr>
              <w:spacing w:after="0"/>
            </w:pPr>
            <w:r>
              <w:rPr>
                <w:rFonts w:ascii="Arial" w:hAnsi="Arial"/>
                <w:b w:val="0"/>
                <w:sz w:val="14"/>
              </w:rPr>
              <w:t>Privacy Validation Failure</w:t>
            </w:r>
          </w:p>
        </w:tc>
        <w:tc>
          <w:tcPr>
            <w:tcW w:type="dxa" w:w="2045"/>
          </w:tcPr>
          <w:p>
            <w:pPr>
              <w:spacing w:after="0"/>
            </w:pPr>
            <w:r>
              <w:rPr>
                <w:rFonts w:ascii="Arial" w:hAnsi="Arial"/>
                <w:b w:val="0"/>
                <w:sz w:val="14"/>
              </w:rPr>
              <w:t>Enterprise sends raw traces with PII to third-party reviewer without data processing agreement</w:t>
            </w:r>
          </w:p>
        </w:tc>
        <w:tc>
          <w:tcPr>
            <w:tcW w:type="dxa" w:w="2045"/>
          </w:tcPr>
          <w:p>
            <w:pPr>
              <w:spacing w:after="0"/>
            </w:pPr>
            <w:r>
              <w:rPr>
                <w:rFonts w:ascii="Arial" w:hAnsi="Arial"/>
                <w:b w:val="0"/>
                <w:sz w:val="14"/>
              </w:rPr>
              <w:t>Privacy/GDPR Lifecycle Mapping; Privacy-Preserving Third-Party Validation; Evidence Minimization; Data Subject Rights</w:t>
            </w:r>
          </w:p>
        </w:tc>
        <w:tc>
          <w:tcPr>
            <w:tcW w:type="dxa" w:w="2045"/>
          </w:tcPr>
          <w:p>
            <w:pPr>
              <w:spacing w:after="0"/>
            </w:pPr>
            <w:r>
              <w:rPr>
                <w:rFonts w:ascii="Arial" w:hAnsi="Arial"/>
                <w:b w:val="0"/>
                <w:sz w:val="14"/>
              </w:rPr>
              <w:t>Validation evidence transfer records; data processing agreement records; disclosure policy records; redaction records</w:t>
            </w:r>
          </w:p>
        </w:tc>
        <w:tc>
          <w:tcPr>
            <w:tcW w:type="dxa" w:w="2045"/>
          </w:tcPr>
          <w:p>
            <w:pPr>
              <w:spacing w:after="0"/>
            </w:pPr>
            <w:r>
              <w:rPr>
                <w:rFonts w:ascii="Arial" w:hAnsi="Arial"/>
                <w:b w:val="0"/>
                <w:sz w:val="14"/>
              </w:rPr>
              <w:t>Implement privacy-preserving validation protocol; add disclosure policy with evidence minimization; add redaction profile; require data processing agreements</w:t>
            </w:r>
          </w:p>
        </w:tc>
      </w:tr>
      <w:tr>
        <w:tc>
          <w:tcPr>
            <w:tcW w:type="dxa" w:w="2045"/>
          </w:tcPr>
          <w:p>
            <w:pPr>
              <w:spacing w:after="0"/>
            </w:pPr>
            <w:r>
              <w:rPr>
                <w:rFonts w:ascii="Arial" w:hAnsi="Arial"/>
                <w:b w:val="0"/>
                <w:sz w:val="14"/>
              </w:rPr>
              <w:t>Processor Chain Failure</w:t>
            </w:r>
          </w:p>
        </w:tc>
        <w:tc>
          <w:tcPr>
            <w:tcW w:type="dxa" w:w="2045"/>
          </w:tcPr>
          <w:p>
            <w:pPr>
              <w:spacing w:after="0"/>
            </w:pPr>
            <w:r>
              <w:rPr>
                <w:rFonts w:ascii="Arial" w:hAnsi="Arial"/>
                <w:b w:val="0"/>
                <w:sz w:val="14"/>
              </w:rPr>
              <w:t>Multi-vendor workflow but no processor/subprocessor responsibility chain exists</w:t>
            </w:r>
          </w:p>
        </w:tc>
        <w:tc>
          <w:tcPr>
            <w:tcW w:type="dxa" w:w="2045"/>
          </w:tcPr>
          <w:p>
            <w:pPr>
              <w:spacing w:after="0"/>
            </w:pPr>
            <w:r>
              <w:rPr>
                <w:rFonts w:ascii="Arial" w:hAnsi="Arial"/>
                <w:b w:val="0"/>
                <w:sz w:val="14"/>
              </w:rPr>
              <w:t>Third-Party Processor/Subprocessor Chain; Tool-Action Liability Boundary; MAS Evidence Partitioning</w:t>
            </w:r>
          </w:p>
        </w:tc>
        <w:tc>
          <w:tcPr>
            <w:tcW w:type="dxa" w:w="2045"/>
          </w:tcPr>
          <w:p>
            <w:pPr>
              <w:spacing w:after="0"/>
            </w:pPr>
            <w:r>
              <w:rPr>
                <w:rFonts w:ascii="Arial" w:hAnsi="Arial"/>
                <w:b w:val="0"/>
                <w:sz w:val="14"/>
              </w:rPr>
              <w:t>Processor agreements; subprocessor chain records; responsibility assignment records; tool-action logs; evidence partitioning records</w:t>
            </w:r>
          </w:p>
        </w:tc>
        <w:tc>
          <w:tcPr>
            <w:tcW w:type="dxa" w:w="2045"/>
          </w:tcPr>
          <w:p>
            <w:pPr>
              <w:spacing w:after="0"/>
            </w:pPr>
            <w:r>
              <w:rPr>
                <w:rFonts w:ascii="Arial" w:hAnsi="Arial"/>
                <w:b w:val="0"/>
                <w:sz w:val="14"/>
              </w:rPr>
              <w:t>Implement processor/subprocessor chain mapping; add processor agreements with GDPR Article 28 mapping and legal review; add responsibility assignment</w:t>
            </w:r>
          </w:p>
        </w:tc>
      </w:tr>
      <w:tr>
        <w:tc>
          <w:tcPr>
            <w:tcW w:type="dxa" w:w="2045"/>
          </w:tcPr>
          <w:p>
            <w:pPr>
              <w:spacing w:after="0"/>
            </w:pPr>
            <w:r>
              <w:rPr>
                <w:rFonts w:ascii="Arial" w:hAnsi="Arial"/>
                <w:b w:val="0"/>
                <w:sz w:val="14"/>
              </w:rPr>
              <w:t>Vendor/Runtime Substitution Failure</w:t>
            </w:r>
          </w:p>
        </w:tc>
        <w:tc>
          <w:tcPr>
            <w:tcW w:type="dxa" w:w="2045"/>
          </w:tcPr>
          <w:p>
            <w:pPr>
              <w:spacing w:after="0"/>
            </w:pPr>
            <w:r>
              <w:rPr>
                <w:rFonts w:ascii="Arial" w:hAnsi="Arial"/>
                <w:b w:val="0"/>
                <w:sz w:val="14"/>
              </w:rPr>
              <w:t>Model/runtime substitution degrades evidence, authority, and privacy semantics</w:t>
            </w:r>
          </w:p>
        </w:tc>
        <w:tc>
          <w:tcPr>
            <w:tcW w:type="dxa" w:w="2045"/>
          </w:tcPr>
          <w:p>
            <w:pPr>
              <w:spacing w:after="0"/>
            </w:pPr>
            <w:r>
              <w:rPr>
                <w:rFonts w:ascii="Arial" w:hAnsi="Arial"/>
                <w:b w:val="0"/>
                <w:sz w:val="14"/>
              </w:rPr>
              <w:t>Vendor/Model/Runtime Substitution Conformance; MAS Evidence Partitioning; Privacy/GDPR Lifecycle Mapping</w:t>
            </w:r>
          </w:p>
        </w:tc>
        <w:tc>
          <w:tcPr>
            <w:tcW w:type="dxa" w:w="2045"/>
          </w:tcPr>
          <w:p>
            <w:pPr>
              <w:spacing w:after="0"/>
            </w:pPr>
            <w:r>
              <w:rPr>
                <w:rFonts w:ascii="Arial" w:hAnsi="Arial"/>
                <w:b w:val="0"/>
                <w:sz w:val="14"/>
              </w:rPr>
              <w:t>Substitution records; conformance validation records; regression testing records; evidence integrity validation records</w:t>
            </w:r>
          </w:p>
        </w:tc>
        <w:tc>
          <w:tcPr>
            <w:tcW w:type="dxa" w:w="2045"/>
          </w:tcPr>
          <w:p>
            <w:pPr>
              <w:spacing w:after="0"/>
            </w:pPr>
            <w:r>
              <w:rPr>
                <w:rFonts w:ascii="Arial" w:hAnsi="Arial"/>
                <w:b w:val="0"/>
                <w:sz w:val="14"/>
              </w:rPr>
              <w:t>Implement substitution conformance workflow; add conformance validation testing; add regression testing for evidence chain integrity</w:t>
            </w:r>
          </w:p>
        </w:tc>
      </w:tr>
      <w:tr>
        <w:tc>
          <w:tcPr>
            <w:tcW w:type="dxa" w:w="2045"/>
          </w:tcPr>
          <w:p>
            <w:pPr>
              <w:spacing w:after="0"/>
            </w:pPr>
            <w:r>
              <w:rPr>
                <w:rFonts w:ascii="Arial" w:hAnsi="Arial"/>
                <w:b w:val="0"/>
                <w:sz w:val="14"/>
              </w:rPr>
              <w:t>Remediation Closure Failure</w:t>
            </w:r>
          </w:p>
        </w:tc>
        <w:tc>
          <w:tcPr>
            <w:tcW w:type="dxa" w:w="2045"/>
          </w:tcPr>
          <w:p>
            <w:pPr>
              <w:spacing w:after="0"/>
            </w:pPr>
            <w:r>
              <w:rPr>
                <w:rFonts w:ascii="Arial" w:hAnsi="Arial"/>
                <w:b w:val="0"/>
                <w:sz w:val="14"/>
              </w:rPr>
              <w:t>Bug fixed but no responsible owner, affected outcome list, evidence review, or accepted closure state</w:t>
            </w:r>
          </w:p>
        </w:tc>
        <w:tc>
          <w:tcPr>
            <w:tcW w:type="dxa" w:w="2045"/>
          </w:tcPr>
          <w:p>
            <w:pPr>
              <w:spacing w:after="0"/>
            </w:pPr>
            <w:r>
              <w:rPr>
                <w:rFonts w:ascii="Arial" w:hAnsi="Arial"/>
                <w:b w:val="0"/>
                <w:sz w:val="14"/>
              </w:rPr>
              <w:t>Incident/Dispute/Remediation Closure; Accepted Outcome Compliance; MAS Evidence Partitioning</w:t>
            </w:r>
          </w:p>
        </w:tc>
        <w:tc>
          <w:tcPr>
            <w:tcW w:type="dxa" w:w="2045"/>
          </w:tcPr>
          <w:p>
            <w:pPr>
              <w:spacing w:after="0"/>
            </w:pPr>
            <w:r>
              <w:rPr>
                <w:rFonts w:ascii="Arial" w:hAnsi="Arial"/>
                <w:b w:val="0"/>
                <w:sz w:val="14"/>
              </w:rPr>
              <w:t>Incident records; affected outcome records; remediation records; closure acceptance records; customer impact assessment records</w:t>
            </w:r>
          </w:p>
        </w:tc>
        <w:tc>
          <w:tcPr>
            <w:tcW w:type="dxa" w:w="2045"/>
          </w:tcPr>
          <w:p>
            <w:pPr>
              <w:spacing w:after="0"/>
            </w:pPr>
            <w:r>
              <w:rPr>
                <w:rFonts w:ascii="Arial" w:hAnsi="Arial"/>
                <w:b w:val="0"/>
                <w:sz w:val="14"/>
              </w:rPr>
              <w:t>Implement incident/dispute/remediation closure workflow; add responsible owner assignment; add affected outcome list generation; add closure acceptance</w:t>
            </w:r>
          </w:p>
        </w:tc>
      </w:tr>
    </w:tbl>
    <w:p>
      <w:pPr>
        <w:keepNext/>
      </w:pPr>
      <w:r>
        <w:rPr>
          <w:b/>
          <w:sz w:val="16"/>
        </w:rPr>
        <w:t>Table T-15-04: Prevention and Remediation Patterns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Pattern</w:t>
            </w:r>
          </w:p>
        </w:tc>
        <w:tc>
          <w:tcPr>
            <w:tcW w:type="dxa" w:w="2045"/>
          </w:tcPr>
          <w:p>
            <w:pPr>
              <w:spacing w:after="0"/>
            </w:pPr>
            <w:r>
              <w:rPr>
                <w:rFonts w:ascii="Arial" w:hAnsi="Arial"/>
                <w:b/>
                <w:sz w:val="14"/>
              </w:rPr>
              <w:t>Prevents Which Failure</w:t>
            </w:r>
          </w:p>
        </w:tc>
        <w:tc>
          <w:tcPr>
            <w:tcW w:type="dxa" w:w="2045"/>
          </w:tcPr>
          <w:p>
            <w:pPr>
              <w:spacing w:after="0"/>
            </w:pPr>
            <w:r>
              <w:rPr>
                <w:rFonts w:ascii="Arial" w:hAnsi="Arial"/>
                <w:b/>
                <w:sz w:val="14"/>
              </w:rPr>
              <w:t>Required Object</w:t>
            </w:r>
          </w:p>
        </w:tc>
        <w:tc>
          <w:tcPr>
            <w:tcW w:type="dxa" w:w="2045"/>
          </w:tcPr>
          <w:p>
            <w:pPr>
              <w:spacing w:after="0"/>
            </w:pPr>
            <w:r>
              <w:rPr>
                <w:rFonts w:ascii="Arial" w:hAnsi="Arial"/>
                <w:b/>
                <w:sz w:val="14"/>
              </w:rPr>
              <w:t>Operational Owner</w:t>
            </w:r>
          </w:p>
        </w:tc>
        <w:tc>
          <w:tcPr>
            <w:tcW w:type="dxa" w:w="2045"/>
          </w:tcPr>
          <w:p>
            <w:pPr>
              <w:spacing w:after="0"/>
            </w:pPr>
            <w:r>
              <w:rPr>
                <w:rFonts w:ascii="Arial" w:hAnsi="Arial"/>
                <w:b/>
                <w:sz w:val="14"/>
              </w:rPr>
              <w:t>Evidence Artifact</w:t>
            </w:r>
          </w:p>
        </w:tc>
      </w:tr>
      <w:tr>
        <w:tc>
          <w:tcPr>
            <w:tcW w:type="dxa" w:w="2045"/>
          </w:tcPr>
          <w:p>
            <w:pPr>
              <w:spacing w:after="0"/>
            </w:pPr>
            <w:r>
              <w:rPr>
                <w:rFonts w:ascii="Arial" w:hAnsi="Arial"/>
                <w:b w:val="0"/>
                <w:sz w:val="14"/>
              </w:rPr>
              <w:t>Authority Boundary Enforcement</w:t>
            </w:r>
          </w:p>
        </w:tc>
        <w:tc>
          <w:tcPr>
            <w:tcW w:type="dxa" w:w="2045"/>
          </w:tcPr>
          <w:p>
            <w:pPr>
              <w:spacing w:after="0"/>
            </w:pPr>
            <w:r>
              <w:rPr>
                <w:rFonts w:ascii="Arial" w:hAnsi="Arial"/>
                <w:b w:val="0"/>
                <w:sz w:val="14"/>
              </w:rPr>
              <w:t>Authority Boundary Failure; Authority Drift</w:t>
            </w:r>
          </w:p>
        </w:tc>
        <w:tc>
          <w:tcPr>
            <w:tcW w:type="dxa" w:w="2045"/>
          </w:tcPr>
          <w:p>
            <w:pPr>
              <w:spacing w:after="0"/>
            </w:pPr>
            <w:r>
              <w:rPr>
                <w:rFonts w:ascii="Arial" w:hAnsi="Arial"/>
                <w:b w:val="0"/>
                <w:sz w:val="14"/>
              </w:rPr>
              <w:t>Delegated Authority Boundary (MRO-02); Authority Drift Detection (MRO-07)</w:t>
            </w:r>
          </w:p>
        </w:tc>
        <w:tc>
          <w:tcPr>
            <w:tcW w:type="dxa" w:w="2045"/>
          </w:tcPr>
          <w:p>
            <w:pPr>
              <w:spacing w:after="0"/>
            </w:pPr>
            <w:r>
              <w:rPr>
                <w:rFonts w:ascii="Arial" w:hAnsi="Arial"/>
                <w:b w:val="0"/>
                <w:sz w:val="14"/>
              </w:rPr>
              <w:t>Governance team; agent operations team</w:t>
            </w:r>
          </w:p>
        </w:tc>
        <w:tc>
          <w:tcPr>
            <w:tcW w:type="dxa" w:w="2045"/>
          </w:tcPr>
          <w:p>
            <w:pPr>
              <w:spacing w:after="0"/>
            </w:pPr>
            <w:r>
              <w:rPr>
                <w:rFonts w:ascii="Arial" w:hAnsi="Arial"/>
                <w:b w:val="0"/>
                <w:sz w:val="14"/>
              </w:rPr>
              <w:t>Authority grant records; boundary violation alerts; drift detection logs</w:t>
            </w:r>
          </w:p>
        </w:tc>
      </w:tr>
      <w:tr>
        <w:tc>
          <w:tcPr>
            <w:tcW w:type="dxa" w:w="2045"/>
          </w:tcPr>
          <w:p>
            <w:pPr>
              <w:spacing w:after="0"/>
            </w:pPr>
            <w:r>
              <w:rPr>
                <w:rFonts w:ascii="Arial" w:hAnsi="Arial"/>
                <w:b w:val="0"/>
                <w:sz w:val="14"/>
              </w:rPr>
              <w:t>MAS Evidence Partitioning</w:t>
            </w:r>
          </w:p>
        </w:tc>
        <w:tc>
          <w:tcPr>
            <w:tcW w:type="dxa" w:w="2045"/>
          </w:tcPr>
          <w:p>
            <w:pPr>
              <w:spacing w:after="0"/>
            </w:pPr>
            <w:r>
              <w:rPr>
                <w:rFonts w:ascii="Arial" w:hAnsi="Arial"/>
                <w:b w:val="0"/>
                <w:sz w:val="14"/>
              </w:rPr>
              <w:t>Evidence Chain Failure; Processor Chain Failure</w:t>
            </w:r>
          </w:p>
        </w:tc>
        <w:tc>
          <w:tcPr>
            <w:tcW w:type="dxa" w:w="2045"/>
          </w:tcPr>
          <w:p>
            <w:pPr>
              <w:spacing w:after="0"/>
            </w:pPr>
            <w:r>
              <w:rPr>
                <w:rFonts w:ascii="Arial" w:hAnsi="Arial"/>
                <w:b w:val="0"/>
                <w:sz w:val="14"/>
              </w:rPr>
              <w:t>MAS Evidence Partitioning (MRO-08)</w:t>
            </w:r>
          </w:p>
        </w:tc>
        <w:tc>
          <w:tcPr>
            <w:tcW w:type="dxa" w:w="2045"/>
          </w:tcPr>
          <w:p>
            <w:pPr>
              <w:spacing w:after="0"/>
            </w:pPr>
            <w:r>
              <w:rPr>
                <w:rFonts w:ascii="Arial" w:hAnsi="Arial"/>
                <w:b w:val="0"/>
                <w:sz w:val="14"/>
              </w:rPr>
              <w:t>Data governance team; compliance team</w:t>
            </w:r>
          </w:p>
        </w:tc>
        <w:tc>
          <w:tcPr>
            <w:tcW w:type="dxa" w:w="2045"/>
          </w:tcPr>
          <w:p>
            <w:pPr>
              <w:spacing w:after="0"/>
            </w:pPr>
            <w:r>
              <w:rPr>
                <w:rFonts w:ascii="Arial" w:hAnsi="Arial"/>
                <w:b w:val="0"/>
                <w:sz w:val="14"/>
              </w:rPr>
              <w:t>Partitioned evidence chains; evidence export logs; partition policy records</w:t>
            </w:r>
          </w:p>
        </w:tc>
      </w:tr>
      <w:tr>
        <w:tc>
          <w:tcPr>
            <w:tcW w:type="dxa" w:w="2045"/>
          </w:tcPr>
          <w:p>
            <w:pPr>
              <w:spacing w:after="0"/>
            </w:pPr>
            <w:r>
              <w:rPr>
                <w:rFonts w:ascii="Arial" w:hAnsi="Arial"/>
                <w:b w:val="0"/>
                <w:sz w:val="14"/>
              </w:rPr>
              <w:t>Accepted Outcome Compliance Workflow</w:t>
            </w:r>
          </w:p>
        </w:tc>
        <w:tc>
          <w:tcPr>
            <w:tcW w:type="dxa" w:w="2045"/>
          </w:tcPr>
          <w:p>
            <w:pPr>
              <w:spacing w:after="0"/>
            </w:pPr>
            <w:r>
              <w:rPr>
                <w:rFonts w:ascii="Arial" w:hAnsi="Arial"/>
                <w:b w:val="0"/>
                <w:sz w:val="14"/>
              </w:rPr>
              <w:t>Accepted Outcome Failure; Remediation Closure Failure</w:t>
            </w:r>
          </w:p>
        </w:tc>
        <w:tc>
          <w:tcPr>
            <w:tcW w:type="dxa" w:w="2045"/>
          </w:tcPr>
          <w:p>
            <w:pPr>
              <w:spacing w:after="0"/>
            </w:pPr>
            <w:r>
              <w:rPr>
                <w:rFonts w:ascii="Arial" w:hAnsi="Arial"/>
                <w:b w:val="0"/>
                <w:sz w:val="14"/>
              </w:rPr>
              <w:t>Accepted Outcome Compliance (MRO-04); Human-Role-to-MAS Responsibility Mapping (MRO-01)</w:t>
            </w:r>
          </w:p>
        </w:tc>
        <w:tc>
          <w:tcPr>
            <w:tcW w:type="dxa" w:w="2045"/>
          </w:tcPr>
          <w:p>
            <w:pPr>
              <w:spacing w:after="0"/>
            </w:pPr>
            <w:r>
              <w:rPr>
                <w:rFonts w:ascii="Arial" w:hAnsi="Arial"/>
                <w:b w:val="0"/>
                <w:sz w:val="14"/>
              </w:rPr>
              <w:t>Business process owner; compliance team</w:t>
            </w:r>
          </w:p>
        </w:tc>
        <w:tc>
          <w:tcPr>
            <w:tcW w:type="dxa" w:w="2045"/>
          </w:tcPr>
          <w:p>
            <w:pPr>
              <w:spacing w:after="0"/>
            </w:pPr>
            <w:r>
              <w:rPr>
                <w:rFonts w:ascii="Arial" w:hAnsi="Arial"/>
                <w:b w:val="0"/>
                <w:sz w:val="14"/>
              </w:rPr>
              <w:t>Acceptance records; review records; escalation records; closure acceptance records</w:t>
            </w:r>
          </w:p>
        </w:tc>
      </w:tr>
      <w:tr>
        <w:tc>
          <w:tcPr>
            <w:tcW w:type="dxa" w:w="2045"/>
          </w:tcPr>
          <w:p>
            <w:pPr>
              <w:spacing w:after="0"/>
            </w:pPr>
            <w:r>
              <w:rPr>
                <w:rFonts w:ascii="Arial" w:hAnsi="Arial"/>
                <w:b w:val="0"/>
                <w:sz w:val="14"/>
              </w:rPr>
              <w:t>Cross-Project Reuse Compliance Workflow</w:t>
            </w:r>
          </w:p>
        </w:tc>
        <w:tc>
          <w:tcPr>
            <w:tcW w:type="dxa" w:w="2045"/>
          </w:tcPr>
          <w:p>
            <w:pPr>
              <w:spacing w:after="0"/>
            </w:pPr>
            <w:r>
              <w:rPr>
                <w:rFonts w:ascii="Arial" w:hAnsi="Arial"/>
                <w:b w:val="0"/>
                <w:sz w:val="14"/>
              </w:rPr>
              <w:t>Cross-Project Reuse Failure</w:t>
            </w:r>
          </w:p>
        </w:tc>
        <w:tc>
          <w:tcPr>
            <w:tcW w:type="dxa" w:w="2045"/>
          </w:tcPr>
          <w:p>
            <w:pPr>
              <w:spacing w:after="0"/>
            </w:pPr>
            <w:r>
              <w:rPr>
                <w:rFonts w:ascii="Arial" w:hAnsi="Arial"/>
                <w:b w:val="0"/>
                <w:sz w:val="14"/>
              </w:rPr>
              <w:t>Cross-Project Reuse Compliance (MRO-09); Privacy/GDPR Lifecycle Mapping (MRO-10)</w:t>
            </w:r>
          </w:p>
        </w:tc>
        <w:tc>
          <w:tcPr>
            <w:tcW w:type="dxa" w:w="2045"/>
          </w:tcPr>
          <w:p>
            <w:pPr>
              <w:spacing w:after="0"/>
            </w:pPr>
            <w:r>
              <w:rPr>
                <w:rFonts w:ascii="Arial" w:hAnsi="Arial"/>
                <w:b w:val="0"/>
                <w:sz w:val="14"/>
              </w:rPr>
              <w:t>Data governance team; privacy team</w:t>
            </w:r>
          </w:p>
        </w:tc>
        <w:tc>
          <w:tcPr>
            <w:tcW w:type="dxa" w:w="2045"/>
          </w:tcPr>
          <w:p>
            <w:pPr>
              <w:spacing w:after="0"/>
            </w:pPr>
            <w:r>
              <w:rPr>
                <w:rFonts w:ascii="Arial" w:hAnsi="Arial"/>
                <w:b w:val="0"/>
                <w:sz w:val="14"/>
              </w:rPr>
              <w:t>Reuse records; reset validation records; reauthorization records; context boundary records</w:t>
            </w:r>
          </w:p>
        </w:tc>
      </w:tr>
      <w:tr>
        <w:tc>
          <w:tcPr>
            <w:tcW w:type="dxa" w:w="2045"/>
          </w:tcPr>
          <w:p>
            <w:pPr>
              <w:spacing w:after="0"/>
            </w:pPr>
            <w:r>
              <w:rPr>
                <w:rFonts w:ascii="Arial" w:hAnsi="Arial"/>
                <w:b w:val="0"/>
                <w:sz w:val="14"/>
              </w:rPr>
              <w:t>Privacy-Preserving Validation Protocol</w:t>
            </w:r>
          </w:p>
        </w:tc>
        <w:tc>
          <w:tcPr>
            <w:tcW w:type="dxa" w:w="2045"/>
          </w:tcPr>
          <w:p>
            <w:pPr>
              <w:spacing w:after="0"/>
            </w:pPr>
            <w:r>
              <w:rPr>
                <w:rFonts w:ascii="Arial" w:hAnsi="Arial"/>
                <w:b w:val="0"/>
                <w:sz w:val="14"/>
              </w:rPr>
              <w:t>Privacy Validation Failure</w:t>
            </w:r>
          </w:p>
        </w:tc>
        <w:tc>
          <w:tcPr>
            <w:tcW w:type="dxa" w:w="2045"/>
          </w:tcPr>
          <w:p>
            <w:pPr>
              <w:spacing w:after="0"/>
            </w:pPr>
            <w:r>
              <w:rPr>
                <w:rFonts w:ascii="Arial" w:hAnsi="Arial"/>
                <w:b w:val="0"/>
                <w:sz w:val="14"/>
              </w:rPr>
              <w:t>Privacy-Preserving Third-Party Validation (MRO-11); Evidence Minimization (MRO-12)</w:t>
            </w:r>
          </w:p>
        </w:tc>
        <w:tc>
          <w:tcPr>
            <w:tcW w:type="dxa" w:w="2045"/>
          </w:tcPr>
          <w:p>
            <w:pPr>
              <w:spacing w:after="0"/>
            </w:pPr>
            <w:r>
              <w:rPr>
                <w:rFonts w:ascii="Arial" w:hAnsi="Arial"/>
                <w:b w:val="0"/>
                <w:sz w:val="14"/>
              </w:rPr>
              <w:t>Privacy team; compliance team</w:t>
            </w:r>
          </w:p>
        </w:tc>
        <w:tc>
          <w:tcPr>
            <w:tcW w:type="dxa" w:w="2045"/>
          </w:tcPr>
          <w:p>
            <w:pPr>
              <w:spacing w:after="0"/>
            </w:pPr>
            <w:r>
              <w:rPr>
                <w:rFonts w:ascii="Arial" w:hAnsi="Arial"/>
                <w:b w:val="0"/>
                <w:sz w:val="14"/>
              </w:rPr>
              <w:t>Validation protocol records; disclosure policy records; redaction records; hash manifests; verdict hashes</w:t>
            </w:r>
          </w:p>
        </w:tc>
      </w:tr>
      <w:tr>
        <w:tc>
          <w:tcPr>
            <w:tcW w:type="dxa" w:w="2045"/>
          </w:tcPr>
          <w:p>
            <w:pPr>
              <w:spacing w:after="0"/>
            </w:pPr>
            <w:r>
              <w:rPr>
                <w:rFonts w:ascii="Arial" w:hAnsi="Arial"/>
                <w:b w:val="0"/>
                <w:sz w:val="14"/>
              </w:rPr>
              <w:t>Processor/Subprocessor Chain Mapping</w:t>
            </w:r>
          </w:p>
        </w:tc>
        <w:tc>
          <w:tcPr>
            <w:tcW w:type="dxa" w:w="2045"/>
          </w:tcPr>
          <w:p>
            <w:pPr>
              <w:spacing w:after="0"/>
            </w:pPr>
            <w:r>
              <w:rPr>
                <w:rFonts w:ascii="Arial" w:hAnsi="Arial"/>
                <w:b w:val="0"/>
                <w:sz w:val="14"/>
              </w:rPr>
              <w:t>Processor Chain Failure</w:t>
            </w:r>
          </w:p>
        </w:tc>
        <w:tc>
          <w:tcPr>
            <w:tcW w:type="dxa" w:w="2045"/>
          </w:tcPr>
          <w:p>
            <w:pPr>
              <w:spacing w:after="0"/>
            </w:pPr>
            <w:r>
              <w:rPr>
                <w:rFonts w:ascii="Arial" w:hAnsi="Arial"/>
                <w:b w:val="0"/>
                <w:sz w:val="14"/>
              </w:rPr>
              <w:t>Third-Party Processor/Subprocessor Chain (MRO-14)</w:t>
            </w:r>
          </w:p>
        </w:tc>
        <w:tc>
          <w:tcPr>
            <w:tcW w:type="dxa" w:w="2045"/>
          </w:tcPr>
          <w:p>
            <w:pPr>
              <w:spacing w:after="0"/>
            </w:pPr>
            <w:r>
              <w:rPr>
                <w:rFonts w:ascii="Arial" w:hAnsi="Arial"/>
                <w:b w:val="0"/>
                <w:sz w:val="14"/>
              </w:rPr>
              <w:t>Procurement team; legal team; data governance team</w:t>
            </w:r>
          </w:p>
        </w:tc>
        <w:tc>
          <w:tcPr>
            <w:tcW w:type="dxa" w:w="2045"/>
          </w:tcPr>
          <w:p>
            <w:pPr>
              <w:spacing w:after="0"/>
            </w:pPr>
            <w:r>
              <w:rPr>
                <w:rFonts w:ascii="Arial" w:hAnsi="Arial"/>
                <w:b w:val="0"/>
                <w:sz w:val="14"/>
              </w:rPr>
              <w:t>Processor agreements; subprocessor chain records; responsibility assignment records</w:t>
            </w:r>
          </w:p>
        </w:tc>
      </w:tr>
      <w:tr>
        <w:tc>
          <w:tcPr>
            <w:tcW w:type="dxa" w:w="2045"/>
          </w:tcPr>
          <w:p>
            <w:pPr>
              <w:spacing w:after="0"/>
            </w:pPr>
            <w:r>
              <w:rPr>
                <w:rFonts w:ascii="Arial" w:hAnsi="Arial"/>
                <w:b w:val="0"/>
                <w:sz w:val="14"/>
              </w:rPr>
              <w:t>Substitution Conformance Validation</w:t>
            </w:r>
          </w:p>
        </w:tc>
        <w:tc>
          <w:tcPr>
            <w:tcW w:type="dxa" w:w="2045"/>
          </w:tcPr>
          <w:p>
            <w:pPr>
              <w:spacing w:after="0"/>
            </w:pPr>
            <w:r>
              <w:rPr>
                <w:rFonts w:ascii="Arial" w:hAnsi="Arial"/>
                <w:b w:val="0"/>
                <w:sz w:val="14"/>
              </w:rPr>
              <w:t>Vendor/Runtime Substitution Failure</w:t>
            </w:r>
          </w:p>
        </w:tc>
        <w:tc>
          <w:tcPr>
            <w:tcW w:type="dxa" w:w="2045"/>
          </w:tcPr>
          <w:p>
            <w:pPr>
              <w:spacing w:after="0"/>
            </w:pPr>
            <w:r>
              <w:rPr>
                <w:rFonts w:ascii="Arial" w:hAnsi="Arial"/>
                <w:b w:val="0"/>
                <w:sz w:val="14"/>
              </w:rPr>
              <w:t>Vendor/Model/Runtime Substitution Conformance (MRO-15)</w:t>
            </w:r>
          </w:p>
        </w:tc>
        <w:tc>
          <w:tcPr>
            <w:tcW w:type="dxa" w:w="2045"/>
          </w:tcPr>
          <w:p>
            <w:pPr>
              <w:spacing w:after="0"/>
            </w:pPr>
            <w:r>
              <w:rPr>
                <w:rFonts w:ascii="Arial" w:hAnsi="Arial"/>
                <w:b w:val="0"/>
                <w:sz w:val="14"/>
              </w:rPr>
              <w:t>Engineering team; compliance team</w:t>
            </w:r>
          </w:p>
        </w:tc>
        <w:tc>
          <w:tcPr>
            <w:tcW w:type="dxa" w:w="2045"/>
          </w:tcPr>
          <w:p>
            <w:pPr>
              <w:spacing w:after="0"/>
            </w:pPr>
            <w:r>
              <w:rPr>
                <w:rFonts w:ascii="Arial" w:hAnsi="Arial"/>
                <w:b w:val="0"/>
                <w:sz w:val="14"/>
              </w:rPr>
              <w:t>Substitution records; conformance validation records; regression testing records; evidence integrity validation records</w:t>
            </w:r>
          </w:p>
        </w:tc>
      </w:tr>
      <w:tr>
        <w:tc>
          <w:tcPr>
            <w:tcW w:type="dxa" w:w="2045"/>
          </w:tcPr>
          <w:p>
            <w:pPr>
              <w:spacing w:after="0"/>
            </w:pPr>
            <w:r>
              <w:rPr>
                <w:rFonts w:ascii="Arial" w:hAnsi="Arial"/>
                <w:b w:val="0"/>
                <w:sz w:val="14"/>
              </w:rPr>
              <w:t>Incident/Dispute/Remediation Closure Workflow</w:t>
            </w:r>
          </w:p>
        </w:tc>
        <w:tc>
          <w:tcPr>
            <w:tcW w:type="dxa" w:w="2045"/>
          </w:tcPr>
          <w:p>
            <w:pPr>
              <w:spacing w:after="0"/>
            </w:pPr>
            <w:r>
              <w:rPr>
                <w:rFonts w:ascii="Arial" w:hAnsi="Arial"/>
                <w:b w:val="0"/>
                <w:sz w:val="14"/>
              </w:rPr>
              <w:t>Remediation Closure Failure</w:t>
            </w:r>
          </w:p>
        </w:tc>
        <w:tc>
          <w:tcPr>
            <w:tcW w:type="dxa" w:w="2045"/>
          </w:tcPr>
          <w:p>
            <w:pPr>
              <w:spacing w:after="0"/>
            </w:pPr>
            <w:r>
              <w:rPr>
                <w:rFonts w:ascii="Arial" w:hAnsi="Arial"/>
                <w:b w:val="0"/>
                <w:sz w:val="14"/>
              </w:rPr>
              <w:t>Incident, Dispute, and Remediation Closure (MRO-16)</w:t>
            </w:r>
          </w:p>
        </w:tc>
        <w:tc>
          <w:tcPr>
            <w:tcW w:type="dxa" w:w="2045"/>
          </w:tcPr>
          <w:p>
            <w:pPr>
              <w:spacing w:after="0"/>
            </w:pPr>
            <w:r>
              <w:rPr>
                <w:rFonts w:ascii="Arial" w:hAnsi="Arial"/>
                <w:b w:val="0"/>
                <w:sz w:val="14"/>
              </w:rPr>
              <w:t>Incident response team; customer support team; compliance team</w:t>
            </w:r>
          </w:p>
        </w:tc>
        <w:tc>
          <w:tcPr>
            <w:tcW w:type="dxa" w:w="2045"/>
          </w:tcPr>
          <w:p>
            <w:pPr>
              <w:spacing w:after="0"/>
            </w:pPr>
            <w:r>
              <w:rPr>
                <w:rFonts w:ascii="Arial" w:hAnsi="Arial"/>
                <w:b w:val="0"/>
                <w:sz w:val="14"/>
              </w:rPr>
              <w:t>Incident records; affected outcome records; remediation records; closure acceptance records; customer impact assessment records</w:t>
            </w:r>
          </w:p>
        </w:tc>
      </w:tr>
    </w:tbl>
    <w:p>
      <w:pPr>
        <w:spacing w:after="56"/>
      </w:pPr>
      <w:r>
        <w:t>Interpretation: Prevention and remediation patterns require specific lifecycle objects, operational owners, and evidence artifacts. These patterns are not generic risk management controls. They are lifecycle-specific governance patterns that address the gap between model-centric governance and agentic lifecycle responsibility.</w:t>
      </w:r>
    </w:p>
    <w:p>
      <w:pPr>
        <w:pStyle w:val="Heading2"/>
      </w:pPr>
      <w:r>
        <w:t>15.5 Bridge to Adoption Roadmap</w:t>
      </w:r>
    </w:p>
    <w:p>
      <w:pPr>
        <w:spacing w:after="56"/>
      </w:pPr>
      <w:r>
        <w:t>Chapter 15 has examined eight enterprise failure scenarios where lifecycle governance gaps create predictable failures. Each scenario demonstrates that model-centric governance and ordinary orchestration controls become insufficient when work is delegated across agents, tools, humans, projects, vendors, and evidence boundaries.</w:t>
      </w:r>
    </w:p>
    <w:p>
      <w:pPr>
        <w:spacing w:after="56"/>
      </w:pPr>
      <w:r>
        <w:t>The bridge from failure scenarios (Chapter 15) to adoption roadmap (Chapter 17) is the recognition that lifecycle governance is not a theoretical framework. It is a practical necessity for enterprises deploying agentic AI systems.</w:t>
      </w:r>
    </w:p>
    <w:p>
      <w:pPr>
        <w:spacing w:after="56"/>
      </w:pPr>
      <w:r>
        <w:t>Failure scenarios create enterprise consequences: accountability gaps, audit-readiness failures or audit challenges, privacy risks, liability disputes, potential regulatory non-compliance depending on deployment context, customer harm, and reputational damage. Prevention and remediation patterns require specific lifecycle objects, operational owners, and evidence artifacts.</w:t>
      </w:r>
    </w:p>
    <w:p>
      <w:pPr>
        <w:spacing w:after="56"/>
      </w:pPr>
      <w:r>
        <w:t>Chapter 17 will present an adoption roadmap for enterprises implementing AI Agent Lifecycle Governance. The roadmap will address:</w:t>
      </w:r>
    </w:p>
    <w:p>
      <w:pPr>
        <w:pStyle w:val="ListBullet"/>
        <w:spacing w:after="56"/>
      </w:pPr>
      <w:r>
        <w:t>Where to start (maturity assessment, gap analysis, pilot projects)</w:t>
      </w:r>
    </w:p>
    <w:p>
      <w:pPr>
        <w:pStyle w:val="ListBullet"/>
        <w:spacing w:after="56"/>
      </w:pPr>
      <w:r>
        <w:t>How to integrate lifecycle governance with existing enterprise controls</w:t>
      </w:r>
    </w:p>
    <w:p>
      <w:pPr>
        <w:pStyle w:val="ListBullet"/>
        <w:spacing w:after="56"/>
      </w:pPr>
      <w:r>
        <w:t>How to operationalize lifecycle responsibility objects</w:t>
      </w:r>
    </w:p>
    <w:p>
      <w:pPr>
        <w:pStyle w:val="ListBullet"/>
        <w:spacing w:after="56"/>
      </w:pPr>
      <w:r>
        <w:t>How to measure progress and demonstrate conformance</w:t>
      </w:r>
    </w:p>
    <w:p>
      <w:pPr>
        <w:pStyle w:val="ListBullet"/>
        <w:spacing w:after="56"/>
      </w:pPr>
      <w:r>
        <w:t>How to scale from pilot to production</w:t>
      </w:r>
    </w:p>
    <w:p>
      <w:pPr>
        <w:spacing w:after="56"/>
      </w:pPr>
      <w:r>
        <w:t>The goal is not to claim that lifecycle governance eliminates all risk. The goal is to provide a practical path for enterprises to address the lifecycle governance gap.</w:t>
      </w:r>
    </w:p>
    <w:p>
      <w:pPr>
        <w:pStyle w:val="Heading1"/>
      </w:pPr>
      <w:r>
        <w:t>16. Boundary to Companion Papers: Evidence, Assurance, and Insurability</w:t>
      </w:r>
    </w:p>
    <w:p>
      <w:pPr>
        <w:spacing w:after="56"/>
      </w:pPr>
      <w:r>
        <w:t>Version: v0.3.2-FRC-R3</w:t>
      </w:r>
    </w:p>
    <w:p>
      <w:pPr>
        <w:pStyle w:val="Heading2"/>
      </w:pPr>
      <w:r>
        <w:t>16.0 Why Companion Paper Boundaries Matter</w:t>
      </w:r>
    </w:p>
    <w:p>
      <w:pPr>
        <w:spacing w:after="56"/>
      </w:pPr>
      <w:r>
        <w:t>This white paper serves as the primary framework document for AI Agent Lifecycle Governance. It defines the semantic and engineering layer for agentic and multi-agent system compliance. It introduces Missing Regulatory Objects, dual-layer scoring frameworks, enterprise control crosswalks, system positioning, and adoption pathways. Because the subject intersects compliance, audit, assurance, insurance, and enterprise procurement, clear scope boundaries are necessary.</w:t>
      </w:r>
    </w:p>
    <w:p>
      <w:pPr>
        <w:spacing w:after="56"/>
      </w:pPr>
      <w:r>
        <w:t>Without companion-paper boundaries, the main white paper could become overloaded with audit methodology, insurance underwriting models, actuarial analysis, legal opinions, certification procedures, and procurement recommendations. That would dilute its core purpose and make it unreadable for the audiences who need lifecycle governance clarity.</w:t>
      </w:r>
    </w:p>
    <w:p>
      <w:pPr>
        <w:spacing w:after="56"/>
      </w:pPr>
      <w:r>
        <w:t>The purpose of this chapter is to declare which topics are covered at framework-entry level in the main white paper and which topics are reserved for specialized companion papers. This boundary is intentional. This white paper defines the primary framework layer. It does not attempt to become every downstream assurance, insurance, audit, or procurement methodology.</w:t>
      </w:r>
    </w:p>
    <w:p>
      <w:pPr>
        <w:spacing w:after="56"/>
      </w:pPr>
      <w:r>
        <w:t>Two companion papers are planned:</w:t>
      </w:r>
    </w:p>
    <w:p>
      <w:pPr>
        <w:pStyle w:val="ListNumber"/>
        <w:spacing w:after="56"/>
      </w:pPr>
      <w:r>
        <w:t>Agentic AI Evidence &amp; Assurance White Paper 2026 — planned to define audit control objectives, evidence sufficiency, test procedures, attestation readiness, and privacy-preserving validation patterns.</w:t>
      </w:r>
    </w:p>
    <w:p>
      <w:pPr>
        <w:pStyle w:val="ListNumber"/>
        <w:spacing w:after="56"/>
      </w:pPr>
      <w:r>
        <w:t>Agentic AI Insurability White Paper 2026 — planned to define risk classification, tool-action liability, loss attribution, claim replay evidence, premium differentiation logic, exclusion triggers, and underwriting implications.</w:t>
      </w:r>
    </w:p>
    <w:p>
      <w:pPr>
        <w:spacing w:after="56"/>
      </w:pPr>
      <w:r>
        <w:t>This chapter clarifies the role of each paper and prevents scope confusion. It ensures that readers understand what the main white paper does and does not claim. It establishes non-claim discipline for legal, audit, assurance, insurance, RCCS/ALCS, MPLP, Validation Lab, and system mapping boundaries.</w:t>
      </w:r>
    </w:p>
    <w:p>
      <w:pPr>
        <w:pStyle w:val="Heading2"/>
      </w:pPr>
      <w:r>
        <w:t>16.1 What the Main White Paper Covers</w:t>
      </w:r>
    </w:p>
    <w:p>
      <w:pPr>
        <w:spacing w:after="56"/>
      </w:pPr>
      <w:r>
        <w:t>The main white paper covers the following topics at framework-entry level:</w:t>
      </w:r>
    </w:p>
    <w:p>
      <w:pPr>
        <w:spacing w:after="56"/>
      </w:pPr>
      <w:r>
        <w:t>Core Framework:</w:t>
      </w:r>
    </w:p>
    <w:p>
      <w:pPr>
        <w:pStyle w:val="ListBullet"/>
        <w:spacing w:after="56"/>
      </w:pPr>
      <w:r>
        <w:t>AI Agent Lifecycle Governance definition and lifecycle chain</w:t>
      </w:r>
    </w:p>
    <w:p>
      <w:pPr>
        <w:pStyle w:val="ListBullet"/>
        <w:spacing w:after="56"/>
      </w:pPr>
      <w:r>
        <w:t>Regulatory and standards baseline analysis</w:t>
      </w:r>
    </w:p>
    <w:p>
      <w:pPr>
        <w:pStyle w:val="ListBullet"/>
        <w:spacing w:after="56"/>
      </w:pPr>
      <w:r>
        <w:t>Missing Regulatory Objects (MRO-01 through MRO-16)</w:t>
      </w:r>
    </w:p>
    <w:p>
      <w:pPr>
        <w:pStyle w:val="ListBullet"/>
        <w:spacing w:after="56"/>
      </w:pPr>
      <w:r>
        <w:t>RCCS (Regulatory Compliance Coverage Score) framework</w:t>
      </w:r>
    </w:p>
    <w:p>
      <w:pPr>
        <w:pStyle w:val="ListBullet"/>
        <w:spacing w:after="56"/>
      </w:pPr>
      <w:r>
        <w:t>ALCS (Agentic Lifecycle Conformance Score) framework</w:t>
      </w:r>
    </w:p>
    <w:p>
      <w:pPr>
        <w:pStyle w:val="ListBullet"/>
        <w:spacing w:after="56"/>
      </w:pPr>
      <w:r>
        <w:t>Composite dual-layer scoring profile</w:t>
      </w:r>
    </w:p>
    <w:p>
      <w:pPr>
        <w:pStyle w:val="ListBullet"/>
        <w:spacing w:after="56"/>
      </w:pPr>
      <w:r>
        <w:t>Enterprise control crosswalk and procurement scorecard inputs</w:t>
      </w:r>
    </w:p>
    <w:p>
      <w:pPr>
        <w:pStyle w:val="ListBullet"/>
        <w:spacing w:after="56"/>
      </w:pPr>
      <w:r>
        <w:t>System positioning and comparative field mappings</w:t>
      </w:r>
    </w:p>
    <w:p>
      <w:pPr>
        <w:pStyle w:val="ListBullet"/>
        <w:spacing w:after="56"/>
      </w:pPr>
      <w:r>
        <w:t>MPLP boundary and non-claim discipline</w:t>
      </w:r>
    </w:p>
    <w:p>
      <w:pPr>
        <w:pStyle w:val="ListBullet"/>
        <w:spacing w:after="56"/>
      </w:pPr>
      <w:r>
        <w:t>Evidence-based validation pattern at framework-entry level</w:t>
      </w:r>
    </w:p>
    <w:p>
      <w:pPr>
        <w:pStyle w:val="ListBullet"/>
        <w:spacing w:after="56"/>
      </w:pPr>
      <w:r>
        <w:t>Enterprise failure scenarios</w:t>
      </w:r>
    </w:p>
    <w:p>
      <w:pPr>
        <w:pStyle w:val="ListBullet"/>
        <w:spacing w:after="56"/>
      </w:pPr>
      <w:r>
        <w:t>Adoption roadmap</w:t>
      </w:r>
    </w:p>
    <w:p>
      <w:pPr>
        <w:spacing w:after="56"/>
      </w:pPr>
      <w:r>
        <w:t>Framework-Entry Evidence Concepts:</w:t>
      </w:r>
    </w:p>
    <w:p>
      <w:pPr>
        <w:spacing w:after="56"/>
      </w:pPr>
      <w:r>
        <w:t>The main white paper introduces evidence chain, evidence partitioning, privacy-preserving validation, and dispute-ready replay as lifecycle governance requirements. It defines what these concepts mean and why they matter for agentic systems. It does not define audit engagement procedures, control testing methodology, or assurance opinions.</w:t>
      </w:r>
    </w:p>
    <w:p>
      <w:pPr>
        <w:spacing w:after="56"/>
      </w:pPr>
      <w:r>
        <w:t>Framework-Entry Insurance Concepts:</w:t>
      </w:r>
    </w:p>
    <w:p>
      <w:pPr>
        <w:spacing w:after="56"/>
      </w:pPr>
      <w:r>
        <w:t>The main white paper introduces tool-action liability, authority boundary risk, loss attribution, and claim replay as lifecycle governance implications. It defines MRO-05 (Tool-Action Liability Boundary) and explains why agentic systems create new insurance challenges. It does not define insurance policy wording, premium pricing models, actuarial methodology, or underwriting procedures.</w:t>
      </w:r>
    </w:p>
    <w:p>
      <w:pPr>
        <w:spacing w:after="56"/>
      </w:pPr>
      <w:r>
        <w:t>Boundary:</w:t>
      </w:r>
    </w:p>
    <w:p>
      <w:pPr>
        <w:spacing w:after="56"/>
      </w:pPr>
      <w:r>
        <w:t>The main white paper does not fully define:</w:t>
      </w:r>
    </w:p>
    <w:p>
      <w:pPr>
        <w:pStyle w:val="ListBullet"/>
        <w:spacing w:after="56"/>
      </w:pPr>
      <w:r>
        <w:t>Audit engagement procedures</w:t>
      </w:r>
    </w:p>
    <w:p>
      <w:pPr>
        <w:pStyle w:val="ListBullet"/>
        <w:spacing w:after="56"/>
      </w:pPr>
      <w:r>
        <w:t>Assurance opinions or attestation reports</w:t>
      </w:r>
    </w:p>
    <w:p>
      <w:pPr>
        <w:pStyle w:val="ListBullet"/>
        <w:spacing w:after="56"/>
      </w:pPr>
      <w:r>
        <w:t>Insurance policy wording or coverage terms</w:t>
      </w:r>
    </w:p>
    <w:p>
      <w:pPr>
        <w:pStyle w:val="ListBullet"/>
        <w:spacing w:after="56"/>
      </w:pPr>
      <w:r>
        <w:t>Premium pricing models or actuarial methodology</w:t>
      </w:r>
    </w:p>
    <w:p>
      <w:pPr>
        <w:pStyle w:val="ListBullet"/>
        <w:spacing w:after="56"/>
      </w:pPr>
      <w:r>
        <w:t>Loss quantification or claim settlement procedures</w:t>
      </w:r>
    </w:p>
    <w:p>
      <w:pPr>
        <w:pStyle w:val="ListBullet"/>
        <w:spacing w:after="56"/>
      </w:pPr>
      <w:r>
        <w:t>Legal compliance opinions or jurisdictional interpretations</w:t>
      </w:r>
    </w:p>
    <w:p>
      <w:pPr>
        <w:pStyle w:val="ListBullet"/>
        <w:spacing w:after="56"/>
      </w:pPr>
      <w:r>
        <w:t>Procurement recommendations or vendor selection criteria</w:t>
      </w:r>
    </w:p>
    <w:p>
      <w:pPr>
        <w:pStyle w:val="ListBullet"/>
        <w:spacing w:after="56"/>
      </w:pPr>
      <w:r>
        <w:t>Certification procedures or conformity assessment</w:t>
      </w:r>
    </w:p>
    <w:p>
      <w:pPr>
        <w:pStyle w:val="ListBullet"/>
        <w:spacing w:after="56"/>
      </w:pPr>
      <w:r>
        <w:t>Validation Lab operational procedures or certification authority claims</w:t>
      </w:r>
    </w:p>
    <w:p>
      <w:pPr>
        <w:spacing w:after="56"/>
      </w:pPr>
      <w:r>
        <w:t>The main white paper provides the primary framework layer. Detailed assurance procedures and insurability models are reserved for companion papers. This boundary ensures that the main paper remains focused on lifecycle governance definition and does not overreach into professional judgment domains that require specialized expertise.</w:t>
      </w:r>
    </w:p>
    <w:p>
      <w:pPr>
        <w:pStyle w:val="Heading2"/>
      </w:pPr>
      <w:r>
        <w:t>16.2 Companion Paper 1 — Agentic AI Evidence &amp; Assurance White Paper 2026</w:t>
      </w:r>
    </w:p>
    <w:p>
      <w:pPr>
        <w:spacing w:after="56"/>
      </w:pPr>
      <w:r>
        <w:t>The Agentic AI Evidence &amp; Assurance White Paper 2026 is planned to define the audit, control testing, and validation methodology for agentic systems. When published, it is expected to build on the lifecycle governance framework defined in the main white paper and translate MROs, RCCS, and ALCS into audit control objectives, evidence requirements, and attestation readiness.</w:t>
      </w:r>
    </w:p>
    <w:p>
      <w:pPr>
        <w:spacing w:after="56"/>
      </w:pPr>
      <w:r>
        <w:t>Intended Scope:</w:t>
      </w:r>
    </w:p>
    <w:p>
      <w:pPr>
        <w:spacing w:after="56"/>
      </w:pPr>
      <w:r>
        <w:t>The Evidence &amp; Assurance companion paper is intended to cover:</w:t>
      </w:r>
    </w:p>
    <w:p>
      <w:pPr>
        <w:pStyle w:val="ListBullet"/>
        <w:spacing w:after="56"/>
      </w:pPr>
      <w:r>
        <w:t>Evidence artifact taxonomy: What evidence types are required for each MRO and lifecycle stage.</w:t>
      </w:r>
    </w:p>
    <w:p>
      <w:pPr>
        <w:pStyle w:val="ListBullet"/>
        <w:spacing w:after="56"/>
      </w:pPr>
      <w:r>
        <w:t>Audit control objectives: How to translate MROs into testable control objectives.</w:t>
      </w:r>
    </w:p>
    <w:p>
      <w:pPr>
        <w:pStyle w:val="ListBullet"/>
        <w:spacing w:after="56"/>
      </w:pPr>
      <w:r>
        <w:t>Control activities: What control activities satisfy each objective.</w:t>
      </w:r>
    </w:p>
    <w:p>
      <w:pPr>
        <w:pStyle w:val="ListBullet"/>
        <w:spacing w:after="56"/>
      </w:pPr>
      <w:r>
        <w:t>Test procedures: How to test design effectiveness and operating effectiveness.</w:t>
      </w:r>
    </w:p>
    <w:p>
      <w:pPr>
        <w:pStyle w:val="ListBullet"/>
        <w:spacing w:after="56"/>
      </w:pPr>
      <w:r>
        <w:t>Design effectiveness: How to evaluate whether controls are properly designed.</w:t>
      </w:r>
    </w:p>
    <w:p>
      <w:pPr>
        <w:pStyle w:val="ListBullet"/>
        <w:spacing w:after="56"/>
      </w:pPr>
      <w:r>
        <w:t>Operating effectiveness: How to evaluate whether controls are operating as intended.</w:t>
      </w:r>
    </w:p>
    <w:p>
      <w:pPr>
        <w:pStyle w:val="ListBullet"/>
        <w:spacing w:after="56"/>
      </w:pPr>
      <w:r>
        <w:t>Evidence sufficiency: How much evidence is enough for audit readiness.</w:t>
      </w:r>
    </w:p>
    <w:p>
      <w:pPr>
        <w:pStyle w:val="ListBullet"/>
        <w:spacing w:after="56"/>
      </w:pPr>
      <w:r>
        <w:t>Evidence integrity: How to ensure evidence has not been tampered with.</w:t>
      </w:r>
    </w:p>
    <w:p>
      <w:pPr>
        <w:pStyle w:val="ListBullet"/>
        <w:spacing w:after="56"/>
      </w:pPr>
      <w:r>
        <w:t>Replayability: How to replay evidence for dispute resolution or audit review.</w:t>
      </w:r>
    </w:p>
    <w:p>
      <w:pPr>
        <w:pStyle w:val="ListBullet"/>
        <w:spacing w:after="56"/>
      </w:pPr>
      <w:r>
        <w:t>Attestation readiness: What evidence is required for third-party attestation.</w:t>
      </w:r>
    </w:p>
    <w:p>
      <w:pPr>
        <w:pStyle w:val="ListBullet"/>
        <w:spacing w:after="56"/>
      </w:pPr>
      <w:r>
        <w:t>Privacy-preserving validation patterns: How to validate evidence without exposing sensitive data.</w:t>
      </w:r>
    </w:p>
    <w:p>
      <w:pPr>
        <w:pStyle w:val="ListBullet"/>
        <w:spacing w:after="56"/>
      </w:pPr>
      <w:r>
        <w:t>Validation readiness: How to prepare for third-party validation or audit engagement.</w:t>
      </w:r>
    </w:p>
    <w:p>
      <w:pPr>
        <w:pStyle w:val="ListBullet"/>
        <w:spacing w:after="56"/>
      </w:pPr>
      <w:r>
        <w:t>Assurance engagement boundaries: What assurance engagements can and cannot claim.</w:t>
      </w:r>
    </w:p>
    <w:p>
      <w:pPr>
        <w:spacing w:after="56"/>
      </w:pPr>
      <w:r>
        <w:t>Boundary:</w:t>
      </w:r>
    </w:p>
    <w:p>
      <w:pPr>
        <w:spacing w:after="56"/>
      </w:pPr>
      <w:r>
        <w:t>The Evidence &amp; Assurance companion paper is not intended to:</w:t>
      </w:r>
    </w:p>
    <w:p>
      <w:pPr>
        <w:pStyle w:val="ListBullet"/>
        <w:spacing w:after="56"/>
      </w:pPr>
      <w:r>
        <w:t>Create legal certification or regulatory approval</w:t>
      </w:r>
    </w:p>
    <w:p>
      <w:pPr>
        <w:pStyle w:val="ListBullet"/>
        <w:spacing w:after="56"/>
      </w:pPr>
      <w:r>
        <w:t>Claim that Validation Lab is a certification authority, regulator, or conformity assessment body</w:t>
      </w:r>
    </w:p>
    <w:p>
      <w:pPr>
        <w:pStyle w:val="ListBullet"/>
        <w:spacing w:after="56"/>
      </w:pPr>
      <w:r>
        <w:t>Issue audit opinions or replace professional audit judgment</w:t>
      </w:r>
    </w:p>
    <w:p>
      <w:pPr>
        <w:pStyle w:val="ListBullet"/>
        <w:spacing w:after="56"/>
      </w:pPr>
      <w:r>
        <w:t>Guarantee compliance with any specific regulation or standard</w:t>
      </w:r>
    </w:p>
    <w:p>
      <w:pPr>
        <w:pStyle w:val="ListBullet"/>
        <w:spacing w:after="56"/>
      </w:pPr>
      <w:r>
        <w:t>Replace internal audit, external audit, or regulatory examination</w:t>
      </w:r>
    </w:p>
    <w:p>
      <w:pPr>
        <w:pStyle w:val="ListBullet"/>
        <w:spacing w:after="56"/>
      </w:pPr>
      <w:r>
        <w:t>Define insurance underwriting, actuarial methodology, or premium pricing</w:t>
      </w:r>
    </w:p>
    <w:p>
      <w:pPr>
        <w:spacing w:after="56"/>
      </w:pPr>
      <w:r>
        <w:t>Validation Lab Positioning:</w:t>
      </w:r>
    </w:p>
    <w:p>
      <w:pPr>
        <w:spacing w:after="56"/>
      </w:pPr>
      <w:r>
        <w:t>Validation Lab may be referenced in the Evidence &amp; Assurance companion paper only as a non-certifying evidence adjudication example. It is not a regulator, certification authority, conformity assessment body, or legal compliance certification mechanism. It does not certify compliance. It does not issue legal opinions. It does not replace audit or regulatory judgment.</w:t>
      </w:r>
    </w:p>
    <w:p>
      <w:pPr>
        <w:spacing w:after="56"/>
      </w:pPr>
      <w:r>
        <w:t>The Evidence &amp; Assurance companion paper is expected to clarify that Validation Lab is an example of how privacy-preserving third-party validation could be structured. It is not the only method. It is not required for compliance. It is not a certification program.</w:t>
      </w:r>
    </w:p>
    <w:p>
      <w:pPr>
        <w:pStyle w:val="Heading2"/>
      </w:pPr>
      <w:r>
        <w:t>16.3 Companion Paper 2 — Agentic AI Insurability White Paper 2026</w:t>
      </w:r>
    </w:p>
    <w:p>
      <w:pPr>
        <w:spacing w:after="56"/>
      </w:pPr>
      <w:r>
        <w:t>The Agentic AI Insurability White Paper 2026 is planned to define the risk classification, loss attribution, and underwriting implications for agentic systems. When published, it is expected to build on the lifecycle governance framework defined in the main white paper and translate MROs, RCCS, and ALCS into insurability criteria, claim replay evidence, and premium differentiation logic.</w:t>
      </w:r>
    </w:p>
    <w:p>
      <w:pPr>
        <w:spacing w:after="56"/>
      </w:pPr>
      <w:r>
        <w:t>Intended Scope:</w:t>
      </w:r>
    </w:p>
    <w:p>
      <w:pPr>
        <w:spacing w:after="56"/>
      </w:pPr>
      <w:r>
        <w:t>The Insurability companion paper is intended to cover:</w:t>
      </w:r>
    </w:p>
    <w:p>
      <w:pPr>
        <w:pStyle w:val="ListBullet"/>
        <w:spacing w:after="56"/>
      </w:pPr>
      <w:r>
        <w:t>Insurability criteria: What makes an agentic system insurable or uninsurable.</w:t>
      </w:r>
    </w:p>
    <w:p>
      <w:pPr>
        <w:pStyle w:val="ListBullet"/>
        <w:spacing w:after="56"/>
      </w:pPr>
      <w:r>
        <w:t>Risk classification: How to classify agentic system risk for underwriting purposes.</w:t>
      </w:r>
    </w:p>
    <w:p>
      <w:pPr>
        <w:pStyle w:val="ListBullet"/>
        <w:spacing w:after="56"/>
      </w:pPr>
      <w:r>
        <w:t>Authority boundary risk: How delegated authority boundaries affect liability and coverage.</w:t>
      </w:r>
    </w:p>
    <w:p>
      <w:pPr>
        <w:pStyle w:val="ListBullet"/>
        <w:spacing w:after="56"/>
      </w:pPr>
      <w:r>
        <w:t>Tool-action liability: How to attribute liability for tool actions taken by agents.</w:t>
      </w:r>
    </w:p>
    <w:p>
      <w:pPr>
        <w:pStyle w:val="ListBullet"/>
        <w:spacing w:after="56"/>
      </w:pPr>
      <w:r>
        <w:t>Loss attribution: How to determine which party is responsible for a loss.</w:t>
      </w:r>
    </w:p>
    <w:p>
      <w:pPr>
        <w:pStyle w:val="ListBullet"/>
        <w:spacing w:after="56"/>
      </w:pPr>
      <w:r>
        <w:t>Loss quantification concepts: How to estimate potential losses from agentic system failures.</w:t>
      </w:r>
    </w:p>
    <w:p>
      <w:pPr>
        <w:pStyle w:val="ListBullet"/>
        <w:spacing w:after="56"/>
      </w:pPr>
      <w:r>
        <w:t>Claim replay evidence: What evidence is required to replay a claim for dispute resolution.</w:t>
      </w:r>
    </w:p>
    <w:p>
      <w:pPr>
        <w:pStyle w:val="ListBullet"/>
        <w:spacing w:after="56"/>
      </w:pPr>
      <w:r>
        <w:t>Dispute-ready evidence: How to structure evidence for insurance claim disputes.</w:t>
      </w:r>
    </w:p>
    <w:p>
      <w:pPr>
        <w:pStyle w:val="ListBullet"/>
        <w:spacing w:after="56"/>
      </w:pPr>
      <w:r>
        <w:t>Remediation closure: How to verify that incidents have been properly remediated.</w:t>
      </w:r>
    </w:p>
    <w:p>
      <w:pPr>
        <w:pStyle w:val="ListBullet"/>
        <w:spacing w:after="56"/>
      </w:pPr>
      <w:r>
        <w:t>Premium differentiation logic: How lifecycle conformance could affect premium pricing.</w:t>
      </w:r>
    </w:p>
    <w:p>
      <w:pPr>
        <w:pStyle w:val="ListBullet"/>
        <w:spacing w:after="56"/>
      </w:pPr>
      <w:r>
        <w:t>Exclusion triggers: What conditions could trigger coverage exclusions.</w:t>
      </w:r>
    </w:p>
    <w:p>
      <w:pPr>
        <w:pStyle w:val="ListBullet"/>
        <w:spacing w:after="56"/>
      </w:pPr>
      <w:r>
        <w:t>Autonomous-action exclusions: How autonomous actions affect coverage boundaries.</w:t>
      </w:r>
    </w:p>
    <w:p>
      <w:pPr>
        <w:pStyle w:val="ListBullet"/>
        <w:spacing w:after="56"/>
      </w:pPr>
      <w:r>
        <w:t>Moral hazard considerations: How to prevent moral hazard in agentic system insurance.</w:t>
      </w:r>
    </w:p>
    <w:p>
      <w:pPr>
        <w:pStyle w:val="ListBullet"/>
        <w:spacing w:after="56"/>
      </w:pPr>
      <w:r>
        <w:t>Coverage boundary analysis: Where coverage begins and ends for agentic systems.</w:t>
      </w:r>
    </w:p>
    <w:p>
      <w:pPr>
        <w:spacing w:after="56"/>
      </w:pPr>
      <w:r>
        <w:t>Boundary:</w:t>
      </w:r>
    </w:p>
    <w:p>
      <w:pPr>
        <w:spacing w:after="56"/>
      </w:pPr>
      <w:r>
        <w:t>The Insurability companion paper is not intended to:</w:t>
      </w:r>
    </w:p>
    <w:p>
      <w:pPr>
        <w:pStyle w:val="ListBullet"/>
        <w:spacing w:after="56"/>
      </w:pPr>
      <w:r>
        <w:t>Define actual insurance policy wording or coverage terms</w:t>
      </w:r>
    </w:p>
    <w:p>
      <w:pPr>
        <w:pStyle w:val="ListBullet"/>
        <w:spacing w:after="56"/>
      </w:pPr>
      <w:r>
        <w:t>Set premiums or provide actuarial pricing models</w:t>
      </w:r>
    </w:p>
    <w:p>
      <w:pPr>
        <w:pStyle w:val="ListBullet"/>
        <w:spacing w:after="56"/>
      </w:pPr>
      <w:r>
        <w:t>Replace underwriting, actuarial, legal, or claims judgment</w:t>
      </w:r>
    </w:p>
    <w:p>
      <w:pPr>
        <w:pStyle w:val="ListBullet"/>
        <w:spacing w:after="56"/>
      </w:pPr>
      <w:r>
        <w:t>Guarantee insurability or coverage for any specific system</w:t>
      </w:r>
    </w:p>
    <w:p>
      <w:pPr>
        <w:pStyle w:val="ListBullet"/>
        <w:spacing w:after="56"/>
      </w:pPr>
      <w:r>
        <w:t>Issue legal opinions on liability or regulatory compliance</w:t>
      </w:r>
    </w:p>
    <w:p>
      <w:pPr>
        <w:pStyle w:val="ListBullet"/>
        <w:spacing w:after="56"/>
      </w:pPr>
      <w:r>
        <w:t>Replace insurance broker, underwriter, or claims adjuster judgment</w:t>
      </w:r>
    </w:p>
    <w:p>
      <w:pPr>
        <w:pStyle w:val="ListBullet"/>
        <w:spacing w:after="56"/>
      </w:pPr>
      <w:r>
        <w:t>Define claim settlement procedures or dispute resolution mechanisms</w:t>
      </w:r>
    </w:p>
    <w:p>
      <w:pPr>
        <w:spacing w:after="56"/>
      </w:pPr>
      <w:r>
        <w:t>The Insurability companion paper is expected to provide a framework for analyzing insurability implications. It is not intended to replace professional insurance judgment. It is not intended to claim that RCCS or ALCS scores determine premiums. It is not intended to claim that MPLP conformance guarantees insurability. It is expected to clarify that insurability depends on underwriting judgment, actuarial analysis, legal review, and risk appetite, not only on lifecycle conformance scores.</w:t>
      </w:r>
    </w:p>
    <w:p>
      <w:pPr>
        <w:pStyle w:val="Heading2"/>
      </w:pPr>
      <w:r>
        <w:t>16.4 Companion Paper Boundary Matrix</w:t>
      </w:r>
    </w:p>
    <w:p>
      <w:pPr>
        <w:spacing w:after="56"/>
      </w:pPr>
      <w:r>
        <w:t>The following tables clarify which topics are covered in the main white paper and which are reserved for the Evidence &amp; Assurance and Insurability companion papers.</w:t>
      </w:r>
    </w:p>
    <w:p>
      <w:pPr>
        <w:pStyle w:val="Heading3"/>
      </w:pPr>
      <w:r>
        <w:t>Table T-16-01A: Main Paper vs Evidence &amp; Assurance Boundary</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Topic</w:t>
            </w:r>
          </w:p>
        </w:tc>
        <w:tc>
          <w:tcPr>
            <w:tcW w:type="dxa" w:w="3408"/>
          </w:tcPr>
          <w:p>
            <w:pPr>
              <w:spacing w:after="0"/>
            </w:pPr>
            <w:r>
              <w:rPr>
                <w:rFonts w:ascii="Arial" w:hAnsi="Arial"/>
                <w:b/>
                <w:sz w:val="14"/>
              </w:rPr>
              <w:t>Covered in Main White Paper</w:t>
            </w:r>
          </w:p>
        </w:tc>
        <w:tc>
          <w:tcPr>
            <w:tcW w:type="dxa" w:w="3408"/>
          </w:tcPr>
          <w:p>
            <w:pPr>
              <w:spacing w:after="0"/>
            </w:pPr>
            <w:r>
              <w:rPr>
                <w:rFonts w:ascii="Arial" w:hAnsi="Arial"/>
                <w:b/>
                <w:sz w:val="14"/>
              </w:rPr>
              <w:t>Reserved for Evidence &amp; Assurance Paper</w:t>
            </w:r>
          </w:p>
        </w:tc>
      </w:tr>
      <w:tr>
        <w:tc>
          <w:tcPr>
            <w:tcW w:type="dxa" w:w="3408"/>
          </w:tcPr>
          <w:p>
            <w:pPr>
              <w:spacing w:after="0"/>
            </w:pPr>
            <w:r>
              <w:rPr>
                <w:rFonts w:ascii="Arial" w:hAnsi="Arial"/>
                <w:b w:val="0"/>
                <w:sz w:val="14"/>
              </w:rPr>
              <w:t>Evidence Chain</w:t>
            </w:r>
          </w:p>
        </w:tc>
        <w:tc>
          <w:tcPr>
            <w:tcW w:type="dxa" w:w="3408"/>
          </w:tcPr>
          <w:p>
            <w:pPr>
              <w:spacing w:after="0"/>
            </w:pPr>
            <w:r>
              <w:rPr>
                <w:rFonts w:ascii="Arial" w:hAnsi="Arial"/>
                <w:b w:val="0"/>
                <w:sz w:val="14"/>
              </w:rPr>
              <w:t>Defines evidence chain as lifecycle governance requirement; explains why evidence chain matters for agentic systems</w:t>
            </w:r>
          </w:p>
        </w:tc>
        <w:tc>
          <w:tcPr>
            <w:tcW w:type="dxa" w:w="3408"/>
          </w:tcPr>
          <w:p>
            <w:pPr>
              <w:spacing w:after="0"/>
            </w:pPr>
            <w:r>
              <w:rPr>
                <w:rFonts w:ascii="Arial" w:hAnsi="Arial"/>
                <w:b w:val="0"/>
                <w:sz w:val="14"/>
              </w:rPr>
              <w:t>Defines evidence sufficiency, integrity, replay procedures, and control testing methodology</w:t>
            </w:r>
          </w:p>
        </w:tc>
      </w:tr>
      <w:tr>
        <w:tc>
          <w:tcPr>
            <w:tcW w:type="dxa" w:w="3408"/>
          </w:tcPr>
          <w:p>
            <w:pPr>
              <w:spacing w:after="0"/>
            </w:pPr>
            <w:r>
              <w:rPr>
                <w:rFonts w:ascii="Arial" w:hAnsi="Arial"/>
                <w:b w:val="0"/>
                <w:sz w:val="14"/>
              </w:rPr>
              <w:t>Validation Readiness</w:t>
            </w:r>
          </w:p>
        </w:tc>
        <w:tc>
          <w:tcPr>
            <w:tcW w:type="dxa" w:w="3408"/>
          </w:tcPr>
          <w:p>
            <w:pPr>
              <w:spacing w:after="0"/>
            </w:pPr>
            <w:r>
              <w:rPr>
                <w:rFonts w:ascii="Arial" w:hAnsi="Arial"/>
                <w:b w:val="0"/>
                <w:sz w:val="14"/>
              </w:rPr>
              <w:t>Introduces privacy-preserving validation as MRO-11 concept</w:t>
            </w:r>
          </w:p>
        </w:tc>
        <w:tc>
          <w:tcPr>
            <w:tcW w:type="dxa" w:w="3408"/>
          </w:tcPr>
          <w:p>
            <w:pPr>
              <w:spacing w:after="0"/>
            </w:pPr>
            <w:r>
              <w:rPr>
                <w:rFonts w:ascii="Arial" w:hAnsi="Arial"/>
                <w:b w:val="0"/>
                <w:sz w:val="14"/>
              </w:rPr>
              <w:t>Defines validation engagement procedures, evidence requirements, and attestation readiness</w:t>
            </w:r>
          </w:p>
        </w:tc>
      </w:tr>
      <w:tr>
        <w:tc>
          <w:tcPr>
            <w:tcW w:type="dxa" w:w="3408"/>
          </w:tcPr>
          <w:p>
            <w:pPr>
              <w:spacing w:after="0"/>
            </w:pPr>
            <w:r>
              <w:rPr>
                <w:rFonts w:ascii="Arial" w:hAnsi="Arial"/>
                <w:b w:val="0"/>
                <w:sz w:val="14"/>
              </w:rPr>
              <w:t>Audit Readiness</w:t>
            </w:r>
          </w:p>
        </w:tc>
        <w:tc>
          <w:tcPr>
            <w:tcW w:type="dxa" w:w="3408"/>
          </w:tcPr>
          <w:p>
            <w:pPr>
              <w:spacing w:after="0"/>
            </w:pPr>
            <w:r>
              <w:rPr>
                <w:rFonts w:ascii="Arial" w:hAnsi="Arial"/>
                <w:b w:val="0"/>
                <w:sz w:val="14"/>
              </w:rPr>
              <w:t>Maps MROs to enterprise control questions; provides procurement scorecard inputs</w:t>
            </w:r>
          </w:p>
        </w:tc>
        <w:tc>
          <w:tcPr>
            <w:tcW w:type="dxa" w:w="3408"/>
          </w:tcPr>
          <w:p>
            <w:pPr>
              <w:spacing w:after="0"/>
            </w:pPr>
            <w:r>
              <w:rPr>
                <w:rFonts w:ascii="Arial" w:hAnsi="Arial"/>
                <w:b w:val="0"/>
                <w:sz w:val="14"/>
              </w:rPr>
              <w:t>Defines audit control objectives, test procedures, design effectiveness, and operating effectiveness testing</w:t>
            </w:r>
          </w:p>
        </w:tc>
      </w:tr>
      <w:tr>
        <w:tc>
          <w:tcPr>
            <w:tcW w:type="dxa" w:w="3408"/>
          </w:tcPr>
          <w:p>
            <w:pPr>
              <w:spacing w:after="0"/>
            </w:pPr>
            <w:r>
              <w:rPr>
                <w:rFonts w:ascii="Arial" w:hAnsi="Arial"/>
                <w:b w:val="0"/>
                <w:sz w:val="14"/>
              </w:rPr>
              <w:t>Control Objectives</w:t>
            </w:r>
          </w:p>
        </w:tc>
        <w:tc>
          <w:tcPr>
            <w:tcW w:type="dxa" w:w="3408"/>
          </w:tcPr>
          <w:p>
            <w:pPr>
              <w:spacing w:after="0"/>
            </w:pPr>
            <w:r>
              <w:rPr>
                <w:rFonts w:ascii="Arial" w:hAnsi="Arial"/>
                <w:b w:val="0"/>
                <w:sz w:val="14"/>
              </w:rPr>
              <w:t>Identifies control gaps created by agentic systems</w:t>
            </w:r>
          </w:p>
        </w:tc>
        <w:tc>
          <w:tcPr>
            <w:tcW w:type="dxa" w:w="3408"/>
          </w:tcPr>
          <w:p>
            <w:pPr>
              <w:spacing w:after="0"/>
            </w:pPr>
            <w:r>
              <w:rPr>
                <w:rFonts w:ascii="Arial" w:hAnsi="Arial"/>
                <w:b w:val="0"/>
                <w:sz w:val="14"/>
              </w:rPr>
              <w:t>Translates MROs into testable control objectives with evidence requirements</w:t>
            </w:r>
          </w:p>
        </w:tc>
      </w:tr>
      <w:tr>
        <w:tc>
          <w:tcPr>
            <w:tcW w:type="dxa" w:w="3408"/>
          </w:tcPr>
          <w:p>
            <w:pPr>
              <w:spacing w:after="0"/>
            </w:pPr>
            <w:r>
              <w:rPr>
                <w:rFonts w:ascii="Arial" w:hAnsi="Arial"/>
                <w:b w:val="0"/>
                <w:sz w:val="14"/>
              </w:rPr>
              <w:t>Control Activities</w:t>
            </w:r>
          </w:p>
        </w:tc>
        <w:tc>
          <w:tcPr>
            <w:tcW w:type="dxa" w:w="3408"/>
          </w:tcPr>
          <w:p>
            <w:pPr>
              <w:spacing w:after="0"/>
            </w:pPr>
            <w:r>
              <w:rPr>
                <w:rFonts w:ascii="Arial" w:hAnsi="Arial"/>
                <w:b w:val="0"/>
                <w:sz w:val="14"/>
              </w:rPr>
              <w:t>Describes lifecycle governance controls at framework level</w:t>
            </w:r>
          </w:p>
        </w:tc>
        <w:tc>
          <w:tcPr>
            <w:tcW w:type="dxa" w:w="3408"/>
          </w:tcPr>
          <w:p>
            <w:pPr>
              <w:spacing w:after="0"/>
            </w:pPr>
            <w:r>
              <w:rPr>
                <w:rFonts w:ascii="Arial" w:hAnsi="Arial"/>
                <w:b w:val="0"/>
                <w:sz w:val="14"/>
              </w:rPr>
              <w:t>Defines specific control activities, testing procedures, and evidence sufficiency criteria</w:t>
            </w:r>
          </w:p>
        </w:tc>
      </w:tr>
      <w:tr>
        <w:tc>
          <w:tcPr>
            <w:tcW w:type="dxa" w:w="3408"/>
          </w:tcPr>
          <w:p>
            <w:pPr>
              <w:spacing w:after="0"/>
            </w:pPr>
            <w:r>
              <w:rPr>
                <w:rFonts w:ascii="Arial" w:hAnsi="Arial"/>
                <w:b w:val="0"/>
                <w:sz w:val="14"/>
              </w:rPr>
              <w:t>Test Procedures</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Defines how to test controls for design and operating effectiveness</w:t>
            </w:r>
          </w:p>
        </w:tc>
      </w:tr>
      <w:tr>
        <w:tc>
          <w:tcPr>
            <w:tcW w:type="dxa" w:w="3408"/>
          </w:tcPr>
          <w:p>
            <w:pPr>
              <w:spacing w:after="0"/>
            </w:pPr>
            <w:r>
              <w:rPr>
                <w:rFonts w:ascii="Arial" w:hAnsi="Arial"/>
                <w:b w:val="0"/>
                <w:sz w:val="14"/>
              </w:rPr>
              <w:t>Design Effectiveness</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Defines how to evaluate whether controls are properly designed</w:t>
            </w:r>
          </w:p>
        </w:tc>
      </w:tr>
      <w:tr>
        <w:tc>
          <w:tcPr>
            <w:tcW w:type="dxa" w:w="3408"/>
          </w:tcPr>
          <w:p>
            <w:pPr>
              <w:spacing w:after="0"/>
            </w:pPr>
            <w:r>
              <w:rPr>
                <w:rFonts w:ascii="Arial" w:hAnsi="Arial"/>
                <w:b w:val="0"/>
                <w:sz w:val="14"/>
              </w:rPr>
              <w:t>Operating Effectiveness</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Defines how to evaluate whether controls are operating as intended</w:t>
            </w:r>
          </w:p>
        </w:tc>
      </w:tr>
      <w:tr>
        <w:tc>
          <w:tcPr>
            <w:tcW w:type="dxa" w:w="3408"/>
          </w:tcPr>
          <w:p>
            <w:pPr>
              <w:spacing w:after="0"/>
            </w:pPr>
            <w:r>
              <w:rPr>
                <w:rFonts w:ascii="Arial" w:hAnsi="Arial"/>
                <w:b w:val="0"/>
                <w:sz w:val="14"/>
              </w:rPr>
              <w:t>Attestation Readiness</w:t>
            </w:r>
          </w:p>
        </w:tc>
        <w:tc>
          <w:tcPr>
            <w:tcW w:type="dxa" w:w="3408"/>
          </w:tcPr>
          <w:p>
            <w:pPr>
              <w:spacing w:after="0"/>
            </w:pPr>
            <w:r>
              <w:rPr>
                <w:rFonts w:ascii="Arial" w:hAnsi="Arial"/>
                <w:b w:val="0"/>
                <w:sz w:val="14"/>
              </w:rPr>
              <w:t>Mentions attestation as downstream implication</w:t>
            </w:r>
          </w:p>
        </w:tc>
        <w:tc>
          <w:tcPr>
            <w:tcW w:type="dxa" w:w="3408"/>
          </w:tcPr>
          <w:p>
            <w:pPr>
              <w:spacing w:after="0"/>
            </w:pPr>
            <w:r>
              <w:rPr>
                <w:rFonts w:ascii="Arial" w:hAnsi="Arial"/>
                <w:b w:val="0"/>
                <w:sz w:val="14"/>
              </w:rPr>
              <w:t>Defines what evidence is required for third-party attestation or assurance engagement</w:t>
            </w:r>
          </w:p>
        </w:tc>
      </w:tr>
      <w:tr>
        <w:tc>
          <w:tcPr>
            <w:tcW w:type="dxa" w:w="3408"/>
          </w:tcPr>
          <w:p>
            <w:pPr>
              <w:spacing w:after="0"/>
            </w:pPr>
            <w:r>
              <w:rPr>
                <w:rFonts w:ascii="Arial" w:hAnsi="Arial"/>
                <w:b w:val="0"/>
                <w:sz w:val="14"/>
              </w:rPr>
              <w:t>Privacy-Preserving Validation</w:t>
            </w:r>
          </w:p>
        </w:tc>
        <w:tc>
          <w:tcPr>
            <w:tcW w:type="dxa" w:w="3408"/>
          </w:tcPr>
          <w:p>
            <w:pPr>
              <w:spacing w:after="0"/>
            </w:pPr>
            <w:r>
              <w:rPr>
                <w:rFonts w:ascii="Arial" w:hAnsi="Arial"/>
                <w:b w:val="0"/>
                <w:sz w:val="14"/>
              </w:rPr>
              <w:t>Defines MRO-11 and MRO-12 as lifecycle requirements</w:t>
            </w:r>
          </w:p>
        </w:tc>
        <w:tc>
          <w:tcPr>
            <w:tcW w:type="dxa" w:w="3408"/>
          </w:tcPr>
          <w:p>
            <w:pPr>
              <w:spacing w:after="0"/>
            </w:pPr>
            <w:r>
              <w:rPr>
                <w:rFonts w:ascii="Arial" w:hAnsi="Arial"/>
                <w:b w:val="0"/>
                <w:sz w:val="14"/>
              </w:rPr>
              <w:t>Defines validation procedures, selective disclosure, and privacy-preserving evidence adjudication</w:t>
            </w:r>
          </w:p>
        </w:tc>
      </w:tr>
      <w:tr>
        <w:tc>
          <w:tcPr>
            <w:tcW w:type="dxa" w:w="3408"/>
          </w:tcPr>
          <w:p>
            <w:pPr>
              <w:spacing w:after="0"/>
            </w:pPr>
            <w:r>
              <w:rPr>
                <w:rFonts w:ascii="Arial" w:hAnsi="Arial"/>
                <w:b w:val="0"/>
                <w:sz w:val="14"/>
              </w:rPr>
              <w:t>Enterprise Procurement</w:t>
            </w:r>
          </w:p>
        </w:tc>
        <w:tc>
          <w:tcPr>
            <w:tcW w:type="dxa" w:w="3408"/>
          </w:tcPr>
          <w:p>
            <w:pPr>
              <w:spacing w:after="0"/>
            </w:pPr>
            <w:r>
              <w:rPr>
                <w:rFonts w:ascii="Arial" w:hAnsi="Arial"/>
                <w:b w:val="0"/>
                <w:sz w:val="14"/>
              </w:rPr>
              <w:t>Provides procurement scorecard inputs based on RCCS/ALCS</w:t>
            </w:r>
          </w:p>
        </w:tc>
        <w:tc>
          <w:tcPr>
            <w:tcW w:type="dxa" w:w="3408"/>
          </w:tcPr>
          <w:p>
            <w:pPr>
              <w:spacing w:after="0"/>
            </w:pPr>
            <w:r>
              <w:rPr>
                <w:rFonts w:ascii="Arial" w:hAnsi="Arial"/>
                <w:b w:val="0"/>
                <w:sz w:val="14"/>
              </w:rPr>
              <w:t>Not primary scope; procurement decisions remain enterprise judgment</w:t>
            </w:r>
          </w:p>
        </w:tc>
      </w:tr>
      <w:tr>
        <w:tc>
          <w:tcPr>
            <w:tcW w:type="dxa" w:w="3408"/>
          </w:tcPr>
          <w:p>
            <w:pPr>
              <w:spacing w:after="0"/>
            </w:pPr>
            <w:r>
              <w:rPr>
                <w:rFonts w:ascii="Arial" w:hAnsi="Arial"/>
                <w:b w:val="0"/>
                <w:sz w:val="14"/>
              </w:rPr>
              <w:t>Board Reporting</w:t>
            </w:r>
          </w:p>
        </w:tc>
        <w:tc>
          <w:tcPr>
            <w:tcW w:type="dxa" w:w="3408"/>
          </w:tcPr>
          <w:p>
            <w:pPr>
              <w:spacing w:after="0"/>
            </w:pPr>
            <w:r>
              <w:rPr>
                <w:rFonts w:ascii="Arial" w:hAnsi="Arial"/>
                <w:b w:val="0"/>
                <w:sz w:val="14"/>
              </w:rPr>
              <w:t>Provides board reporting elements for agentic risk</w:t>
            </w:r>
          </w:p>
        </w:tc>
        <w:tc>
          <w:tcPr>
            <w:tcW w:type="dxa" w:w="3408"/>
          </w:tcPr>
          <w:p>
            <w:pPr>
              <w:spacing w:after="0"/>
            </w:pPr>
            <w:r>
              <w:rPr>
                <w:rFonts w:ascii="Arial" w:hAnsi="Arial"/>
                <w:b w:val="0"/>
                <w:sz w:val="14"/>
              </w:rPr>
              <w:t>Not primary scope; board reporting remains enterprise governance responsibility</w:t>
            </w:r>
          </w:p>
        </w:tc>
      </w:tr>
    </w:tbl>
    <w:p>
      <w:pPr>
        <w:pStyle w:val="Heading3"/>
      </w:pPr>
      <w:r>
        <w:t>Table T-16-01B: Main Paper vs Insurability Boundary</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Topic</w:t>
            </w:r>
          </w:p>
        </w:tc>
        <w:tc>
          <w:tcPr>
            <w:tcW w:type="dxa" w:w="3408"/>
          </w:tcPr>
          <w:p>
            <w:pPr>
              <w:spacing w:after="0"/>
            </w:pPr>
            <w:r>
              <w:rPr>
                <w:rFonts w:ascii="Arial" w:hAnsi="Arial"/>
                <w:b/>
                <w:sz w:val="14"/>
              </w:rPr>
              <w:t>Covered in Main White Paper</w:t>
            </w:r>
          </w:p>
        </w:tc>
        <w:tc>
          <w:tcPr>
            <w:tcW w:type="dxa" w:w="3408"/>
          </w:tcPr>
          <w:p>
            <w:pPr>
              <w:spacing w:after="0"/>
            </w:pPr>
            <w:r>
              <w:rPr>
                <w:rFonts w:ascii="Arial" w:hAnsi="Arial"/>
                <w:b/>
                <w:sz w:val="14"/>
              </w:rPr>
              <w:t>Reserved for Insurability Paper</w:t>
            </w:r>
          </w:p>
        </w:tc>
      </w:tr>
      <w:tr>
        <w:tc>
          <w:tcPr>
            <w:tcW w:type="dxa" w:w="3408"/>
          </w:tcPr>
          <w:p>
            <w:pPr>
              <w:spacing w:after="0"/>
            </w:pPr>
            <w:r>
              <w:rPr>
                <w:rFonts w:ascii="Arial" w:hAnsi="Arial"/>
                <w:b w:val="0"/>
                <w:sz w:val="14"/>
              </w:rPr>
              <w:t>Tool-Action Liability</w:t>
            </w:r>
          </w:p>
        </w:tc>
        <w:tc>
          <w:tcPr>
            <w:tcW w:type="dxa" w:w="3408"/>
          </w:tcPr>
          <w:p>
            <w:pPr>
              <w:spacing w:after="0"/>
            </w:pPr>
            <w:r>
              <w:rPr>
                <w:rFonts w:ascii="Arial" w:hAnsi="Arial"/>
                <w:b w:val="0"/>
                <w:sz w:val="14"/>
              </w:rPr>
              <w:t>Defines MRO-05 (Tool-Action Liability Boundary) as lifecycle governance object</w:t>
            </w:r>
          </w:p>
        </w:tc>
        <w:tc>
          <w:tcPr>
            <w:tcW w:type="dxa" w:w="3408"/>
          </w:tcPr>
          <w:p>
            <w:pPr>
              <w:spacing w:after="0"/>
            </w:pPr>
            <w:r>
              <w:rPr>
                <w:rFonts w:ascii="Arial" w:hAnsi="Arial"/>
                <w:b w:val="0"/>
                <w:sz w:val="14"/>
              </w:rPr>
              <w:t>Evaluates liability boundary implications, loss attribution, and coverage analysis</w:t>
            </w:r>
          </w:p>
        </w:tc>
      </w:tr>
      <w:tr>
        <w:tc>
          <w:tcPr>
            <w:tcW w:type="dxa" w:w="3408"/>
          </w:tcPr>
          <w:p>
            <w:pPr>
              <w:spacing w:after="0"/>
            </w:pPr>
            <w:r>
              <w:rPr>
                <w:rFonts w:ascii="Arial" w:hAnsi="Arial"/>
                <w:b w:val="0"/>
                <w:sz w:val="14"/>
              </w:rPr>
              <w:t>Dispute-Ready Replay</w:t>
            </w:r>
          </w:p>
        </w:tc>
        <w:tc>
          <w:tcPr>
            <w:tcW w:type="dxa" w:w="3408"/>
          </w:tcPr>
          <w:p>
            <w:pPr>
              <w:spacing w:after="0"/>
            </w:pPr>
            <w:r>
              <w:rPr>
                <w:rFonts w:ascii="Arial" w:hAnsi="Arial"/>
                <w:b w:val="0"/>
                <w:sz w:val="14"/>
              </w:rPr>
              <w:t>Defines evidence chain and replay as lifecycle requirements</w:t>
            </w:r>
          </w:p>
        </w:tc>
        <w:tc>
          <w:tcPr>
            <w:tcW w:type="dxa" w:w="3408"/>
          </w:tcPr>
          <w:p>
            <w:pPr>
              <w:spacing w:after="0"/>
            </w:pPr>
            <w:r>
              <w:rPr>
                <w:rFonts w:ascii="Arial" w:hAnsi="Arial"/>
                <w:b w:val="0"/>
                <w:sz w:val="14"/>
              </w:rPr>
              <w:t>Defines claim replay procedures, dispute-ready evidence structure, and claim settlement implications</w:t>
            </w:r>
          </w:p>
        </w:tc>
      </w:tr>
      <w:tr>
        <w:tc>
          <w:tcPr>
            <w:tcW w:type="dxa" w:w="3408"/>
          </w:tcPr>
          <w:p>
            <w:pPr>
              <w:spacing w:after="0"/>
            </w:pPr>
            <w:r>
              <w:rPr>
                <w:rFonts w:ascii="Arial" w:hAnsi="Arial"/>
                <w:b w:val="0"/>
                <w:sz w:val="14"/>
              </w:rPr>
              <w:t>Claim Replay</w:t>
            </w:r>
          </w:p>
        </w:tc>
        <w:tc>
          <w:tcPr>
            <w:tcW w:type="dxa" w:w="3408"/>
          </w:tcPr>
          <w:p>
            <w:pPr>
              <w:spacing w:after="0"/>
            </w:pPr>
            <w:r>
              <w:rPr>
                <w:rFonts w:ascii="Arial" w:hAnsi="Arial"/>
                <w:b w:val="0"/>
                <w:sz w:val="14"/>
              </w:rPr>
              <w:t>Mentions claim replay as downstream implication of evidence chain</w:t>
            </w:r>
          </w:p>
        </w:tc>
        <w:tc>
          <w:tcPr>
            <w:tcW w:type="dxa" w:w="3408"/>
          </w:tcPr>
          <w:p>
            <w:pPr>
              <w:spacing w:after="0"/>
            </w:pPr>
            <w:r>
              <w:rPr>
                <w:rFonts w:ascii="Arial" w:hAnsi="Arial"/>
                <w:b w:val="0"/>
                <w:sz w:val="14"/>
              </w:rPr>
              <w:t>Defines claim replay methodology, evidence requirements, and dispute resolution procedures</w:t>
            </w:r>
          </w:p>
        </w:tc>
      </w:tr>
      <w:tr>
        <w:tc>
          <w:tcPr>
            <w:tcW w:type="dxa" w:w="3408"/>
          </w:tcPr>
          <w:p>
            <w:pPr>
              <w:spacing w:after="0"/>
            </w:pPr>
            <w:r>
              <w:rPr>
                <w:rFonts w:ascii="Arial" w:hAnsi="Arial"/>
                <w:b w:val="0"/>
                <w:sz w:val="14"/>
              </w:rPr>
              <w:t>Loss Attribution</w:t>
            </w:r>
          </w:p>
        </w:tc>
        <w:tc>
          <w:tcPr>
            <w:tcW w:type="dxa" w:w="3408"/>
          </w:tcPr>
          <w:p>
            <w:pPr>
              <w:spacing w:after="0"/>
            </w:pPr>
            <w:r>
              <w:rPr>
                <w:rFonts w:ascii="Arial" w:hAnsi="Arial"/>
                <w:b w:val="0"/>
                <w:sz w:val="14"/>
              </w:rPr>
              <w:t>Defines authority boundary and responsibility transfer as MROs</w:t>
            </w:r>
          </w:p>
        </w:tc>
        <w:tc>
          <w:tcPr>
            <w:tcW w:type="dxa" w:w="3408"/>
          </w:tcPr>
          <w:p>
            <w:pPr>
              <w:spacing w:after="0"/>
            </w:pPr>
            <w:r>
              <w:rPr>
                <w:rFonts w:ascii="Arial" w:hAnsi="Arial"/>
                <w:b w:val="0"/>
                <w:sz w:val="14"/>
              </w:rPr>
              <w:t>Defines loss attribution methodology, liability analysis, and coverage boundary implications</w:t>
            </w:r>
          </w:p>
        </w:tc>
      </w:tr>
      <w:tr>
        <w:tc>
          <w:tcPr>
            <w:tcW w:type="dxa" w:w="3408"/>
          </w:tcPr>
          <w:p>
            <w:pPr>
              <w:spacing w:after="0"/>
            </w:pPr>
            <w:r>
              <w:rPr>
                <w:rFonts w:ascii="Arial" w:hAnsi="Arial"/>
                <w:b w:val="0"/>
                <w:sz w:val="14"/>
              </w:rPr>
              <w:t>Risk Classification</w:t>
            </w:r>
          </w:p>
        </w:tc>
        <w:tc>
          <w:tcPr>
            <w:tcW w:type="dxa" w:w="3408"/>
          </w:tcPr>
          <w:p>
            <w:pPr>
              <w:spacing w:after="0"/>
            </w:pPr>
            <w:r>
              <w:rPr>
                <w:rFonts w:ascii="Arial" w:hAnsi="Arial"/>
                <w:b w:val="0"/>
                <w:sz w:val="14"/>
              </w:rPr>
              <w:t>Provides RCCS/ALCS scores as risk inputs; does not claim scores determine risk classification</w:t>
            </w:r>
          </w:p>
        </w:tc>
        <w:tc>
          <w:tcPr>
            <w:tcW w:type="dxa" w:w="3408"/>
          </w:tcPr>
          <w:p>
            <w:pPr>
              <w:spacing w:after="0"/>
            </w:pPr>
            <w:r>
              <w:rPr>
                <w:rFonts w:ascii="Arial" w:hAnsi="Arial"/>
                <w:b w:val="0"/>
                <w:sz w:val="14"/>
              </w:rPr>
              <w:t>Analyzes how lifecycle conformance affects risk classification for underwriting purposes</w:t>
            </w:r>
          </w:p>
        </w:tc>
      </w:tr>
      <w:tr>
        <w:tc>
          <w:tcPr>
            <w:tcW w:type="dxa" w:w="3408"/>
          </w:tcPr>
          <w:p>
            <w:pPr>
              <w:spacing w:after="0"/>
            </w:pPr>
            <w:r>
              <w:rPr>
                <w:rFonts w:ascii="Arial" w:hAnsi="Arial"/>
                <w:b w:val="0"/>
                <w:sz w:val="14"/>
              </w:rPr>
              <w:t>Premium Differentiation</w:t>
            </w:r>
          </w:p>
        </w:tc>
        <w:tc>
          <w:tcPr>
            <w:tcW w:type="dxa" w:w="3408"/>
          </w:tcPr>
          <w:p>
            <w:pPr>
              <w:spacing w:after="0"/>
            </w:pPr>
            <w:r>
              <w:rPr>
                <w:rFonts w:ascii="Arial" w:hAnsi="Arial"/>
                <w:b w:val="0"/>
                <w:sz w:val="14"/>
              </w:rPr>
              <w:t>Mentions premium differentiation as potential downstream implication</w:t>
            </w:r>
          </w:p>
        </w:tc>
        <w:tc>
          <w:tcPr>
            <w:tcW w:type="dxa" w:w="3408"/>
          </w:tcPr>
          <w:p>
            <w:pPr>
              <w:spacing w:after="0"/>
            </w:pPr>
            <w:r>
              <w:rPr>
                <w:rFonts w:ascii="Arial" w:hAnsi="Arial"/>
                <w:b w:val="0"/>
                <w:sz w:val="14"/>
              </w:rPr>
              <w:t>Analyzes premium differentiation logic without defining actual pricing or actuarial models</w:t>
            </w:r>
          </w:p>
        </w:tc>
      </w:tr>
      <w:tr>
        <w:tc>
          <w:tcPr>
            <w:tcW w:type="dxa" w:w="3408"/>
          </w:tcPr>
          <w:p>
            <w:pPr>
              <w:spacing w:after="0"/>
            </w:pPr>
            <w:r>
              <w:rPr>
                <w:rFonts w:ascii="Arial" w:hAnsi="Arial"/>
                <w:b w:val="0"/>
                <w:sz w:val="14"/>
              </w:rPr>
              <w:t>Exclusion Triggers</w:t>
            </w:r>
          </w:p>
        </w:tc>
        <w:tc>
          <w:tcPr>
            <w:tcW w:type="dxa" w:w="3408"/>
          </w:tcPr>
          <w:p>
            <w:pPr>
              <w:spacing w:after="0"/>
            </w:pPr>
            <w:r>
              <w:rPr>
                <w:rFonts w:ascii="Arial" w:hAnsi="Arial"/>
                <w:b w:val="0"/>
                <w:sz w:val="14"/>
              </w:rPr>
              <w:t>Defines authority drift and autonomous action boundaries as lifecycle risks</w:t>
            </w:r>
          </w:p>
        </w:tc>
        <w:tc>
          <w:tcPr>
            <w:tcW w:type="dxa" w:w="3408"/>
          </w:tcPr>
          <w:p>
            <w:pPr>
              <w:spacing w:after="0"/>
            </w:pPr>
            <w:r>
              <w:rPr>
                <w:rFonts w:ascii="Arial" w:hAnsi="Arial"/>
                <w:b w:val="0"/>
                <w:sz w:val="14"/>
              </w:rPr>
              <w:t>Analyzes exclusion trigger implications for coverage boundaries</w:t>
            </w:r>
          </w:p>
        </w:tc>
      </w:tr>
      <w:tr>
        <w:tc>
          <w:tcPr>
            <w:tcW w:type="dxa" w:w="3408"/>
          </w:tcPr>
          <w:p>
            <w:pPr>
              <w:spacing w:after="0"/>
            </w:pPr>
            <w:r>
              <w:rPr>
                <w:rFonts w:ascii="Arial" w:hAnsi="Arial"/>
                <w:b w:val="0"/>
                <w:sz w:val="14"/>
              </w:rPr>
              <w:t>Incident Remediation Closure</w:t>
            </w:r>
          </w:p>
        </w:tc>
        <w:tc>
          <w:tcPr>
            <w:tcW w:type="dxa" w:w="3408"/>
          </w:tcPr>
          <w:p>
            <w:pPr>
              <w:spacing w:after="0"/>
            </w:pPr>
            <w:r>
              <w:rPr>
                <w:rFonts w:ascii="Arial" w:hAnsi="Arial"/>
                <w:b w:val="0"/>
                <w:sz w:val="14"/>
              </w:rPr>
              <w:t>Defines MRO-16 (Incident, Dispute, and Remediation Closure) as lifecycle requirement</w:t>
            </w:r>
          </w:p>
        </w:tc>
        <w:tc>
          <w:tcPr>
            <w:tcW w:type="dxa" w:w="3408"/>
          </w:tcPr>
          <w:p>
            <w:pPr>
              <w:spacing w:after="0"/>
            </w:pPr>
            <w:r>
              <w:rPr>
                <w:rFonts w:ascii="Arial" w:hAnsi="Arial"/>
                <w:b w:val="0"/>
                <w:sz w:val="14"/>
              </w:rPr>
              <w:t>Defines remediation closure verification for claim settlement and coverage restoration</w:t>
            </w:r>
          </w:p>
        </w:tc>
      </w:tr>
      <w:tr>
        <w:tc>
          <w:tcPr>
            <w:tcW w:type="dxa" w:w="3408"/>
          </w:tcPr>
          <w:p>
            <w:pPr>
              <w:spacing w:after="0"/>
            </w:pPr>
            <w:r>
              <w:rPr>
                <w:rFonts w:ascii="Arial" w:hAnsi="Arial"/>
                <w:b w:val="0"/>
                <w:sz w:val="14"/>
              </w:rPr>
              <w:t>Authority Boundary Risk</w:t>
            </w:r>
          </w:p>
        </w:tc>
        <w:tc>
          <w:tcPr>
            <w:tcW w:type="dxa" w:w="3408"/>
          </w:tcPr>
          <w:p>
            <w:pPr>
              <w:spacing w:after="0"/>
            </w:pPr>
            <w:r>
              <w:rPr>
                <w:rFonts w:ascii="Arial" w:hAnsi="Arial"/>
                <w:b w:val="0"/>
                <w:sz w:val="14"/>
              </w:rPr>
              <w:t>Defines MRO-02 (Delegated Authority Boundary) and MRO-07 (Authority Drift)</w:t>
            </w:r>
          </w:p>
        </w:tc>
        <w:tc>
          <w:tcPr>
            <w:tcW w:type="dxa" w:w="3408"/>
          </w:tcPr>
          <w:p>
            <w:pPr>
              <w:spacing w:after="0"/>
            </w:pPr>
            <w:r>
              <w:rPr>
                <w:rFonts w:ascii="Arial" w:hAnsi="Arial"/>
                <w:b w:val="0"/>
                <w:sz w:val="14"/>
              </w:rPr>
              <w:t>Analyzes authority boundary risk for underwriting, coverage, and liability purposes</w:t>
            </w:r>
          </w:p>
        </w:tc>
      </w:tr>
      <w:tr>
        <w:tc>
          <w:tcPr>
            <w:tcW w:type="dxa" w:w="3408"/>
          </w:tcPr>
          <w:p>
            <w:pPr>
              <w:spacing w:after="0"/>
            </w:pPr>
            <w:r>
              <w:rPr>
                <w:rFonts w:ascii="Arial" w:hAnsi="Arial"/>
                <w:b w:val="0"/>
                <w:sz w:val="14"/>
              </w:rPr>
              <w:t>Moral Hazard</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Analyzes moral hazard considerations for agentic system insurance</w:t>
            </w:r>
          </w:p>
        </w:tc>
      </w:tr>
      <w:tr>
        <w:tc>
          <w:tcPr>
            <w:tcW w:type="dxa" w:w="3408"/>
          </w:tcPr>
          <w:p>
            <w:pPr>
              <w:spacing w:after="0"/>
            </w:pPr>
            <w:r>
              <w:rPr>
                <w:rFonts w:ascii="Arial" w:hAnsi="Arial"/>
                <w:b w:val="0"/>
                <w:sz w:val="14"/>
              </w:rPr>
              <w:t>Coverage Boundary Analysis</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Defines where coverage begins and ends for agentic systems</w:t>
            </w:r>
          </w:p>
        </w:tc>
      </w:tr>
    </w:tbl>
    <w:p>
      <w:pPr>
        <w:spacing w:after="56"/>
      </w:pPr>
      <w:r>
        <w:t>Key Distinction:</w:t>
      </w:r>
    </w:p>
    <w:p>
      <w:pPr>
        <w:spacing w:after="56"/>
      </w:pPr>
      <w:r>
        <w:t>The main white paper defines lifecycle governance objects and framework-entry concepts. The companion papers define detailed procedures, methodologies, and professional judgment frameworks. The main paper does not replace audit, assurance, insurance, actuarial, legal, or procurement judgment. It provides structured inputs that make those professional judgments more efficient, consistent, and auditable when applied to agentic systems.</w:t>
      </w:r>
    </w:p>
    <w:p>
      <w:pPr>
        <w:pStyle w:val="Heading2"/>
      </w:pPr>
      <w:r>
        <w:t>16.5 Non-Claim Discipline</w:t>
      </w:r>
    </w:p>
    <w:p>
      <w:pPr>
        <w:spacing w:after="56"/>
      </w:pPr>
      <w:r>
        <w:t>This section establishes explicit boundaries for what the main white paper does and does not claim. These boundaries apply to the entire document, including all chapters, tables, figures, and appendices.</w:t>
      </w:r>
    </w:p>
    <w:p>
      <w:pPr>
        <w:spacing w:after="56"/>
      </w:pPr>
      <w:r>
        <w:t>Explicit Statements:</w:t>
      </w:r>
    </w:p>
    <w:p>
      <w:pPr>
        <w:pStyle w:val="ListBullet"/>
        <w:spacing w:after="56"/>
      </w:pPr>
      <w:r>
        <w:t>This white paper is not legal advice. It does not provide legal opinions, jurisdictional interpretations, or compliance conclusions. Legal compliance requires professional legal judgment.</w:t>
      </w:r>
    </w:p>
    <w:p>
      <w:pPr>
        <w:pStyle w:val="ListBullet"/>
        <w:spacing w:after="56"/>
      </w:pPr>
      <w:r>
        <w:t>This white paper is not an audit opinion. It does not issue audit opinions, attestation reports, or assurance conclusions. Audit readiness requires professional audit judgment.</w:t>
      </w:r>
    </w:p>
    <w:p>
      <w:pPr>
        <w:pStyle w:val="ListBullet"/>
        <w:spacing w:after="56"/>
      </w:pPr>
      <w:r>
        <w:t>This white paper is not an assurance report. It does not provide assurance engagements, attestation services, or certification. Assurance requires professional assurance judgment.</w:t>
      </w:r>
    </w:p>
    <w:p>
      <w:pPr>
        <w:pStyle w:val="ListBullet"/>
        <w:spacing w:after="56"/>
      </w:pPr>
      <w:r>
        <w:t>This white paper is not an insurance underwriting manual. It does not define insurance policy wording, premium pricing, actuarial methodology, or claim settlement procedures. Insurability requires professional underwriting, actuarial, and claims judgment.</w:t>
      </w:r>
    </w:p>
    <w:p>
      <w:pPr>
        <w:pStyle w:val="ListBullet"/>
        <w:spacing w:after="56"/>
      </w:pPr>
      <w:r>
        <w:t>This white paper is not a certification program. It does not certify compliance, issue conformity assessments, or provide regulatory approval. Certification requires accredited conformity assessment bodies.</w:t>
      </w:r>
    </w:p>
    <w:p>
      <w:pPr>
        <w:pStyle w:val="ListBullet"/>
        <w:spacing w:after="56"/>
      </w:pPr>
      <w:r>
        <w:t>This white paper does not certify compliance. RCCS and ALCS are analytical frameworks, not legal compliance scores. High scores do not guarantee compliance. Low scores do not prove non-compliance.</w:t>
      </w:r>
    </w:p>
    <w:p>
      <w:pPr>
        <w:pStyle w:val="ListBullet"/>
        <w:spacing w:after="56"/>
      </w:pPr>
      <w:r>
        <w:t>RCCS and ALCS are analytical frameworks, not legal compliance scores. They provide structured inputs for risk assessment, procurement, audit, and insurance analysis. They do not replace professional judgment.</w:t>
      </w:r>
    </w:p>
    <w:p>
      <w:pPr>
        <w:pStyle w:val="ListBullet"/>
        <w:spacing w:after="56"/>
      </w:pPr>
      <w:r>
        <w:t>MPLP is a lifecycle protocol path, not a regulator, certification body, or exclusive compliance method. MPLP conformance does not guarantee compliance. Non-MPLP systems are not automatically non-compliant. MPLP is one example of how lifecycle governance could be structured.</w:t>
      </w:r>
    </w:p>
    <w:p>
      <w:pPr>
        <w:pStyle w:val="ListBullet"/>
        <w:spacing w:after="56"/>
      </w:pPr>
      <w:r>
        <w:t>Validation Lab is a non-certifying evidence adjudication example, not a certification authority. Validation Lab does not certify compliance. It does not issue legal opinions. It does not replace audit or regulatory judgment. It is an example of privacy-preserving third-party validation, not a required compliance mechanism.</w:t>
      </w:r>
    </w:p>
    <w:p>
      <w:pPr>
        <w:pStyle w:val="Heading3"/>
      </w:pPr>
      <w:r>
        <w:t>Table T-16-02: Claim Boundaries</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Claim Area</w:t>
            </w:r>
          </w:p>
        </w:tc>
        <w:tc>
          <w:tcPr>
            <w:tcW w:type="dxa" w:w="3408"/>
          </w:tcPr>
          <w:p>
            <w:pPr>
              <w:spacing w:after="0"/>
            </w:pPr>
            <w:r>
              <w:rPr>
                <w:rFonts w:ascii="Arial" w:hAnsi="Arial"/>
                <w:b/>
                <w:sz w:val="14"/>
              </w:rPr>
              <w:t>Allowed Wording</w:t>
            </w:r>
          </w:p>
        </w:tc>
        <w:tc>
          <w:tcPr>
            <w:tcW w:type="dxa" w:w="3408"/>
          </w:tcPr>
          <w:p>
            <w:pPr>
              <w:spacing w:after="0"/>
            </w:pPr>
            <w:r>
              <w:rPr>
                <w:rFonts w:ascii="Arial" w:hAnsi="Arial"/>
                <w:b/>
                <w:sz w:val="14"/>
              </w:rPr>
              <w:t>Forbidden Wording</w:t>
            </w:r>
          </w:p>
        </w:tc>
      </w:tr>
      <w:tr>
        <w:tc>
          <w:tcPr>
            <w:tcW w:type="dxa" w:w="3408"/>
          </w:tcPr>
          <w:p>
            <w:pPr>
              <w:spacing w:after="0"/>
            </w:pPr>
            <w:r>
              <w:rPr>
                <w:rFonts w:ascii="Arial" w:hAnsi="Arial"/>
                <w:b w:val="0"/>
                <w:sz w:val="14"/>
              </w:rPr>
              <w:t>Legal</w:t>
            </w:r>
          </w:p>
        </w:tc>
        <w:tc>
          <w:tcPr>
            <w:tcW w:type="dxa" w:w="3408"/>
          </w:tcPr>
          <w:p>
            <w:pPr>
              <w:spacing w:after="0"/>
            </w:pPr>
            <w:r>
              <w:rPr>
                <w:rFonts w:ascii="Arial" w:hAnsi="Arial"/>
                <w:b w:val="0"/>
                <w:sz w:val="14"/>
              </w:rPr>
              <w:t>"This framework may help inform compliance analysis" / "Legal compliance requires professional legal judgment"</w:t>
            </w:r>
          </w:p>
        </w:tc>
        <w:tc>
          <w:tcPr>
            <w:tcW w:type="dxa" w:w="3408"/>
          </w:tcPr>
          <w:p>
            <w:pPr>
              <w:spacing w:after="0"/>
            </w:pPr>
            <w:r>
              <w:rPr>
                <w:rFonts w:ascii="Arial" w:hAnsi="Arial"/>
                <w:b w:val="0"/>
                <w:sz w:val="14"/>
              </w:rPr>
              <w:t>"Regulator-approved" / "Certified compliant" / "Guarantees legal compliance" / "Official legal standard"</w:t>
            </w:r>
          </w:p>
        </w:tc>
      </w:tr>
      <w:tr>
        <w:tc>
          <w:tcPr>
            <w:tcW w:type="dxa" w:w="3408"/>
          </w:tcPr>
          <w:p>
            <w:pPr>
              <w:spacing w:after="0"/>
            </w:pPr>
            <w:r>
              <w:rPr>
                <w:rFonts w:ascii="Arial" w:hAnsi="Arial"/>
                <w:b w:val="0"/>
                <w:sz w:val="14"/>
              </w:rPr>
              <w:t>Audit / Assurance</w:t>
            </w:r>
          </w:p>
        </w:tc>
        <w:tc>
          <w:tcPr>
            <w:tcW w:type="dxa" w:w="3408"/>
          </w:tcPr>
          <w:p>
            <w:pPr>
              <w:spacing w:after="0"/>
            </w:pPr>
            <w:r>
              <w:rPr>
                <w:rFonts w:ascii="Arial" w:hAnsi="Arial"/>
                <w:b w:val="0"/>
                <w:sz w:val="14"/>
              </w:rPr>
              <w:t>"This framework provides audit readiness inputs" / "Audit opinions require professional audit judgment"</w:t>
            </w:r>
          </w:p>
        </w:tc>
        <w:tc>
          <w:tcPr>
            <w:tcW w:type="dxa" w:w="3408"/>
          </w:tcPr>
          <w:p>
            <w:pPr>
              <w:spacing w:after="0"/>
            </w:pPr>
            <w:r>
              <w:rPr>
                <w:rFonts w:ascii="Arial" w:hAnsi="Arial"/>
                <w:b w:val="0"/>
                <w:sz w:val="14"/>
              </w:rPr>
              <w:t>"Certifies audit compliance" / "Issues audit opinions" / "Replaces internal audit" / "Guaranteed audit-ready"</w:t>
            </w:r>
          </w:p>
        </w:tc>
      </w:tr>
      <w:tr>
        <w:tc>
          <w:tcPr>
            <w:tcW w:type="dxa" w:w="3408"/>
          </w:tcPr>
          <w:p>
            <w:pPr>
              <w:spacing w:after="0"/>
            </w:pPr>
            <w:r>
              <w:rPr>
                <w:rFonts w:ascii="Arial" w:hAnsi="Arial"/>
                <w:b w:val="0"/>
                <w:sz w:val="14"/>
              </w:rPr>
              <w:t>Insurance</w:t>
            </w:r>
          </w:p>
        </w:tc>
        <w:tc>
          <w:tcPr>
            <w:tcW w:type="dxa" w:w="3408"/>
          </w:tcPr>
          <w:p>
            <w:pPr>
              <w:spacing w:after="0"/>
            </w:pPr>
            <w:r>
              <w:rPr>
                <w:rFonts w:ascii="Arial" w:hAnsi="Arial"/>
                <w:b w:val="0"/>
                <w:sz w:val="14"/>
              </w:rPr>
              <w:t>"This framework may inform insurability analysis" / "Underwriting requires professional insurance judgment"</w:t>
            </w:r>
          </w:p>
        </w:tc>
        <w:tc>
          <w:tcPr>
            <w:tcW w:type="dxa" w:w="3408"/>
          </w:tcPr>
          <w:p>
            <w:pPr>
              <w:spacing w:after="0"/>
            </w:pPr>
            <w:r>
              <w:rPr>
                <w:rFonts w:ascii="Arial" w:hAnsi="Arial"/>
                <w:b w:val="0"/>
                <w:sz w:val="14"/>
              </w:rPr>
              <w:t>"Guaranteed insurable" / "Sets premiums" / "Defines policy wording" / "Replaces underwriting judgment"</w:t>
            </w:r>
          </w:p>
        </w:tc>
      </w:tr>
      <w:tr>
        <w:tc>
          <w:tcPr>
            <w:tcW w:type="dxa" w:w="3408"/>
          </w:tcPr>
          <w:p>
            <w:pPr>
              <w:spacing w:after="0"/>
            </w:pPr>
            <w:r>
              <w:rPr>
                <w:rFonts w:ascii="Arial" w:hAnsi="Arial"/>
                <w:b w:val="0"/>
                <w:sz w:val="14"/>
              </w:rPr>
              <w:t>RCCS / ALCS</w:t>
            </w:r>
          </w:p>
        </w:tc>
        <w:tc>
          <w:tcPr>
            <w:tcW w:type="dxa" w:w="3408"/>
          </w:tcPr>
          <w:p>
            <w:pPr>
              <w:spacing w:after="0"/>
            </w:pPr>
            <w:r>
              <w:rPr>
                <w:rFonts w:ascii="Arial" w:hAnsi="Arial"/>
                <w:b w:val="0"/>
                <w:sz w:val="14"/>
              </w:rPr>
              <w:t>"Analytical frameworks for risk assessment" / "Structured inputs for professional judgment"</w:t>
            </w:r>
          </w:p>
        </w:tc>
        <w:tc>
          <w:tcPr>
            <w:tcW w:type="dxa" w:w="3408"/>
          </w:tcPr>
          <w:p>
            <w:pPr>
              <w:spacing w:after="0"/>
            </w:pPr>
            <w:r>
              <w:rPr>
                <w:rFonts w:ascii="Arial" w:hAnsi="Arial"/>
                <w:b w:val="0"/>
                <w:sz w:val="14"/>
              </w:rPr>
              <w:t>"Legal compliance scores" / "Certification scores" / "Guarantees compliance" / "The only scoring method"</w:t>
            </w:r>
          </w:p>
        </w:tc>
      </w:tr>
      <w:tr>
        <w:tc>
          <w:tcPr>
            <w:tcW w:type="dxa" w:w="3408"/>
          </w:tcPr>
          <w:p>
            <w:pPr>
              <w:spacing w:after="0"/>
            </w:pPr>
            <w:r>
              <w:rPr>
                <w:rFonts w:ascii="Arial" w:hAnsi="Arial"/>
                <w:b w:val="0"/>
                <w:sz w:val="14"/>
              </w:rPr>
              <w:t>MPLP</w:t>
            </w:r>
          </w:p>
        </w:tc>
        <w:tc>
          <w:tcPr>
            <w:tcW w:type="dxa" w:w="3408"/>
          </w:tcPr>
          <w:p>
            <w:pPr>
              <w:spacing w:after="0"/>
            </w:pPr>
            <w:r>
              <w:rPr>
                <w:rFonts w:ascii="Arial" w:hAnsi="Arial"/>
                <w:b w:val="0"/>
                <w:sz w:val="14"/>
              </w:rPr>
              <w:t>"One example of lifecycle protocol implementation" / "Not required for compliance"</w:t>
            </w:r>
          </w:p>
        </w:tc>
        <w:tc>
          <w:tcPr>
            <w:tcW w:type="dxa" w:w="3408"/>
          </w:tcPr>
          <w:p>
            <w:pPr>
              <w:spacing w:after="0"/>
            </w:pPr>
            <w:r>
              <w:rPr>
                <w:rFonts w:ascii="Arial" w:hAnsi="Arial"/>
                <w:b w:val="0"/>
                <w:sz w:val="14"/>
              </w:rPr>
              <w:t>"Required for compliance" / "The only solution" / "Official standard" / "Regulator-mandated"</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"Non-certifying evidence adjudication example" / "One approach to privacy-preserving validation"</w:t>
            </w:r>
          </w:p>
        </w:tc>
        <w:tc>
          <w:tcPr>
            <w:tcW w:type="dxa" w:w="3408"/>
          </w:tcPr>
          <w:p>
            <w:pPr>
              <w:spacing w:after="0"/>
            </w:pPr>
            <w:r>
              <w:rPr>
                <w:rFonts w:ascii="Arial" w:hAnsi="Arial"/>
                <w:b w:val="0"/>
                <w:sz w:val="14"/>
              </w:rPr>
              <w:t>"Certification authority" / "Certifies compliance" / "Required for compliance" / "Regulator-approved" / "Official validator"</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"Comparative analysis of lifecycle conformance strength" / "Not endorsements or certifications"</w:t>
            </w:r>
          </w:p>
        </w:tc>
        <w:tc>
          <w:tcPr>
            <w:tcW w:type="dxa" w:w="3408"/>
          </w:tcPr>
          <w:p>
            <w:pPr>
              <w:spacing w:after="0"/>
            </w:pPr>
            <w:r>
              <w:rPr>
                <w:rFonts w:ascii="Arial" w:hAnsi="Arial"/>
                <w:b w:val="0"/>
                <w:sz w:val="14"/>
              </w:rPr>
              <w:t>"Certified systems" / "Approved vendors" / "Guaranteed compliant" / "Official rankings"</w:t>
            </w:r>
          </w:p>
        </w:tc>
      </w:tr>
    </w:tbl>
    <w:p>
      <w:pPr>
        <w:spacing w:after="56"/>
      </w:pPr>
      <w:r>
        <w:t>Interpretation Guidance:</w:t>
      </w:r>
    </w:p>
    <w:p>
      <w:pPr>
        <w:spacing w:after="56"/>
      </w:pPr>
      <w:r>
        <w:t>When interpreting this white paper, readers should understand that:</w:t>
      </w:r>
    </w:p>
    <w:p>
      <w:pPr>
        <w:pStyle w:val="ListNumber"/>
        <w:spacing w:after="56"/>
      </w:pPr>
      <w:r>
        <w:t>Framework, not mandate: This white paper defines a governance framework. It does not mandate specific implementations, vendors, or methods.</w:t>
      </w:r>
    </w:p>
    <w:p>
      <w:pPr>
        <w:pStyle w:val="ListNumber"/>
        <w:spacing w:after="56"/>
      </w:pPr>
      <w:r>
        <w:t>Inputs, not conclusions: RCCS, ALCS, MROs, and system mappings provide structured inputs for professional judgment. They do not replace legal, audit, insurance, actuarial, or procurement judgment.</w:t>
      </w:r>
    </w:p>
    <w:p>
      <w:pPr>
        <w:pStyle w:val="ListNumber"/>
        <w:spacing w:after="56"/>
      </w:pPr>
      <w:r>
        <w:t>Examples, not requirements: MPLP and Validation Lab are examples of how lifecycle governance could be implemented. They are not required for compliance. Other approaches may be equally valid.</w:t>
      </w:r>
    </w:p>
    <w:p>
      <w:pPr>
        <w:pStyle w:val="ListNumber"/>
        <w:spacing w:after="56"/>
      </w:pPr>
      <w:r>
        <w:t>Analysis, not certification: System mappings and comparative field positioning are analytical tools. They are not endorsements, certifications, or vendor recommendations.</w:t>
      </w:r>
    </w:p>
    <w:p>
      <w:pPr>
        <w:pStyle w:val="ListNumber"/>
        <w:spacing w:after="56"/>
      </w:pPr>
      <w:r>
        <w:t>Disclosure, not guarantee: Evidence levels (L1-L5) disclose the basis for claims. L5 (author inference) does not guarantee accuracy. Professional judgment is required to evaluate all claims.</w:t>
      </w:r>
    </w:p>
    <w:p>
      <w:pPr>
        <w:pStyle w:val="Heading2"/>
      </w:pPr>
      <w:r>
        <w:t>16.6 Bridge to Adoption Roadmap</w:t>
      </w:r>
    </w:p>
    <w:p>
      <w:pPr>
        <w:spacing w:after="56"/>
      </w:pPr>
      <w:r>
        <w:t>The companion-paper boundary clarifies adoption sequencing for enterprises, auditors, insurers, and regulators evaluating agentic systems.</w:t>
      </w:r>
    </w:p>
    <w:p>
      <w:pPr>
        <w:spacing w:after="56"/>
      </w:pPr>
      <w:r>
        <w:t>Recommended Adoption Sequence:</w:t>
      </w:r>
    </w:p>
    <w:p>
      <w:pPr>
        <w:pStyle w:val="ListNumber"/>
        <w:spacing w:after="56"/>
      </w:pPr>
      <w:r>
        <w:t>Use the main white paper to understand the AI Agent Lifecycle Governance primary framework layer, Missing Regulatory Objects, RCCS/ALCS scoring, enterprise control crosswalk, and system positioning. This provides the conceptual foundation and framework-entry understanding.</w:t>
      </w:r>
    </w:p>
    <w:p>
      <w:pPr>
        <w:pStyle w:val="ListNumber"/>
        <w:spacing w:after="56"/>
      </w:pPr>
      <w:r>
        <w:t>Use the Evidence &amp; Assurance companion paper (when published) for audit readiness, control testing methodology, evidence sufficiency analysis, attestation preparation, and privacy-preserving validation procedures. This provides the assurance methodology layer.</w:t>
      </w:r>
    </w:p>
    <w:p>
      <w:pPr>
        <w:pStyle w:val="ListNumber"/>
        <w:spacing w:after="56"/>
      </w:pPr>
      <w:r>
        <w:t>Use the Insurability companion paper (when published) for risk classification, loss attribution analysis, claim replay evidence preparation, premium differentiation understanding, and coverage boundary analysis. This provides the risk transfer and insurability layer.</w:t>
      </w:r>
    </w:p>
    <w:p>
      <w:pPr>
        <w:pStyle w:val="ListNumber"/>
        <w:spacing w:after="56"/>
      </w:pPr>
      <w:r>
        <w:t>Use industry briefs (when published) for sector-specific operationalization in accounting, insurance, banking, healthcare, legal, and other regulated enterprise applications. This provides the industry-specific implementation layer.</w:t>
      </w:r>
    </w:p>
    <w:p>
      <w:pPr>
        <w:spacing w:after="56"/>
      </w:pPr>
      <w:r>
        <w:t>Why This Sequence Matters:</w:t>
      </w:r>
    </w:p>
    <w:p>
      <w:pPr>
        <w:spacing w:after="56"/>
      </w:pPr>
      <w:r>
        <w:t>The main white paper defines the primary governance framework. Without understanding MROs, RCCS, ALCS, and lifecycle conformance, the assurance and insurability methodologies would not make sense. The companion papers build on the main framework. They do not replace it.</w:t>
      </w:r>
    </w:p>
    <w:p>
      <w:pPr>
        <w:spacing w:after="56"/>
      </w:pPr>
      <w:r>
        <w:t>Enterprises that attempt to implement audit procedures or insurance analysis without understanding the lifecycle governance foundation will struggle with scope confusion, evidence gaps, and control misalignment. The adoption sequence ensures that governance, assurance, and insurability are addressed in the correct order.</w:t>
      </w:r>
    </w:p>
    <w:p>
      <w:pPr>
        <w:spacing w:after="56"/>
      </w:pPr>
      <w:r>
        <w:t>Bridge to Chapter 17:</w:t>
      </w:r>
    </w:p>
    <w:p>
      <w:pPr>
        <w:spacing w:after="56"/>
      </w:pPr>
      <w:r>
        <w:t>Chapter 17 defines the adoption roadmap in detail, including enterprise adoption pathways, regulatory engagement strategies, industry brief development, and global rollout sequencing. The companion-paper boundary established in this chapter ensures that the adoption roadmap can clearly distinguish between framework adoption, assurance methodology adoption, and insurability analysis adoption.</w:t>
      </w:r>
    </w:p>
    <w:p>
      <w:pPr>
        <w:spacing w:after="56"/>
      </w:pPr>
      <w:r>
        <w:t>The boundary also ensures that adoption recommendations do not overreach into legal, audit, insurance, or procurement conclusions. Chapter 17 provides adoption guidance, not adoption mandates. It clarifies that adoption pathways depend on enterprise context, regulatory jurisdiction, industry sector, and risk appetite, not only on lifecycle conformance scores.</w:t>
      </w:r>
    </w:p>
    <w:p>
      <w:pPr>
        <w:spacing w:after="56"/>
      </w:pPr>
      <w:r>
        <w:t>Figure F-10 - Companion Paper Boundary Map</w:t>
      </w:r>
    </w:p>
    <w:p>
      <w:pPr>
        <w:spacing w:after="56"/>
      </w:pPr>
      <w:r>
        <w:t>Main White Paper -&gt; Evidence &amp; Assurance Companion -&gt; Insurability Companion -&gt; Later Industry Briefs</w:t>
      </w:r>
    </w:p>
    <w:p>
      <w:pPr>
        <w:spacing w:after="56"/>
      </w:pPr>
      <w:r>
        <w:t>Figure F-10 shows the publication boundary between the main framework document, planned companion papers, and later industry briefs. The figure is a scope map, not a publication guarantee, certification pathway, or claim that companion papers are already complete.</w:t>
      </w:r>
    </w:p>
    <w:p>
      <w:pPr>
        <w:pStyle w:val="Heading1"/>
      </w:pPr>
      <w:r>
        <w:t>17. Adoption Roadmap for AI Agent Lifecycle Governance</w:t>
      </w:r>
    </w:p>
    <w:p>
      <w:pPr>
        <w:spacing w:after="56"/>
      </w:pPr>
      <w:r>
        <w:t>Version: v0.3.2-FRC-R3</w:t>
      </w:r>
    </w:p>
    <w:p>
      <w:pPr>
        <w:pStyle w:val="Heading2"/>
      </w:pPr>
      <w:r>
        <w:t>17.0 Why Adoption Roadmap Matters</w:t>
      </w:r>
    </w:p>
    <w:p>
      <w:pPr>
        <w:spacing w:after="56"/>
      </w:pPr>
      <w:r>
        <w:t>AI Agent Lifecycle Governance is not a theoretical framework. It is a practical necessity for enterprises deploying agentic AI systems. The previous chapters have defined the missing layer (Chapter 2), identified the sixteen Missing Regulatory Objects (Chapter 6), introduced RCCS and ALCS as analytical frameworks (Chapters 7-8), mapped existing systems (Chapters 11-12), examined evidence-based validation patterns (Chapter 14), and demonstrated enterprise failure scenarios (Chapter 15).</w:t>
      </w:r>
    </w:p>
    <w:p>
      <w:pPr>
        <w:spacing w:after="56"/>
      </w:pPr>
      <w:r>
        <w:t>This chapter translates the framework into an enterprise adoption roadmap. The roadmap is designed for enterprises that recognize the lifecycle governance gap and want to operationalize lifecycle responsibility objects before scaling autonomous or multi-agent workflows.</w:t>
      </w:r>
    </w:p>
    <w:p>
      <w:pPr>
        <w:spacing w:after="56"/>
      </w:pPr>
      <w:r>
        <w:t>The roadmap is not a procurement guide, certification checklist, or legal compliance procedure. It is a staged adoption path that helps enterprises:</w:t>
      </w:r>
    </w:p>
    <w:p>
      <w:pPr>
        <w:pStyle w:val="ListBullet"/>
        <w:spacing w:after="56"/>
      </w:pPr>
      <w:r>
        <w:t>Inventory agentic behavior and identify lifecycle governance gaps</w:t>
      </w:r>
    </w:p>
    <w:p>
      <w:pPr>
        <w:pStyle w:val="ListBullet"/>
        <w:spacing w:after="56"/>
      </w:pPr>
      <w:r>
        <w:t>Define delegated authority boundaries and human-role-to-MAS responsibility mappings</w:t>
      </w:r>
    </w:p>
    <w:p>
      <w:pPr>
        <w:pStyle w:val="ListBullet"/>
        <w:spacing w:after="56"/>
      </w:pPr>
      <w:r>
        <w:t>Convert orchestration logs into partitioned evidence chains</w:t>
      </w:r>
    </w:p>
    <w:p>
      <w:pPr>
        <w:pStyle w:val="ListBullet"/>
        <w:spacing w:after="56"/>
      </w:pPr>
      <w:r>
        <w:t>Map privacy and data subject rights across lifecycle surfaces</w:t>
      </w:r>
    </w:p>
    <w:p>
      <w:pPr>
        <w:pStyle w:val="ListBullet"/>
        <w:spacing w:after="56"/>
      </w:pPr>
      <w:r>
        <w:t>Prepare for evidence-based validation and qualified review</w:t>
      </w:r>
    </w:p>
    <w:p>
      <w:pPr>
        <w:pStyle w:val="ListBullet"/>
        <w:spacing w:after="56"/>
      </w:pPr>
      <w:r>
        <w:t>Operationalize incident, dispute, and remediation closure workflows</w:t>
      </w:r>
    </w:p>
    <w:p>
      <w:pPr>
        <w:pStyle w:val="ListBullet"/>
        <w:spacing w:after="56"/>
      </w:pPr>
      <w:r>
        <w:t>Scale lifecycle governance through integration with existing enterprise controls</w:t>
      </w:r>
    </w:p>
    <w:p>
      <w:pPr>
        <w:spacing w:after="56"/>
      </w:pPr>
      <w:r>
        <w:t>The goal is not to claim that lifecycle governance eliminates all risk. The goal is to provide a practical path for enterprises to address the lifecycle governance gap identified in this white paper.</w:t>
      </w:r>
    </w:p>
    <w:p>
      <w:pPr>
        <w:spacing w:after="56"/>
      </w:pPr>
      <w:r>
        <w:t>Figure F-11 - Stage 0-to-7 Adoption Roadmap</w:t>
      </w:r>
    </w:p>
    <w:p>
      <w:pPr>
        <w:spacing w:after="56"/>
      </w:pPr>
      <w:r>
        <w:t>Stage 0 Inventory -&gt; Stage 1 Authority -&gt; Stage 2 Responsibility -&gt; Stage 3 Evidence -&gt; Stage 4 Privacy -&gt; Stage 5 Validation -&gt; Stage 6 Remediation -&gt; Stage 7 Scale</w:t>
      </w:r>
    </w:p>
    <w:p>
      <w:pPr>
        <w:spacing w:after="56"/>
      </w:pPr>
      <w:r>
        <w:t>Figure F-11 summarizes a staged adoption path for lifecycle governance. It is an implementation planning aid, not a procurement mandate, certification checklist, legal compliance procedure, or deployment-readiness guarantee.</w:t>
      </w:r>
    </w:p>
    <w:p>
      <w:pPr>
        <w:pStyle w:val="Heading2"/>
      </w:pPr>
      <w:r>
        <w:t>17.1 Maturity Assessment and Gap Analysis</w:t>
      </w:r>
    </w:p>
    <w:p>
      <w:pPr>
        <w:spacing w:after="56"/>
      </w:pPr>
      <w:r>
        <w:t>Enterprises should begin adoption with a maturity assessment to understand their current lifecycle governance capability and identify gaps. The following table defines five maturity levels.</w:t>
      </w:r>
    </w:p>
    <w:p>
      <w:pPr>
        <w:keepNext/>
      </w:pPr>
      <w:r>
        <w:rPr>
          <w:b/>
          <w:sz w:val="16"/>
        </w:rPr>
        <w:t>Table T-17-01: Adoption Maturity Levels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Level</w:t>
            </w:r>
          </w:p>
        </w:tc>
        <w:tc>
          <w:tcPr>
            <w:tcW w:type="dxa" w:w="2045"/>
          </w:tcPr>
          <w:p>
            <w:pPr>
              <w:spacing w:after="0"/>
            </w:pPr>
            <w:r>
              <w:rPr>
                <w:rFonts w:ascii="Arial" w:hAnsi="Arial"/>
                <w:b/>
                <w:sz w:val="14"/>
              </w:rPr>
              <w:t>Enterprise State</w:t>
            </w:r>
          </w:p>
        </w:tc>
        <w:tc>
          <w:tcPr>
            <w:tcW w:type="dxa" w:w="2045"/>
          </w:tcPr>
          <w:p>
            <w:pPr>
              <w:spacing w:after="0"/>
            </w:pPr>
            <w:r>
              <w:rPr>
                <w:rFonts w:ascii="Arial" w:hAnsi="Arial"/>
                <w:b/>
                <w:sz w:val="14"/>
              </w:rPr>
              <w:t>Lifecycle Governance Capability</w:t>
            </w:r>
          </w:p>
        </w:tc>
        <w:tc>
          <w:tcPr>
            <w:tcW w:type="dxa" w:w="2045"/>
          </w:tcPr>
          <w:p>
            <w:pPr>
              <w:spacing w:after="0"/>
            </w:pPr>
            <w:r>
              <w:rPr>
                <w:rFonts w:ascii="Arial" w:hAnsi="Arial"/>
                <w:b/>
                <w:sz w:val="14"/>
              </w:rPr>
              <w:t>Typical Gap</w:t>
            </w:r>
          </w:p>
        </w:tc>
        <w:tc>
          <w:tcPr>
            <w:tcW w:type="dxa" w:w="2045"/>
          </w:tcPr>
          <w:p>
            <w:pPr>
              <w:spacing w:after="0"/>
            </w:pPr>
            <w:r>
              <w:rPr>
                <w:rFonts w:ascii="Arial" w:hAnsi="Arial"/>
                <w:b/>
                <w:sz w:val="14"/>
              </w:rPr>
              <w:t>Recommended Next Step</w:t>
            </w:r>
          </w:p>
        </w:tc>
      </w:tr>
      <w:tr>
        <w:tc>
          <w:tcPr>
            <w:tcW w:type="dxa" w:w="2045"/>
          </w:tcPr>
          <w:p>
            <w:pPr>
              <w:spacing w:after="0"/>
            </w:pPr>
            <w:r>
              <w:rPr>
                <w:rFonts w:ascii="Arial" w:hAnsi="Arial"/>
                <w:b w:val="0"/>
                <w:sz w:val="14"/>
              </w:rPr>
              <w:t>Level 0: Unaware</w:t>
            </w:r>
          </w:p>
        </w:tc>
        <w:tc>
          <w:tcPr>
            <w:tcW w:type="dxa" w:w="2045"/>
          </w:tcPr>
          <w:p>
            <w:pPr>
              <w:spacing w:after="0"/>
            </w:pPr>
            <w:r>
              <w:rPr>
                <w:rFonts w:ascii="Arial" w:hAnsi="Arial"/>
                <w:b w:val="0"/>
                <w:sz w:val="14"/>
              </w:rPr>
              <w:t>Agentic AI systems deployed; no lifecycle governance awareness; model governance assumed sufficient</w:t>
            </w:r>
          </w:p>
        </w:tc>
        <w:tc>
          <w:tcPr>
            <w:tcW w:type="dxa" w:w="2045"/>
          </w:tcPr>
          <w:p>
            <w:pPr>
              <w:spacing w:after="0"/>
            </w:pPr>
            <w:r>
              <w:rPr>
                <w:rFonts w:ascii="Arial" w:hAnsi="Arial"/>
                <w:b w:val="0"/>
                <w:sz w:val="14"/>
              </w:rPr>
              <w:t>No lifecycle responsibility objects; no authority boundaries; no accepted outcome compliance; no evidence partitioning</w:t>
            </w:r>
          </w:p>
        </w:tc>
        <w:tc>
          <w:tcPr>
            <w:tcW w:type="dxa" w:w="2045"/>
          </w:tcPr>
          <w:p>
            <w:pPr>
              <w:spacing w:after="0"/>
            </w:pPr>
            <w:r>
              <w:rPr>
                <w:rFonts w:ascii="Arial" w:hAnsi="Arial"/>
                <w:b w:val="0"/>
                <w:sz w:val="14"/>
              </w:rPr>
              <w:t>Execution logs exist but cannot reconstruct authority, plan, confirmation, tool action, and accepted outcome; no responsible human role for agent outcomes; no evidence-based validation capability</w:t>
            </w:r>
          </w:p>
        </w:tc>
        <w:tc>
          <w:tcPr>
            <w:tcW w:type="dxa" w:w="2045"/>
          </w:tcPr>
          <w:p>
            <w:pPr>
              <w:spacing w:after="0"/>
            </w:pPr>
            <w:r>
              <w:rPr>
                <w:rFonts w:ascii="Arial" w:hAnsi="Arial"/>
                <w:b w:val="0"/>
                <w:sz w:val="14"/>
              </w:rPr>
              <w:t>Inventory agentic behavior; identify where agents make decisions, use tools, or hand off work; assess whether model governance covers lifecycle responsibility</w:t>
            </w:r>
          </w:p>
        </w:tc>
      </w:tr>
      <w:tr>
        <w:tc>
          <w:tcPr>
            <w:tcW w:type="dxa" w:w="2045"/>
          </w:tcPr>
          <w:p>
            <w:pPr>
              <w:spacing w:after="0"/>
            </w:pPr>
            <w:r>
              <w:rPr>
                <w:rFonts w:ascii="Arial" w:hAnsi="Arial"/>
                <w:b w:val="0"/>
                <w:sz w:val="14"/>
              </w:rPr>
              <w:t>Level 1: Aware</w:t>
            </w:r>
          </w:p>
        </w:tc>
        <w:tc>
          <w:tcPr>
            <w:tcW w:type="dxa" w:w="2045"/>
          </w:tcPr>
          <w:p>
            <w:pPr>
              <w:spacing w:after="0"/>
            </w:pPr>
            <w:r>
              <w:rPr>
                <w:rFonts w:ascii="Arial" w:hAnsi="Arial"/>
                <w:b w:val="0"/>
                <w:sz w:val="14"/>
              </w:rPr>
              <w:t>Lifecycle governance gap recognized; pilot projects identified; governance team assigned</w:t>
            </w:r>
          </w:p>
        </w:tc>
        <w:tc>
          <w:tcPr>
            <w:tcW w:type="dxa" w:w="2045"/>
          </w:tcPr>
          <w:p>
            <w:pPr>
              <w:spacing w:after="0"/>
            </w:pPr>
            <w:r>
              <w:rPr>
                <w:rFonts w:ascii="Arial" w:hAnsi="Arial"/>
                <w:b w:val="0"/>
                <w:sz w:val="14"/>
              </w:rPr>
              <w:t>Basic lifecycle inventory; some authority boundaries documented; human oversight exists but not mapped to MAS responsibilities</w:t>
            </w:r>
          </w:p>
        </w:tc>
        <w:tc>
          <w:tcPr>
            <w:tcW w:type="dxa" w:w="2045"/>
          </w:tcPr>
          <w:p>
            <w:pPr>
              <w:spacing w:after="0"/>
            </w:pPr>
            <w:r>
              <w:rPr>
                <w:rFonts w:ascii="Arial" w:hAnsi="Arial"/>
                <w:b w:val="0"/>
                <w:sz w:val="14"/>
              </w:rPr>
              <w:t>Authority boundaries are implicit or undocumented; human oversight is ad-hoc; evidence chains are incomplete; no privacy-preserving validation capability</w:t>
            </w:r>
          </w:p>
        </w:tc>
        <w:tc>
          <w:tcPr>
            <w:tcW w:type="dxa" w:w="2045"/>
          </w:tcPr>
          <w:p>
            <w:pPr>
              <w:spacing w:after="0"/>
            </w:pPr>
            <w:r>
              <w:rPr>
                <w:rFonts w:ascii="Arial" w:hAnsi="Arial"/>
                <w:b w:val="0"/>
                <w:sz w:val="14"/>
              </w:rPr>
              <w:t>Define delegated authority boundaries for pilot projects; map human roles to MAS responsibilities; document accepted outcome compliance workflow</w:t>
            </w:r>
          </w:p>
        </w:tc>
      </w:tr>
      <w:tr>
        <w:tc>
          <w:tcPr>
            <w:tcW w:type="dxa" w:w="2045"/>
          </w:tcPr>
          <w:p>
            <w:pPr>
              <w:spacing w:after="0"/>
            </w:pPr>
            <w:r>
              <w:rPr>
                <w:rFonts w:ascii="Arial" w:hAnsi="Arial"/>
                <w:b w:val="0"/>
                <w:sz w:val="14"/>
              </w:rPr>
              <w:t>Level 2: Pilot</w:t>
            </w:r>
          </w:p>
        </w:tc>
        <w:tc>
          <w:tcPr>
            <w:tcW w:type="dxa" w:w="2045"/>
          </w:tcPr>
          <w:p>
            <w:pPr>
              <w:spacing w:after="0"/>
            </w:pPr>
            <w:r>
              <w:rPr>
                <w:rFonts w:ascii="Arial" w:hAnsi="Arial"/>
                <w:b w:val="0"/>
                <w:sz w:val="14"/>
              </w:rPr>
              <w:t>Pilot projects operationalize lifecycle responsibility objects; evidence chains exist for pilot scope; authority boundaries enforced</w:t>
            </w:r>
          </w:p>
        </w:tc>
        <w:tc>
          <w:tcPr>
            <w:tcW w:type="dxa" w:w="2045"/>
          </w:tcPr>
          <w:p>
            <w:pPr>
              <w:spacing w:after="0"/>
            </w:pPr>
            <w:r>
              <w:rPr>
                <w:rFonts w:ascii="Arial" w:hAnsi="Arial"/>
                <w:b w:val="0"/>
                <w:sz w:val="14"/>
              </w:rPr>
              <w:t>Delegated authority boundaries defined; human-role-to-MAS responsibility mapping exists; accepted outcome compliance workflow operational; evidence partitioning implemented for pilot scope</w:t>
            </w:r>
          </w:p>
        </w:tc>
        <w:tc>
          <w:tcPr>
            <w:tcW w:type="dxa" w:w="2045"/>
          </w:tcPr>
          <w:p>
            <w:pPr>
              <w:spacing w:after="0"/>
            </w:pPr>
            <w:r>
              <w:rPr>
                <w:rFonts w:ascii="Arial" w:hAnsi="Arial"/>
                <w:b w:val="0"/>
                <w:sz w:val="14"/>
              </w:rPr>
              <w:t>Pilot scope is limited; lifecycle governance not integrated with existing enterprise controls; no cross-project reuse compliance; no vendor/runtime substitution conformance</w:t>
            </w:r>
          </w:p>
        </w:tc>
        <w:tc>
          <w:tcPr>
            <w:tcW w:type="dxa" w:w="2045"/>
          </w:tcPr>
          <w:p>
            <w:pPr>
              <w:spacing w:after="0"/>
            </w:pPr>
            <w:r>
              <w:rPr>
                <w:rFonts w:ascii="Arial" w:hAnsi="Arial"/>
                <w:b w:val="0"/>
                <w:sz w:val="14"/>
              </w:rPr>
              <w:t>Integrate lifecycle governance with existing enterprise controls (audit, privacy, security, procurement); extend evidence partitioning beyond pilot scope; implement cross-project reuse compliance</w:t>
            </w:r>
          </w:p>
        </w:tc>
      </w:tr>
      <w:tr>
        <w:tc>
          <w:tcPr>
            <w:tcW w:type="dxa" w:w="2045"/>
          </w:tcPr>
          <w:p>
            <w:pPr>
              <w:spacing w:after="0"/>
            </w:pPr>
            <w:r>
              <w:rPr>
                <w:rFonts w:ascii="Arial" w:hAnsi="Arial"/>
                <w:b w:val="0"/>
                <w:sz w:val="14"/>
              </w:rPr>
              <w:t>Level 3: Integrated</w:t>
            </w:r>
          </w:p>
        </w:tc>
        <w:tc>
          <w:tcPr>
            <w:tcW w:type="dxa" w:w="2045"/>
          </w:tcPr>
          <w:p>
            <w:pPr>
              <w:spacing w:after="0"/>
            </w:pPr>
            <w:r>
              <w:rPr>
                <w:rFonts w:ascii="Arial" w:hAnsi="Arial"/>
                <w:b w:val="0"/>
                <w:sz w:val="14"/>
              </w:rPr>
              <w:t>Lifecycle governance integrated with existing enterprise controls; evidence-based validation capability operational; privacy-preserving validation protocol implemented</w:t>
            </w:r>
          </w:p>
        </w:tc>
        <w:tc>
          <w:tcPr>
            <w:tcW w:type="dxa" w:w="2045"/>
          </w:tcPr>
          <w:p>
            <w:pPr>
              <w:spacing w:after="0"/>
            </w:pPr>
            <w:r>
              <w:rPr>
                <w:rFonts w:ascii="Arial" w:hAnsi="Arial"/>
                <w:b w:val="0"/>
                <w:sz w:val="14"/>
              </w:rPr>
              <w:t>Evidence partitioning operational; privacy-preserving validation protocol implemented; cross-project reuse compliance enforced; vendor/runtime substitution conformance validated</w:t>
            </w:r>
          </w:p>
        </w:tc>
        <w:tc>
          <w:tcPr>
            <w:tcW w:type="dxa" w:w="2045"/>
          </w:tcPr>
          <w:p>
            <w:pPr>
              <w:spacing w:after="0"/>
            </w:pPr>
            <w:r>
              <w:rPr>
                <w:rFonts w:ascii="Arial" w:hAnsi="Arial"/>
                <w:b w:val="0"/>
                <w:sz w:val="14"/>
              </w:rPr>
              <w:t>Lifecycle governance not yet scaled to all agentic workflows; incident/dispute/remediation closure workflow exists but not fully operationalized; continuous improvement not yet systematic</w:t>
            </w:r>
          </w:p>
        </w:tc>
        <w:tc>
          <w:tcPr>
            <w:tcW w:type="dxa" w:w="2045"/>
          </w:tcPr>
          <w:p>
            <w:pPr>
              <w:spacing w:after="0"/>
            </w:pPr>
            <w:r>
              <w:rPr>
                <w:rFonts w:ascii="Arial" w:hAnsi="Arial"/>
                <w:b w:val="0"/>
                <w:sz w:val="14"/>
              </w:rPr>
              <w:t>Scale lifecycle governance to all agentic workflows; operationalize incident/dispute/remediation closure workflow; implement continuous improvement and monitoring</w:t>
            </w:r>
          </w:p>
        </w:tc>
      </w:tr>
      <w:tr>
        <w:tc>
          <w:tcPr>
            <w:tcW w:type="dxa" w:w="2045"/>
          </w:tcPr>
          <w:p>
            <w:pPr>
              <w:spacing w:after="0"/>
            </w:pPr>
            <w:r>
              <w:rPr>
                <w:rFonts w:ascii="Arial" w:hAnsi="Arial"/>
                <w:b w:val="0"/>
                <w:sz w:val="14"/>
              </w:rPr>
              <w:t>Level 4: Scaled</w:t>
            </w:r>
          </w:p>
        </w:tc>
        <w:tc>
          <w:tcPr>
            <w:tcW w:type="dxa" w:w="2045"/>
          </w:tcPr>
          <w:p>
            <w:pPr>
              <w:spacing w:after="0"/>
            </w:pPr>
            <w:r>
              <w:rPr>
                <w:rFonts w:ascii="Arial" w:hAnsi="Arial"/>
                <w:b w:val="0"/>
                <w:sz w:val="14"/>
              </w:rPr>
              <w:t>Lifecycle governance scaled to all agentic workflows; continuous improvement operational; evidence-based validation integrated with audit readiness</w:t>
            </w:r>
          </w:p>
        </w:tc>
        <w:tc>
          <w:tcPr>
            <w:tcW w:type="dxa" w:w="2045"/>
          </w:tcPr>
          <w:p>
            <w:pPr>
              <w:spacing w:after="0"/>
            </w:pPr>
            <w:r>
              <w:rPr>
                <w:rFonts w:ascii="Arial" w:hAnsi="Arial"/>
                <w:b w:val="0"/>
                <w:sz w:val="14"/>
              </w:rPr>
              <w:t>All lifecycle responsibility objects operational; evidence-based validation integrated with audit readiness; incident/dispute/remediation closure workflow fully operationalized; continuous improvement and monitoring systematic</w:t>
            </w:r>
          </w:p>
        </w:tc>
        <w:tc>
          <w:tcPr>
            <w:tcW w:type="dxa" w:w="2045"/>
          </w:tcPr>
          <w:p>
            <w:pPr>
              <w:spacing w:after="0"/>
            </w:pPr>
            <w:r>
              <w:rPr>
                <w:rFonts w:ascii="Arial" w:hAnsi="Arial"/>
                <w:b w:val="0"/>
                <w:sz w:val="14"/>
              </w:rPr>
              <w:t>Lifecycle governance is operational but may require refinement as agentic systems evolve; new MROs may emerge as agentic AI capabilities expand</w:t>
            </w:r>
          </w:p>
        </w:tc>
        <w:tc>
          <w:tcPr>
            <w:tcW w:type="dxa" w:w="2045"/>
          </w:tcPr>
          <w:p>
            <w:pPr>
              <w:spacing w:after="0"/>
            </w:pPr>
            <w:r>
              <w:rPr>
                <w:rFonts w:ascii="Arial" w:hAnsi="Arial"/>
                <w:b w:val="0"/>
                <w:sz w:val="14"/>
              </w:rPr>
              <w:t>Maintain lifecycle governance through continuous improvement; monitor for new lifecycle governance gaps; where appropriate, contribute learnings to standards, industry, or regulatory dialogue</w:t>
            </w:r>
          </w:p>
        </w:tc>
      </w:tr>
    </w:tbl>
    <w:p>
      <w:pPr>
        <w:spacing w:after="56"/>
      </w:pPr>
      <w:r>
        <w:t>Interpretation: Maturity assessment helps enterprises understand where they are and what gaps exist. Most enterprises deploying agentic AI systems are at Level 0 or Level 1. The roadmap provides a staged path from Level 0 to Level 4.</w:t>
      </w:r>
    </w:p>
    <w:p>
      <w:pPr>
        <w:pStyle w:val="Heading2"/>
      </w:pPr>
      <w:r>
        <w:t>17.2 Pilot Project Selection</w:t>
      </w:r>
    </w:p>
    <w:p>
      <w:pPr>
        <w:spacing w:after="56"/>
      </w:pPr>
      <w:r>
        <w:t>Enterprises should select pilot projects carefully to maximize learning and minimize risk. The following table defines pilot selection criteria.</w:t>
      </w:r>
    </w:p>
    <w:p>
      <w:pPr>
        <w:keepNext/>
      </w:pPr>
      <w:r>
        <w:rPr>
          <w:b/>
          <w:sz w:val="16"/>
        </w:rPr>
        <w:t>Table T-17-02: Pilot Project Selection Criteria</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Criterion</w:t>
            </w:r>
          </w:p>
        </w:tc>
        <w:tc>
          <w:tcPr>
            <w:tcW w:type="dxa" w:w="2556"/>
          </w:tcPr>
          <w:p>
            <w:pPr>
              <w:spacing w:after="0"/>
            </w:pPr>
            <w:r>
              <w:rPr>
                <w:rFonts w:ascii="Arial" w:hAnsi="Arial"/>
                <w:b/>
                <w:sz w:val="14"/>
              </w:rPr>
              <w:t>Why It Matters</w:t>
            </w:r>
          </w:p>
        </w:tc>
        <w:tc>
          <w:tcPr>
            <w:tcW w:type="dxa" w:w="2556"/>
          </w:tcPr>
          <w:p>
            <w:pPr>
              <w:spacing w:after="0"/>
            </w:pPr>
            <w:r>
              <w:rPr>
                <w:rFonts w:ascii="Arial" w:hAnsi="Arial"/>
                <w:b/>
                <w:sz w:val="14"/>
              </w:rPr>
              <w:t>Good Pilot Signal</w:t>
            </w:r>
          </w:p>
        </w:tc>
        <w:tc>
          <w:tcPr>
            <w:tcW w:type="dxa" w:w="2556"/>
          </w:tcPr>
          <w:p>
            <w:pPr>
              <w:spacing w:after="0"/>
            </w:pPr>
            <w:r>
              <w:rPr>
                <w:rFonts w:ascii="Arial" w:hAnsi="Arial"/>
                <w:b/>
                <w:sz w:val="14"/>
              </w:rPr>
              <w:t>Avoid If</w:t>
            </w:r>
          </w:p>
        </w:tc>
      </w:tr>
      <w:tr>
        <w:tc>
          <w:tcPr>
            <w:tcW w:type="dxa" w:w="2556"/>
          </w:tcPr>
          <w:p>
            <w:pPr>
              <w:spacing w:after="0"/>
            </w:pPr>
            <w:r>
              <w:rPr>
                <w:rFonts w:ascii="Arial" w:hAnsi="Arial"/>
                <w:b w:val="0"/>
                <w:sz w:val="14"/>
              </w:rPr>
              <w:t>Bounded scope</w:t>
            </w:r>
          </w:p>
        </w:tc>
        <w:tc>
          <w:tcPr>
            <w:tcW w:type="dxa" w:w="2556"/>
          </w:tcPr>
          <w:p>
            <w:pPr>
              <w:spacing w:after="0"/>
            </w:pPr>
            <w:r>
              <w:rPr>
                <w:rFonts w:ascii="Arial" w:hAnsi="Arial"/>
                <w:b w:val="0"/>
                <w:sz w:val="14"/>
              </w:rPr>
              <w:t>Pilot should be large enough to demonstrate lifecycle governance value but small enough to manage risk</w:t>
            </w:r>
          </w:p>
        </w:tc>
        <w:tc>
          <w:tcPr>
            <w:tcW w:type="dxa" w:w="2556"/>
          </w:tcPr>
          <w:p>
            <w:pPr>
              <w:spacing w:after="0"/>
            </w:pPr>
            <w:r>
              <w:rPr>
                <w:rFonts w:ascii="Arial" w:hAnsi="Arial"/>
                <w:b w:val="0"/>
                <w:sz w:val="14"/>
              </w:rPr>
              <w:t>Single business process; single regulated context; single customer segment; clear authority boundaries</w:t>
            </w:r>
          </w:p>
        </w:tc>
        <w:tc>
          <w:tcPr>
            <w:tcW w:type="dxa" w:w="2556"/>
          </w:tcPr>
          <w:p>
            <w:pPr>
              <w:spacing w:after="0"/>
            </w:pPr>
            <w:r>
              <w:rPr>
                <w:rFonts w:ascii="Arial" w:hAnsi="Arial"/>
                <w:b w:val="0"/>
                <w:sz w:val="14"/>
              </w:rPr>
              <w:t>Unbounded scope; cross-jurisdictional; mission-critical; customer-facing without rollback capability</w:t>
            </w:r>
          </w:p>
        </w:tc>
      </w:tr>
      <w:tr>
        <w:tc>
          <w:tcPr>
            <w:tcW w:type="dxa" w:w="2556"/>
          </w:tcPr>
          <w:p>
            <w:pPr>
              <w:spacing w:after="0"/>
            </w:pPr>
            <w:r>
              <w:rPr>
                <w:rFonts w:ascii="Arial" w:hAnsi="Arial"/>
                <w:b w:val="0"/>
                <w:sz w:val="14"/>
              </w:rPr>
              <w:t>Measurable outcomes</w:t>
            </w:r>
          </w:p>
        </w:tc>
        <w:tc>
          <w:tcPr>
            <w:tcW w:type="dxa" w:w="2556"/>
          </w:tcPr>
          <w:p>
            <w:pPr>
              <w:spacing w:after="0"/>
            </w:pPr>
            <w:r>
              <w:rPr>
                <w:rFonts w:ascii="Arial" w:hAnsi="Arial"/>
                <w:b w:val="0"/>
                <w:sz w:val="14"/>
              </w:rPr>
              <w:t>Pilot should produce measurable evidence of lifecycle governance effectiveness</w:t>
            </w:r>
          </w:p>
        </w:tc>
        <w:tc>
          <w:tcPr>
            <w:tcW w:type="dxa" w:w="2556"/>
          </w:tcPr>
          <w:p>
            <w:pPr>
              <w:spacing w:after="0"/>
            </w:pPr>
            <w:r>
              <w:rPr>
                <w:rFonts w:ascii="Arial" w:hAnsi="Arial"/>
                <w:b w:val="0"/>
                <w:sz w:val="14"/>
              </w:rPr>
              <w:t>Clear success criteria; measurable evidence artifacts; audit readiness improvement; dispute resolution improvement</w:t>
            </w:r>
          </w:p>
        </w:tc>
        <w:tc>
          <w:tcPr>
            <w:tcW w:type="dxa" w:w="2556"/>
          </w:tcPr>
          <w:p>
            <w:pPr>
              <w:spacing w:after="0"/>
            </w:pPr>
            <w:r>
              <w:rPr>
                <w:rFonts w:ascii="Arial" w:hAnsi="Arial"/>
                <w:b w:val="0"/>
                <w:sz w:val="14"/>
              </w:rPr>
              <w:t>Vague success criteria; no measurable evidence artifacts; no audit readiness baseline</w:t>
            </w:r>
          </w:p>
        </w:tc>
      </w:tr>
      <w:tr>
        <w:tc>
          <w:tcPr>
            <w:tcW w:type="dxa" w:w="2556"/>
          </w:tcPr>
          <w:p>
            <w:pPr>
              <w:spacing w:after="0"/>
            </w:pPr>
            <w:r>
              <w:rPr>
                <w:rFonts w:ascii="Arial" w:hAnsi="Arial"/>
                <w:b w:val="0"/>
                <w:sz w:val="14"/>
              </w:rPr>
              <w:t>Regulatory relevance</w:t>
            </w:r>
          </w:p>
        </w:tc>
        <w:tc>
          <w:tcPr>
            <w:tcW w:type="dxa" w:w="2556"/>
          </w:tcPr>
          <w:p>
            <w:pPr>
              <w:spacing w:after="0"/>
            </w:pPr>
            <w:r>
              <w:rPr>
                <w:rFonts w:ascii="Arial" w:hAnsi="Arial"/>
                <w:b w:val="0"/>
                <w:sz w:val="14"/>
              </w:rPr>
              <w:t>Pilot should address a regulated context where lifecycle governance gaps create compliance risk</w:t>
            </w:r>
          </w:p>
        </w:tc>
        <w:tc>
          <w:tcPr>
            <w:tcW w:type="dxa" w:w="2556"/>
          </w:tcPr>
          <w:p>
            <w:pPr>
              <w:spacing w:after="0"/>
            </w:pPr>
            <w:r>
              <w:rPr>
                <w:rFonts w:ascii="Arial" w:hAnsi="Arial"/>
                <w:b w:val="0"/>
                <w:sz w:val="14"/>
              </w:rPr>
              <w:t>GDPR, HIPAA, SOX, EU AI Act, or other regulated context; audit readiness required; evidence retention required</w:t>
            </w:r>
          </w:p>
        </w:tc>
        <w:tc>
          <w:tcPr>
            <w:tcW w:type="dxa" w:w="2556"/>
          </w:tcPr>
          <w:p>
            <w:pPr>
              <w:spacing w:after="0"/>
            </w:pPr>
            <w:r>
              <w:rPr>
                <w:rFonts w:ascii="Arial" w:hAnsi="Arial"/>
                <w:b w:val="0"/>
                <w:sz w:val="14"/>
              </w:rPr>
              <w:t>Non-regulated context; no audit readiness requirement; no evidence retention requirement</w:t>
            </w:r>
          </w:p>
        </w:tc>
      </w:tr>
      <w:tr>
        <w:tc>
          <w:tcPr>
            <w:tcW w:type="dxa" w:w="2556"/>
          </w:tcPr>
          <w:p>
            <w:pPr>
              <w:spacing w:after="0"/>
            </w:pPr>
            <w:r>
              <w:rPr>
                <w:rFonts w:ascii="Arial" w:hAnsi="Arial"/>
                <w:b w:val="0"/>
                <w:sz w:val="14"/>
              </w:rPr>
              <w:t>Executive sponsorship</w:t>
            </w:r>
          </w:p>
        </w:tc>
        <w:tc>
          <w:tcPr>
            <w:tcW w:type="dxa" w:w="2556"/>
          </w:tcPr>
          <w:p>
            <w:pPr>
              <w:spacing w:after="0"/>
            </w:pPr>
            <w:r>
              <w:rPr>
                <w:rFonts w:ascii="Arial" w:hAnsi="Arial"/>
                <w:b w:val="0"/>
                <w:sz w:val="14"/>
              </w:rPr>
              <w:t>Pilot should have executive sponsorship to ensure organizational commitment</w:t>
            </w:r>
          </w:p>
        </w:tc>
        <w:tc>
          <w:tcPr>
            <w:tcW w:type="dxa" w:w="2556"/>
          </w:tcPr>
          <w:p>
            <w:pPr>
              <w:spacing w:after="0"/>
            </w:pPr>
            <w:r>
              <w:rPr>
                <w:rFonts w:ascii="Arial" w:hAnsi="Arial"/>
                <w:b w:val="0"/>
                <w:sz w:val="14"/>
              </w:rPr>
              <w:t>Executive sponsor assigned; governance team assigned; budget allocated; success criteria agreed</w:t>
            </w:r>
          </w:p>
        </w:tc>
        <w:tc>
          <w:tcPr>
            <w:tcW w:type="dxa" w:w="2556"/>
          </w:tcPr>
          <w:p>
            <w:pPr>
              <w:spacing w:after="0"/>
            </w:pPr>
            <w:r>
              <w:rPr>
                <w:rFonts w:ascii="Arial" w:hAnsi="Arial"/>
                <w:b w:val="0"/>
                <w:sz w:val="14"/>
              </w:rPr>
              <w:t>No executive sponsor; no governance team; no budget; no success criteria</w:t>
            </w:r>
          </w:p>
        </w:tc>
      </w:tr>
      <w:tr>
        <w:tc>
          <w:tcPr>
            <w:tcW w:type="dxa" w:w="2556"/>
          </w:tcPr>
          <w:p>
            <w:pPr>
              <w:spacing w:after="0"/>
            </w:pPr>
            <w:r>
              <w:rPr>
                <w:rFonts w:ascii="Arial" w:hAnsi="Arial"/>
                <w:b w:val="0"/>
                <w:sz w:val="14"/>
              </w:rPr>
              <w:t>Failure scenario relevance</w:t>
            </w:r>
          </w:p>
        </w:tc>
        <w:tc>
          <w:tcPr>
            <w:tcW w:type="dxa" w:w="2556"/>
          </w:tcPr>
          <w:p>
            <w:pPr>
              <w:spacing w:after="0"/>
            </w:pPr>
            <w:r>
              <w:rPr>
                <w:rFonts w:ascii="Arial" w:hAnsi="Arial"/>
                <w:b w:val="0"/>
                <w:sz w:val="14"/>
              </w:rPr>
              <w:t>Pilot should address one or more enterprise failure scenarios from Chapter 15</w:t>
            </w:r>
          </w:p>
        </w:tc>
        <w:tc>
          <w:tcPr>
            <w:tcW w:type="dxa" w:w="2556"/>
          </w:tcPr>
          <w:p>
            <w:pPr>
              <w:spacing w:after="0"/>
            </w:pPr>
            <w:r>
              <w:rPr>
                <w:rFonts w:ascii="Arial" w:hAnsi="Arial"/>
                <w:b w:val="0"/>
                <w:sz w:val="14"/>
              </w:rPr>
              <w:t>Pilot addresses authority boundary failure, evidence chain failure, accepted outcome failure, or other Chapter 15 scenario</w:t>
            </w:r>
          </w:p>
        </w:tc>
        <w:tc>
          <w:tcPr>
            <w:tcW w:type="dxa" w:w="2556"/>
          </w:tcPr>
          <w:p>
            <w:pPr>
              <w:spacing w:after="0"/>
            </w:pPr>
            <w:r>
              <w:rPr>
                <w:rFonts w:ascii="Arial" w:hAnsi="Arial"/>
                <w:b w:val="0"/>
                <w:sz w:val="14"/>
              </w:rPr>
              <w:t>Pilot does not address any Chapter 15 scenario; no clear failure mode to prevent</w:t>
            </w:r>
          </w:p>
        </w:tc>
      </w:tr>
      <w:tr>
        <w:tc>
          <w:tcPr>
            <w:tcW w:type="dxa" w:w="2556"/>
          </w:tcPr>
          <w:p>
            <w:pPr>
              <w:spacing w:after="0"/>
            </w:pPr>
            <w:r>
              <w:rPr>
                <w:rFonts w:ascii="Arial" w:hAnsi="Arial"/>
                <w:b w:val="0"/>
                <w:sz w:val="14"/>
              </w:rPr>
              <w:t>Integration opportunity</w:t>
            </w:r>
          </w:p>
        </w:tc>
        <w:tc>
          <w:tcPr>
            <w:tcW w:type="dxa" w:w="2556"/>
          </w:tcPr>
          <w:p>
            <w:pPr>
              <w:spacing w:after="0"/>
            </w:pPr>
            <w:r>
              <w:rPr>
                <w:rFonts w:ascii="Arial" w:hAnsi="Arial"/>
                <w:b w:val="0"/>
                <w:sz w:val="14"/>
              </w:rPr>
              <w:t>Pilot should integrate with existing enterprise controls to demonstrate scalability</w:t>
            </w:r>
          </w:p>
        </w:tc>
        <w:tc>
          <w:tcPr>
            <w:tcW w:type="dxa" w:w="2556"/>
          </w:tcPr>
          <w:p>
            <w:pPr>
              <w:spacing w:after="0"/>
            </w:pPr>
            <w:r>
              <w:rPr>
                <w:rFonts w:ascii="Arial" w:hAnsi="Arial"/>
                <w:b w:val="0"/>
                <w:sz w:val="14"/>
              </w:rPr>
              <w:t>Pilot integrates with existing audit, privacy, security, or procurement controls; evidence artifacts align with existing control frameworks</w:t>
            </w:r>
          </w:p>
        </w:tc>
        <w:tc>
          <w:tcPr>
            <w:tcW w:type="dxa" w:w="2556"/>
          </w:tcPr>
          <w:p>
            <w:pPr>
              <w:spacing w:after="0"/>
            </w:pPr>
            <w:r>
              <w:rPr>
                <w:rFonts w:ascii="Arial" w:hAnsi="Arial"/>
                <w:b w:val="0"/>
                <w:sz w:val="14"/>
              </w:rPr>
              <w:t>Pilot is isolated from existing enterprise controls; no integration opportunity; evidence artifacts do not align with existing control frameworks</w:t>
            </w:r>
          </w:p>
        </w:tc>
      </w:tr>
      <w:tr>
        <w:tc>
          <w:tcPr>
            <w:tcW w:type="dxa" w:w="2556"/>
          </w:tcPr>
          <w:p>
            <w:pPr>
              <w:spacing w:after="0"/>
            </w:pPr>
            <w:r>
              <w:rPr>
                <w:rFonts w:ascii="Arial" w:hAnsi="Arial"/>
                <w:b w:val="0"/>
                <w:sz w:val="14"/>
              </w:rPr>
              <w:t>Rollback capability</w:t>
            </w:r>
          </w:p>
        </w:tc>
        <w:tc>
          <w:tcPr>
            <w:tcW w:type="dxa" w:w="2556"/>
          </w:tcPr>
          <w:p>
            <w:pPr>
              <w:spacing w:after="0"/>
            </w:pPr>
            <w:r>
              <w:rPr>
                <w:rFonts w:ascii="Arial" w:hAnsi="Arial"/>
                <w:b w:val="0"/>
                <w:sz w:val="14"/>
              </w:rPr>
              <w:t>Pilot should have rollback capability to manage risk</w:t>
            </w:r>
          </w:p>
        </w:tc>
        <w:tc>
          <w:tcPr>
            <w:tcW w:type="dxa" w:w="2556"/>
          </w:tcPr>
          <w:p>
            <w:pPr>
              <w:spacing w:after="0"/>
            </w:pPr>
            <w:r>
              <w:rPr>
                <w:rFonts w:ascii="Arial" w:hAnsi="Arial"/>
                <w:b w:val="0"/>
                <w:sz w:val="14"/>
              </w:rPr>
              <w:t>Pilot can be rolled back without customer impact; pilot can be paused without operational disruption</w:t>
            </w:r>
          </w:p>
        </w:tc>
        <w:tc>
          <w:tcPr>
            <w:tcW w:type="dxa" w:w="2556"/>
          </w:tcPr>
          <w:p>
            <w:pPr>
              <w:spacing w:after="0"/>
            </w:pPr>
            <w:r>
              <w:rPr>
                <w:rFonts w:ascii="Arial" w:hAnsi="Arial"/>
                <w:b w:val="0"/>
                <w:sz w:val="14"/>
              </w:rPr>
              <w:t>Pilot cannot be rolled back; pilot is mission-critical; pilot has irreversible customer impact</w:t>
            </w:r>
          </w:p>
        </w:tc>
      </w:tr>
    </w:tbl>
    <w:p>
      <w:pPr>
        <w:spacing w:after="56"/>
      </w:pPr>
      <w:r>
        <w:t>Interpretation: Pilot selection criteria help enterprises choose projects that maximize learning and minimize risk. Good pilots are bounded, measurable, regulated, sponsored, relevant to failure scenarios, integrated with existing controls, and rollback-capable.</w:t>
      </w:r>
    </w:p>
    <w:p>
      <w:pPr>
        <w:pStyle w:val="Heading2"/>
      </w:pPr>
      <w:r>
        <w:t>17.3 Integration with Existing Enterprise Controls</w:t>
      </w:r>
    </w:p>
    <w:p>
      <w:pPr>
        <w:spacing w:after="56"/>
      </w:pPr>
      <w:r>
        <w:t>Lifecycle governance should integrate with existing enterprise controls, not replace them. The following table maps existing enterprise controls to lifecycle governance extensions.</w:t>
      </w:r>
    </w:p>
    <w:p>
      <w:pPr>
        <w:keepNext/>
      </w:pPr>
      <w:r>
        <w:rPr>
          <w:b/>
          <w:sz w:val="16"/>
        </w:rPr>
        <w:t>Table T-17-03: Existing Enterprise Control Integration</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Existing Control</w:t>
            </w:r>
          </w:p>
        </w:tc>
        <w:tc>
          <w:tcPr>
            <w:tcW w:type="dxa" w:w="2556"/>
          </w:tcPr>
          <w:p>
            <w:pPr>
              <w:spacing w:after="0"/>
            </w:pPr>
            <w:r>
              <w:rPr>
                <w:rFonts w:ascii="Arial" w:hAnsi="Arial"/>
                <w:b/>
                <w:sz w:val="14"/>
              </w:rPr>
              <w:t>Lifecycle Governance Extension</w:t>
            </w:r>
          </w:p>
        </w:tc>
        <w:tc>
          <w:tcPr>
            <w:tcW w:type="dxa" w:w="2556"/>
          </w:tcPr>
          <w:p>
            <w:pPr>
              <w:spacing w:after="0"/>
            </w:pPr>
            <w:r>
              <w:rPr>
                <w:rFonts w:ascii="Arial" w:hAnsi="Arial"/>
                <w:b/>
                <w:sz w:val="14"/>
              </w:rPr>
              <w:t>Relevant Object</w:t>
            </w:r>
          </w:p>
        </w:tc>
        <w:tc>
          <w:tcPr>
            <w:tcW w:type="dxa" w:w="2556"/>
          </w:tcPr>
          <w:p>
            <w:pPr>
              <w:spacing w:after="0"/>
            </w:pPr>
            <w:r>
              <w:rPr>
                <w:rFonts w:ascii="Arial" w:hAnsi="Arial"/>
                <w:b/>
                <w:sz w:val="14"/>
              </w:rPr>
              <w:t>Evidence Artifact</w:t>
            </w:r>
          </w:p>
        </w:tc>
      </w:tr>
      <w:tr>
        <w:tc>
          <w:tcPr>
            <w:tcW w:type="dxa" w:w="2556"/>
          </w:tcPr>
          <w:p>
            <w:pPr>
              <w:spacing w:after="0"/>
            </w:pPr>
            <w:r>
              <w:rPr>
                <w:rFonts w:ascii="Arial" w:hAnsi="Arial"/>
                <w:b w:val="0"/>
                <w:sz w:val="14"/>
              </w:rPr>
              <w:t>Internal Audit</w:t>
            </w:r>
          </w:p>
        </w:tc>
        <w:tc>
          <w:tcPr>
            <w:tcW w:type="dxa" w:w="2556"/>
          </w:tcPr>
          <w:p>
            <w:pPr>
              <w:spacing w:after="0"/>
            </w:pPr>
            <w:r>
              <w:rPr>
                <w:rFonts w:ascii="Arial" w:hAnsi="Arial"/>
                <w:b w:val="0"/>
                <w:sz w:val="14"/>
              </w:rPr>
              <w:t>Extend audit scope to include lifecycle responsibility objects; add evidence partitioning and selective disclosure capability</w:t>
            </w:r>
          </w:p>
        </w:tc>
        <w:tc>
          <w:tcPr>
            <w:tcW w:type="dxa" w:w="2556"/>
          </w:tcPr>
          <w:p>
            <w:pPr>
              <w:spacing w:after="0"/>
            </w:pPr>
            <w:r>
              <w:rPr>
                <w:rFonts w:ascii="Arial" w:hAnsi="Arial"/>
                <w:b w:val="0"/>
                <w:sz w:val="14"/>
              </w:rPr>
              <w:t>MRO-08: MAS Evidence Partitioning; MRO-11: Privacy-Preserving Third-Party Validation; MRO-12: Evidence Minimization and Selective Disclosure</w:t>
            </w:r>
          </w:p>
        </w:tc>
        <w:tc>
          <w:tcPr>
            <w:tcW w:type="dxa" w:w="2556"/>
          </w:tcPr>
          <w:p>
            <w:pPr>
              <w:spacing w:after="0"/>
            </w:pPr>
            <w:r>
              <w:rPr>
                <w:rFonts w:ascii="Arial" w:hAnsi="Arial"/>
                <w:b w:val="0"/>
                <w:sz w:val="14"/>
              </w:rPr>
              <w:t>Partitioned evidence chains; evidence export logs; selective disclosure records; audit trail for lifecycle responsibility objects</w:t>
            </w:r>
          </w:p>
        </w:tc>
      </w:tr>
      <w:tr>
        <w:tc>
          <w:tcPr>
            <w:tcW w:type="dxa" w:w="2556"/>
          </w:tcPr>
          <w:p>
            <w:pPr>
              <w:spacing w:after="0"/>
            </w:pPr>
            <w:r>
              <w:rPr>
                <w:rFonts w:ascii="Arial" w:hAnsi="Arial"/>
                <w:b w:val="0"/>
                <w:sz w:val="14"/>
              </w:rPr>
              <w:t>Privacy / Data Governance</w:t>
            </w:r>
          </w:p>
        </w:tc>
        <w:tc>
          <w:tcPr>
            <w:tcW w:type="dxa" w:w="2556"/>
          </w:tcPr>
          <w:p>
            <w:pPr>
              <w:spacing w:after="0"/>
            </w:pPr>
            <w:r>
              <w:rPr>
                <w:rFonts w:ascii="Arial" w:hAnsi="Arial"/>
                <w:b w:val="0"/>
                <w:sz w:val="14"/>
              </w:rPr>
              <w:t>Extend privacy controls to include agentic lifecycle surfaces; map data subject rights to evidence retention; implement privacy-preserving validation</w:t>
            </w:r>
          </w:p>
        </w:tc>
        <w:tc>
          <w:tcPr>
            <w:tcW w:type="dxa" w:w="2556"/>
          </w:tcPr>
          <w:p>
            <w:pPr>
              <w:spacing w:after="0"/>
            </w:pPr>
            <w:r>
              <w:rPr>
                <w:rFonts w:ascii="Arial" w:hAnsi="Arial"/>
                <w:b w:val="0"/>
                <w:sz w:val="14"/>
              </w:rPr>
              <w:t>MRO-10: Privacy/GDPR Lifecycle Mapping; MRO-11: Privacy-Preserving Third-Party Validation; MRO-13: Data Subject Rights vs Evidence Retention</w:t>
            </w:r>
          </w:p>
        </w:tc>
        <w:tc>
          <w:tcPr>
            <w:tcW w:type="dxa" w:w="2556"/>
          </w:tcPr>
          <w:p>
            <w:pPr>
              <w:spacing w:after="0"/>
            </w:pPr>
            <w:r>
              <w:rPr>
                <w:rFonts w:ascii="Arial" w:hAnsi="Arial"/>
                <w:b w:val="0"/>
                <w:sz w:val="14"/>
              </w:rPr>
              <w:t>Data flow records; retention policy records; data subject rights workflow records; privacy-preserving validation protocol records</w:t>
            </w:r>
          </w:p>
        </w:tc>
      </w:tr>
      <w:tr>
        <w:tc>
          <w:tcPr>
            <w:tcW w:type="dxa" w:w="2556"/>
          </w:tcPr>
          <w:p>
            <w:pPr>
              <w:spacing w:after="0"/>
            </w:pPr>
            <w:r>
              <w:rPr>
                <w:rFonts w:ascii="Arial" w:hAnsi="Arial"/>
                <w:b w:val="0"/>
                <w:sz w:val="14"/>
              </w:rPr>
              <w:t>Security / Access Management</w:t>
            </w:r>
          </w:p>
        </w:tc>
        <w:tc>
          <w:tcPr>
            <w:tcW w:type="dxa" w:w="2556"/>
          </w:tcPr>
          <w:p>
            <w:pPr>
              <w:spacing w:after="0"/>
            </w:pPr>
            <w:r>
              <w:rPr>
                <w:rFonts w:ascii="Arial" w:hAnsi="Arial"/>
                <w:b w:val="0"/>
                <w:sz w:val="14"/>
              </w:rPr>
              <w:t>Extend access controls to include delegated authority boundaries; implement authority drift detection; add tool-action authorization</w:t>
            </w:r>
          </w:p>
        </w:tc>
        <w:tc>
          <w:tcPr>
            <w:tcW w:type="dxa" w:w="2556"/>
          </w:tcPr>
          <w:p>
            <w:pPr>
              <w:spacing w:after="0"/>
            </w:pPr>
            <w:r>
              <w:rPr>
                <w:rFonts w:ascii="Arial" w:hAnsi="Arial"/>
                <w:b w:val="0"/>
                <w:sz w:val="14"/>
              </w:rPr>
              <w:t>MRO-02: Delegated Authority Boundary; MRO-05: Tool-Action Liability Boundary; MRO-07: Authority Drift</w:t>
            </w:r>
          </w:p>
        </w:tc>
        <w:tc>
          <w:tcPr>
            <w:tcW w:type="dxa" w:w="2556"/>
          </w:tcPr>
          <w:p>
            <w:pPr>
              <w:spacing w:after="0"/>
            </w:pPr>
            <w:r>
              <w:rPr>
                <w:rFonts w:ascii="Arial" w:hAnsi="Arial"/>
                <w:b w:val="0"/>
                <w:sz w:val="14"/>
              </w:rPr>
              <w:t>Authority grant records; tool-action authorization records; boundary violation alerts; drift detection logs</w:t>
            </w:r>
          </w:p>
        </w:tc>
      </w:tr>
      <w:tr>
        <w:tc>
          <w:tcPr>
            <w:tcW w:type="dxa" w:w="2556"/>
          </w:tcPr>
          <w:p>
            <w:pPr>
              <w:spacing w:after="0"/>
            </w:pPr>
            <w:r>
              <w:rPr>
                <w:rFonts w:ascii="Arial" w:hAnsi="Arial"/>
                <w:b w:val="0"/>
                <w:sz w:val="14"/>
              </w:rPr>
              <w:t>Procurement / Vendor Management</w:t>
            </w:r>
          </w:p>
        </w:tc>
        <w:tc>
          <w:tcPr>
            <w:tcW w:type="dxa" w:w="2556"/>
          </w:tcPr>
          <w:p>
            <w:pPr>
              <w:spacing w:after="0"/>
            </w:pPr>
            <w:r>
              <w:rPr>
                <w:rFonts w:ascii="Arial" w:hAnsi="Arial"/>
                <w:b w:val="0"/>
                <w:sz w:val="14"/>
              </w:rPr>
              <w:t>Extend vendor management to include processor/subprocessor chain mapping; add vendor/runtime substitution conformance validation</w:t>
            </w:r>
          </w:p>
        </w:tc>
        <w:tc>
          <w:tcPr>
            <w:tcW w:type="dxa" w:w="2556"/>
          </w:tcPr>
          <w:p>
            <w:pPr>
              <w:spacing w:after="0"/>
            </w:pPr>
            <w:r>
              <w:rPr>
                <w:rFonts w:ascii="Arial" w:hAnsi="Arial"/>
                <w:b w:val="0"/>
                <w:sz w:val="14"/>
              </w:rPr>
              <w:t>MRO-14: Third-Party Processor/Subprocessor Chain; MRO-15: Vendor/Model/Runtime Substitution Conformance</w:t>
            </w:r>
          </w:p>
        </w:tc>
        <w:tc>
          <w:tcPr>
            <w:tcW w:type="dxa" w:w="2556"/>
          </w:tcPr>
          <w:p>
            <w:pPr>
              <w:spacing w:after="0"/>
            </w:pPr>
            <w:r>
              <w:rPr>
                <w:rFonts w:ascii="Arial" w:hAnsi="Arial"/>
                <w:b w:val="0"/>
                <w:sz w:val="14"/>
              </w:rPr>
              <w:t>Processor agreements; subprocessor chain records; substitution records; conformance validation records</w:t>
            </w:r>
          </w:p>
        </w:tc>
      </w:tr>
      <w:tr>
        <w:tc>
          <w:tcPr>
            <w:tcW w:type="dxa" w:w="2556"/>
          </w:tcPr>
          <w:p>
            <w:pPr>
              <w:spacing w:after="0"/>
            </w:pPr>
            <w:r>
              <w:rPr>
                <w:rFonts w:ascii="Arial" w:hAnsi="Arial"/>
                <w:b w:val="0"/>
                <w:sz w:val="14"/>
              </w:rPr>
              <w:t>Incident Response</w:t>
            </w:r>
          </w:p>
        </w:tc>
        <w:tc>
          <w:tcPr>
            <w:tcW w:type="dxa" w:w="2556"/>
          </w:tcPr>
          <w:p>
            <w:pPr>
              <w:spacing w:after="0"/>
            </w:pPr>
            <w:r>
              <w:rPr>
                <w:rFonts w:ascii="Arial" w:hAnsi="Arial"/>
                <w:b w:val="0"/>
                <w:sz w:val="14"/>
              </w:rPr>
              <w:t>Extend incident response to include lifecycle-specific incident types; add incident/dispute/remediation closure workflow</w:t>
            </w:r>
          </w:p>
        </w:tc>
        <w:tc>
          <w:tcPr>
            <w:tcW w:type="dxa" w:w="2556"/>
          </w:tcPr>
          <w:p>
            <w:pPr>
              <w:spacing w:after="0"/>
            </w:pPr>
            <w:r>
              <w:rPr>
                <w:rFonts w:ascii="Arial" w:hAnsi="Arial"/>
                <w:b w:val="0"/>
                <w:sz w:val="14"/>
              </w:rPr>
              <w:t>MRO-16: Incident, Dispute, and Remediation Closure</w:t>
            </w:r>
          </w:p>
        </w:tc>
        <w:tc>
          <w:tcPr>
            <w:tcW w:type="dxa" w:w="2556"/>
          </w:tcPr>
          <w:p>
            <w:pPr>
              <w:spacing w:after="0"/>
            </w:pPr>
            <w:r>
              <w:rPr>
                <w:rFonts w:ascii="Arial" w:hAnsi="Arial"/>
                <w:b w:val="0"/>
                <w:sz w:val="14"/>
              </w:rPr>
              <w:t>Incident records; affected outcome records; remediation records; closure acceptance records; customer impact assessment records</w:t>
            </w:r>
          </w:p>
        </w:tc>
      </w:tr>
      <w:tr>
        <w:tc>
          <w:tcPr>
            <w:tcW w:type="dxa" w:w="2556"/>
          </w:tcPr>
          <w:p>
            <w:pPr>
              <w:spacing w:after="0"/>
            </w:pPr>
            <w:r>
              <w:rPr>
                <w:rFonts w:ascii="Arial" w:hAnsi="Arial"/>
                <w:b w:val="0"/>
                <w:sz w:val="14"/>
              </w:rPr>
              <w:t>Compliance / Regulatory Reporting</w:t>
            </w:r>
          </w:p>
        </w:tc>
        <w:tc>
          <w:tcPr>
            <w:tcW w:type="dxa" w:w="2556"/>
          </w:tcPr>
          <w:p>
            <w:pPr>
              <w:spacing w:after="0"/>
            </w:pPr>
            <w:r>
              <w:rPr>
                <w:rFonts w:ascii="Arial" w:hAnsi="Arial"/>
                <w:b w:val="0"/>
                <w:sz w:val="14"/>
              </w:rPr>
              <w:t>Extend compliance reporting to include lifecycle responsibility objects; add RCCS/ALCS as analytical tools (not legal scores)</w:t>
            </w:r>
          </w:p>
        </w:tc>
        <w:tc>
          <w:tcPr>
            <w:tcW w:type="dxa" w:w="2556"/>
          </w:tcPr>
          <w:p>
            <w:pPr>
              <w:spacing w:after="0"/>
            </w:pPr>
            <w:r>
              <w:rPr>
                <w:rFonts w:ascii="Arial" w:hAnsi="Arial"/>
                <w:b w:val="0"/>
                <w:sz w:val="14"/>
              </w:rPr>
              <w:t>MRO-01: Human Role to MAS Responsibility Mapping; MRO-04: Accepted Outcome Compliance</w:t>
            </w:r>
          </w:p>
        </w:tc>
        <w:tc>
          <w:tcPr>
            <w:tcW w:type="dxa" w:w="2556"/>
          </w:tcPr>
          <w:p>
            <w:pPr>
              <w:spacing w:after="0"/>
            </w:pPr>
            <w:r>
              <w:rPr>
                <w:rFonts w:ascii="Arial" w:hAnsi="Arial"/>
                <w:b w:val="0"/>
                <w:sz w:val="14"/>
              </w:rPr>
              <w:t>Role assignment records; acceptance records; review records; escalation records; RCCS/ALCS analytical reports (not legal compliance scores)</w:t>
            </w:r>
          </w:p>
        </w:tc>
      </w:tr>
      <w:tr>
        <w:tc>
          <w:tcPr>
            <w:tcW w:type="dxa" w:w="2556"/>
          </w:tcPr>
          <w:p>
            <w:pPr>
              <w:spacing w:after="0"/>
            </w:pPr>
            <w:r>
              <w:rPr>
                <w:rFonts w:ascii="Arial" w:hAnsi="Arial"/>
                <w:b w:val="0"/>
                <w:sz w:val="14"/>
              </w:rPr>
              <w:t>Model Risk Management</w:t>
            </w:r>
          </w:p>
        </w:tc>
        <w:tc>
          <w:tcPr>
            <w:tcW w:type="dxa" w:w="2556"/>
          </w:tcPr>
          <w:p>
            <w:pPr>
              <w:spacing w:after="0"/>
            </w:pPr>
            <w:r>
              <w:rPr>
                <w:rFonts w:ascii="Arial" w:hAnsi="Arial"/>
                <w:b w:val="0"/>
                <w:sz w:val="14"/>
              </w:rPr>
              <w:t>Extend model risk management to include lifecycle risk; add authority-transition influence monitoring; add model substitution conformance</w:t>
            </w:r>
          </w:p>
        </w:tc>
        <w:tc>
          <w:tcPr>
            <w:tcW w:type="dxa" w:w="2556"/>
          </w:tcPr>
          <w:p>
            <w:pPr>
              <w:spacing w:after="0"/>
            </w:pPr>
            <w:r>
              <w:rPr>
                <w:rFonts w:ascii="Arial" w:hAnsi="Arial"/>
                <w:b w:val="0"/>
                <w:sz w:val="14"/>
              </w:rPr>
              <w:t>MRO-07: Authority Drift; MRO-15: Vendor/Model/Runtime Substitution Conformance</w:t>
            </w:r>
          </w:p>
        </w:tc>
        <w:tc>
          <w:tcPr>
            <w:tcW w:type="dxa" w:w="2556"/>
          </w:tcPr>
          <w:p>
            <w:pPr>
              <w:spacing w:after="0"/>
            </w:pPr>
            <w:r>
              <w:rPr>
                <w:rFonts w:ascii="Arial" w:hAnsi="Arial"/>
                <w:b w:val="0"/>
                <w:sz w:val="14"/>
              </w:rPr>
              <w:t>Model inventory; model version records; authority baseline records; drift detection logs; substitution conformance validation records</w:t>
            </w:r>
          </w:p>
        </w:tc>
      </w:tr>
      <w:tr>
        <w:tc>
          <w:tcPr>
            <w:tcW w:type="dxa" w:w="2556"/>
          </w:tcPr>
          <w:p>
            <w:pPr>
              <w:spacing w:after="0"/>
            </w:pPr>
            <w:r>
              <w:rPr>
                <w:rFonts w:ascii="Arial" w:hAnsi="Arial"/>
                <w:b w:val="0"/>
                <w:sz w:val="14"/>
              </w:rPr>
              <w:t>Business Continuity / Rollback</w:t>
            </w:r>
          </w:p>
        </w:tc>
        <w:tc>
          <w:tcPr>
            <w:tcW w:type="dxa" w:w="2556"/>
          </w:tcPr>
          <w:p>
            <w:pPr>
              <w:spacing w:after="0"/>
            </w:pPr>
            <w:r>
              <w:rPr>
                <w:rFonts w:ascii="Arial" w:hAnsi="Arial"/>
                <w:b w:val="0"/>
                <w:sz w:val="14"/>
              </w:rPr>
              <w:t>Extend business continuity to include agentic workflow rollback; add cross-project reuse compliance; add context boundary validation</w:t>
            </w:r>
          </w:p>
        </w:tc>
        <w:tc>
          <w:tcPr>
            <w:tcW w:type="dxa" w:w="2556"/>
          </w:tcPr>
          <w:p>
            <w:pPr>
              <w:spacing w:after="0"/>
            </w:pPr>
            <w:r>
              <w:rPr>
                <w:rFonts w:ascii="Arial" w:hAnsi="Arial"/>
                <w:b w:val="0"/>
                <w:sz w:val="14"/>
              </w:rPr>
              <w:t>MRO-09: Cross-Project Reuse Compliance</w:t>
            </w:r>
          </w:p>
        </w:tc>
        <w:tc>
          <w:tcPr>
            <w:tcW w:type="dxa" w:w="2556"/>
          </w:tcPr>
          <w:p>
            <w:pPr>
              <w:spacing w:after="0"/>
            </w:pPr>
            <w:r>
              <w:rPr>
                <w:rFonts w:ascii="Arial" w:hAnsi="Arial"/>
                <w:b w:val="0"/>
                <w:sz w:val="14"/>
              </w:rPr>
              <w:t>Reuse records; reset validation records; reauthorization records; context boundary records; rollback capability validation records</w:t>
            </w:r>
          </w:p>
        </w:tc>
      </w:tr>
    </w:tbl>
    <w:p>
      <w:pPr>
        <w:spacing w:after="56"/>
      </w:pPr>
      <w:r>
        <w:t>Interpretation: Lifecycle governance extends existing enterprise controls rather than replacing them. Integration ensures that lifecycle responsibility objects align with existing control frameworks and evidence artifacts.</w:t>
      </w:r>
    </w:p>
    <w:p>
      <w:pPr>
        <w:pStyle w:val="Heading2"/>
      </w:pPr>
      <w:r>
        <w:t>17.4 Operationalizing Lifecycle Responsibility Objects</w:t>
      </w:r>
    </w:p>
    <w:p>
      <w:pPr>
        <w:spacing w:after="56"/>
      </w:pPr>
      <w:r>
        <w:t>Enterprises should operationalize lifecycle responsibility objects in stages. The following table defines a Stage 0-to-7 roadmap.</w:t>
      </w:r>
    </w:p>
    <w:p>
      <w:pPr>
        <w:keepNext/>
      </w:pPr>
      <w:r>
        <w:rPr>
          <w:b/>
          <w:sz w:val="16"/>
        </w:rPr>
        <w:t>Table T-17-04: Adoption Roadmap by Stage</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Stage</w:t>
            </w:r>
          </w:p>
        </w:tc>
        <w:tc>
          <w:tcPr>
            <w:tcW w:type="dxa" w:w="2045"/>
          </w:tcPr>
          <w:p>
            <w:pPr>
              <w:spacing w:after="0"/>
            </w:pPr>
            <w:r>
              <w:rPr>
                <w:rFonts w:ascii="Arial" w:hAnsi="Arial"/>
                <w:b/>
                <w:sz w:val="14"/>
              </w:rPr>
              <w:t>Goal</w:t>
            </w:r>
          </w:p>
        </w:tc>
        <w:tc>
          <w:tcPr>
            <w:tcW w:type="dxa" w:w="2045"/>
          </w:tcPr>
          <w:p>
            <w:pPr>
              <w:spacing w:after="0"/>
            </w:pPr>
            <w:r>
              <w:rPr>
                <w:rFonts w:ascii="Arial" w:hAnsi="Arial"/>
                <w:b/>
                <w:sz w:val="14"/>
              </w:rPr>
              <w:t>Key Actions</w:t>
            </w:r>
          </w:p>
        </w:tc>
        <w:tc>
          <w:tcPr>
            <w:tcW w:type="dxa" w:w="2045"/>
          </w:tcPr>
          <w:p>
            <w:pPr>
              <w:spacing w:after="0"/>
            </w:pPr>
            <w:r>
              <w:rPr>
                <w:rFonts w:ascii="Arial" w:hAnsi="Arial"/>
                <w:b/>
                <w:sz w:val="14"/>
              </w:rPr>
              <w:t>Output</w:t>
            </w:r>
          </w:p>
        </w:tc>
        <w:tc>
          <w:tcPr>
            <w:tcW w:type="dxa" w:w="2045"/>
          </w:tcPr>
          <w:p>
            <w:pPr>
              <w:spacing w:after="0"/>
            </w:pPr>
            <w:r>
              <w:rPr>
                <w:rFonts w:ascii="Arial" w:hAnsi="Arial"/>
                <w:b/>
                <w:sz w:val="14"/>
              </w:rPr>
              <w:t>Success Indicator</w:t>
            </w:r>
          </w:p>
        </w:tc>
      </w:tr>
      <w:tr>
        <w:tc>
          <w:tcPr>
            <w:tcW w:type="dxa" w:w="2045"/>
          </w:tcPr>
          <w:p>
            <w:pPr>
              <w:spacing w:after="0"/>
            </w:pPr>
            <w:r>
              <w:rPr>
                <w:rFonts w:ascii="Arial" w:hAnsi="Arial"/>
                <w:b w:val="0"/>
                <w:sz w:val="14"/>
              </w:rPr>
              <w:t>Stage 0: Inventory</w:t>
            </w:r>
          </w:p>
        </w:tc>
        <w:tc>
          <w:tcPr>
            <w:tcW w:type="dxa" w:w="2045"/>
          </w:tcPr>
          <w:p>
            <w:pPr>
              <w:spacing w:after="0"/>
            </w:pPr>
            <w:r>
              <w:rPr>
                <w:rFonts w:ascii="Arial" w:hAnsi="Arial"/>
                <w:b w:val="0"/>
                <w:sz w:val="14"/>
              </w:rPr>
              <w:t>Inventory agentic behavior and identify lifecycle governance gaps</w:t>
            </w:r>
          </w:p>
        </w:tc>
        <w:tc>
          <w:tcPr>
            <w:tcW w:type="dxa" w:w="2045"/>
          </w:tcPr>
          <w:p>
            <w:pPr>
              <w:spacing w:after="0"/>
            </w:pPr>
            <w:r>
              <w:rPr>
                <w:rFonts w:ascii="Arial" w:hAnsi="Arial"/>
                <w:b w:val="0"/>
                <w:sz w:val="14"/>
              </w:rPr>
              <w:t>Identify where agents make decisions, use tools, or hand off work; assess whether model governance covers lifecycle responsibility; identify failure scenarios from Chapter 15 that apply</w:t>
            </w:r>
          </w:p>
        </w:tc>
        <w:tc>
          <w:tcPr>
            <w:tcW w:type="dxa" w:w="2045"/>
          </w:tcPr>
          <w:p>
            <w:pPr>
              <w:spacing w:after="0"/>
            </w:pPr>
            <w:r>
              <w:rPr>
                <w:rFonts w:ascii="Arial" w:hAnsi="Arial"/>
                <w:b w:val="0"/>
                <w:sz w:val="14"/>
              </w:rPr>
              <w:t>Agentic behavior inventory; lifecycle governance gap analysis; failure scenario risk assessment</w:t>
            </w:r>
          </w:p>
        </w:tc>
        <w:tc>
          <w:tcPr>
            <w:tcW w:type="dxa" w:w="2045"/>
          </w:tcPr>
          <w:p>
            <w:pPr>
              <w:spacing w:after="0"/>
            </w:pPr>
            <w:r>
              <w:rPr>
                <w:rFonts w:ascii="Arial" w:hAnsi="Arial"/>
                <w:b w:val="0"/>
                <w:sz w:val="14"/>
              </w:rPr>
              <w:t>Executive awareness of lifecycle governance gap; pilot project candidates identified</w:t>
            </w:r>
          </w:p>
        </w:tc>
      </w:tr>
      <w:tr>
        <w:tc>
          <w:tcPr>
            <w:tcW w:type="dxa" w:w="2045"/>
          </w:tcPr>
          <w:p>
            <w:pPr>
              <w:spacing w:after="0"/>
            </w:pPr>
            <w:r>
              <w:rPr>
                <w:rFonts w:ascii="Arial" w:hAnsi="Arial"/>
                <w:b w:val="0"/>
                <w:sz w:val="14"/>
              </w:rPr>
              <w:t>Stage 1: Authority</w:t>
            </w:r>
          </w:p>
        </w:tc>
        <w:tc>
          <w:tcPr>
            <w:tcW w:type="dxa" w:w="2045"/>
          </w:tcPr>
          <w:p>
            <w:pPr>
              <w:spacing w:after="0"/>
            </w:pPr>
            <w:r>
              <w:rPr>
                <w:rFonts w:ascii="Arial" w:hAnsi="Arial"/>
                <w:b w:val="0"/>
                <w:sz w:val="14"/>
              </w:rPr>
              <w:t>Define delegated authority boundaries and implement authority drift detection</w:t>
            </w:r>
          </w:p>
        </w:tc>
        <w:tc>
          <w:tcPr>
            <w:tcW w:type="dxa" w:w="2045"/>
          </w:tcPr>
          <w:p>
            <w:pPr>
              <w:spacing w:after="0"/>
            </w:pPr>
            <w:r>
              <w:rPr>
                <w:rFonts w:ascii="Arial" w:hAnsi="Arial"/>
                <w:b w:val="0"/>
                <w:sz w:val="14"/>
              </w:rPr>
              <w:t>Define authority grant records; implement tool-action authorization; add boundary violation alerts; implement drift detection monitoring</w:t>
            </w:r>
          </w:p>
        </w:tc>
        <w:tc>
          <w:tcPr>
            <w:tcW w:type="dxa" w:w="2045"/>
          </w:tcPr>
          <w:p>
            <w:pPr>
              <w:spacing w:after="0"/>
            </w:pPr>
            <w:r>
              <w:rPr>
                <w:rFonts w:ascii="Arial" w:hAnsi="Arial"/>
                <w:b w:val="0"/>
                <w:sz w:val="14"/>
              </w:rPr>
              <w:t>Delegated authority boundary records; tool-action authorization records; boundary violation alerts; drift detection logs</w:t>
            </w:r>
          </w:p>
        </w:tc>
        <w:tc>
          <w:tcPr>
            <w:tcW w:type="dxa" w:w="2045"/>
          </w:tcPr>
          <w:p>
            <w:pPr>
              <w:spacing w:after="0"/>
            </w:pPr>
            <w:r>
              <w:rPr>
                <w:rFonts w:ascii="Arial" w:hAnsi="Arial"/>
                <w:b w:val="0"/>
                <w:sz w:val="14"/>
              </w:rPr>
              <w:t>Authority boundaries are explicit and enforced; authority drift is detected and escalated</w:t>
            </w:r>
          </w:p>
        </w:tc>
      </w:tr>
      <w:tr>
        <w:tc>
          <w:tcPr>
            <w:tcW w:type="dxa" w:w="2045"/>
          </w:tcPr>
          <w:p>
            <w:pPr>
              <w:spacing w:after="0"/>
            </w:pPr>
            <w:r>
              <w:rPr>
                <w:rFonts w:ascii="Arial" w:hAnsi="Arial"/>
                <w:b w:val="0"/>
                <w:sz w:val="14"/>
              </w:rPr>
              <w:t>Stage 2: Responsibility</w:t>
            </w:r>
          </w:p>
        </w:tc>
        <w:tc>
          <w:tcPr>
            <w:tcW w:type="dxa" w:w="2045"/>
          </w:tcPr>
          <w:p>
            <w:pPr>
              <w:spacing w:after="0"/>
            </w:pPr>
            <w:r>
              <w:rPr>
                <w:rFonts w:ascii="Arial" w:hAnsi="Arial"/>
                <w:b w:val="0"/>
                <w:sz w:val="14"/>
              </w:rPr>
              <w:t>Map human roles to MAS responsibilities and implement accepted outcome compliance</w:t>
            </w:r>
          </w:p>
        </w:tc>
        <w:tc>
          <w:tcPr>
            <w:tcW w:type="dxa" w:w="2045"/>
          </w:tcPr>
          <w:p>
            <w:pPr>
              <w:spacing w:after="0"/>
            </w:pPr>
            <w:r>
              <w:rPr>
                <w:rFonts w:ascii="Arial" w:hAnsi="Arial"/>
                <w:b w:val="0"/>
                <w:sz w:val="14"/>
              </w:rPr>
              <w:t>Define role assignment records; implement acceptance records; add review and escalation workflow; implement closure acceptance workflow</w:t>
            </w:r>
          </w:p>
        </w:tc>
        <w:tc>
          <w:tcPr>
            <w:tcW w:type="dxa" w:w="2045"/>
          </w:tcPr>
          <w:p>
            <w:pPr>
              <w:spacing w:after="0"/>
            </w:pPr>
            <w:r>
              <w:rPr>
                <w:rFonts w:ascii="Arial" w:hAnsi="Arial"/>
                <w:b w:val="0"/>
                <w:sz w:val="14"/>
              </w:rPr>
              <w:t>Human-role-to-MAS responsibility mapping; acceptance records; review records; escalation records; closure acceptance records</w:t>
            </w:r>
          </w:p>
        </w:tc>
        <w:tc>
          <w:tcPr>
            <w:tcW w:type="dxa" w:w="2045"/>
          </w:tcPr>
          <w:p>
            <w:pPr>
              <w:spacing w:after="0"/>
            </w:pPr>
            <w:r>
              <w:rPr>
                <w:rFonts w:ascii="Arial" w:hAnsi="Arial"/>
                <w:b w:val="0"/>
                <w:sz w:val="14"/>
              </w:rPr>
              <w:t>Accountable human role exists for every agent outcome; accepted outcome compliance workflow operational</w:t>
            </w:r>
          </w:p>
        </w:tc>
      </w:tr>
      <w:tr>
        <w:tc>
          <w:tcPr>
            <w:tcW w:type="dxa" w:w="2045"/>
          </w:tcPr>
          <w:p>
            <w:pPr>
              <w:spacing w:after="0"/>
            </w:pPr>
            <w:r>
              <w:rPr>
                <w:rFonts w:ascii="Arial" w:hAnsi="Arial"/>
                <w:b w:val="0"/>
                <w:sz w:val="14"/>
              </w:rPr>
              <w:t>Stage 3: Evidence</w:t>
            </w:r>
          </w:p>
        </w:tc>
        <w:tc>
          <w:tcPr>
            <w:tcW w:type="dxa" w:w="2045"/>
          </w:tcPr>
          <w:p>
            <w:pPr>
              <w:spacing w:after="0"/>
            </w:pPr>
            <w:r>
              <w:rPr>
                <w:rFonts w:ascii="Arial" w:hAnsi="Arial"/>
                <w:b w:val="0"/>
                <w:sz w:val="14"/>
              </w:rPr>
              <w:t>Convert orchestration logs into partitioned evidence chains</w:t>
            </w:r>
          </w:p>
        </w:tc>
        <w:tc>
          <w:tcPr>
            <w:tcW w:type="dxa" w:w="2045"/>
          </w:tcPr>
          <w:p>
            <w:pPr>
              <w:spacing w:after="0"/>
            </w:pPr>
            <w:r>
              <w:rPr>
                <w:rFonts w:ascii="Arial" w:hAnsi="Arial"/>
                <w:b w:val="0"/>
                <w:sz w:val="14"/>
              </w:rPr>
              <w:t>Implement MAS evidence partitioning; add evidence export capability with selective disclosure; implement evidence chain integrity validation</w:t>
            </w:r>
          </w:p>
        </w:tc>
        <w:tc>
          <w:tcPr>
            <w:tcW w:type="dxa" w:w="2045"/>
          </w:tcPr>
          <w:p>
            <w:pPr>
              <w:spacing w:after="0"/>
            </w:pPr>
            <w:r>
              <w:rPr>
                <w:rFonts w:ascii="Arial" w:hAnsi="Arial"/>
                <w:b w:val="0"/>
                <w:sz w:val="14"/>
              </w:rPr>
              <w:t>Partitioned evidence chains; evidence export logs; partition policy records; selective disclosure records; evidence integrity validation records</w:t>
            </w:r>
          </w:p>
        </w:tc>
        <w:tc>
          <w:tcPr>
            <w:tcW w:type="dxa" w:w="2045"/>
          </w:tcPr>
          <w:p>
            <w:pPr>
              <w:spacing w:after="0"/>
            </w:pPr>
            <w:r>
              <w:rPr>
                <w:rFonts w:ascii="Arial" w:hAnsi="Arial"/>
                <w:b w:val="0"/>
                <w:sz w:val="14"/>
              </w:rPr>
              <w:t>Evidence chains can reconstruct authority, plan, confirmation, tool action, and accepted outcome; evidence can be selectively disclosed to auditors</w:t>
            </w:r>
          </w:p>
        </w:tc>
      </w:tr>
      <w:tr>
        <w:tc>
          <w:tcPr>
            <w:tcW w:type="dxa" w:w="2045"/>
          </w:tcPr>
          <w:p>
            <w:pPr>
              <w:spacing w:after="0"/>
            </w:pPr>
            <w:r>
              <w:rPr>
                <w:rFonts w:ascii="Arial" w:hAnsi="Arial"/>
                <w:b w:val="0"/>
                <w:sz w:val="14"/>
              </w:rPr>
              <w:t>Stage 4: Privacy</w:t>
            </w:r>
          </w:p>
        </w:tc>
        <w:tc>
          <w:tcPr>
            <w:tcW w:type="dxa" w:w="2045"/>
          </w:tcPr>
          <w:p>
            <w:pPr>
              <w:spacing w:after="0"/>
            </w:pPr>
            <w:r>
              <w:rPr>
                <w:rFonts w:ascii="Arial" w:hAnsi="Arial"/>
                <w:b w:val="0"/>
                <w:sz w:val="14"/>
              </w:rPr>
              <w:t>Map privacy and data subject rights across lifecycle surfaces</w:t>
            </w:r>
          </w:p>
        </w:tc>
        <w:tc>
          <w:tcPr>
            <w:tcW w:type="dxa" w:w="2045"/>
          </w:tcPr>
          <w:p>
            <w:pPr>
              <w:spacing w:after="0"/>
            </w:pPr>
            <w:r>
              <w:rPr>
                <w:rFonts w:ascii="Arial" w:hAnsi="Arial"/>
                <w:b w:val="0"/>
                <w:sz w:val="14"/>
              </w:rPr>
              <w:t>Implement privacy/GDPR lifecycle mapping; add data subject rights workflow; implement evidence minimization and selective disclosure policy</w:t>
            </w:r>
          </w:p>
        </w:tc>
        <w:tc>
          <w:tcPr>
            <w:tcW w:type="dxa" w:w="2045"/>
          </w:tcPr>
          <w:p>
            <w:pPr>
              <w:spacing w:after="0"/>
            </w:pPr>
            <w:r>
              <w:rPr>
                <w:rFonts w:ascii="Arial" w:hAnsi="Arial"/>
                <w:b w:val="0"/>
                <w:sz w:val="14"/>
              </w:rPr>
              <w:t>Data flow records; retention policy records; data subject rights workflow records; evidence minimization records; selective disclosure policy records</w:t>
            </w:r>
          </w:p>
        </w:tc>
        <w:tc>
          <w:tcPr>
            <w:tcW w:type="dxa" w:w="2045"/>
          </w:tcPr>
          <w:p>
            <w:pPr>
              <w:spacing w:after="0"/>
            </w:pPr>
            <w:r>
              <w:rPr>
                <w:rFonts w:ascii="Arial" w:hAnsi="Arial"/>
                <w:b w:val="0"/>
                <w:sz w:val="14"/>
              </w:rPr>
              <w:t>Privacy is mapped across lifecycle surfaces; data subject rights can be exercised without destroying evidence; evidence minimization policy operational</w:t>
            </w:r>
          </w:p>
        </w:tc>
      </w:tr>
      <w:tr>
        <w:tc>
          <w:tcPr>
            <w:tcW w:type="dxa" w:w="2045"/>
          </w:tcPr>
          <w:p>
            <w:pPr>
              <w:spacing w:after="0"/>
            </w:pPr>
            <w:r>
              <w:rPr>
                <w:rFonts w:ascii="Arial" w:hAnsi="Arial"/>
                <w:b w:val="0"/>
                <w:sz w:val="14"/>
              </w:rPr>
              <w:t>Stage 5: Validation</w:t>
            </w:r>
          </w:p>
        </w:tc>
        <w:tc>
          <w:tcPr>
            <w:tcW w:type="dxa" w:w="2045"/>
          </w:tcPr>
          <w:p>
            <w:pPr>
              <w:spacing w:after="0"/>
            </w:pPr>
            <w:r>
              <w:rPr>
                <w:rFonts w:ascii="Arial" w:hAnsi="Arial"/>
                <w:b w:val="0"/>
                <w:sz w:val="14"/>
              </w:rPr>
              <w:t>Prepare for evidence-based validation and qualified review</w:t>
            </w:r>
          </w:p>
        </w:tc>
        <w:tc>
          <w:tcPr>
            <w:tcW w:type="dxa" w:w="2045"/>
          </w:tcPr>
          <w:p>
            <w:pPr>
              <w:spacing w:after="0"/>
            </w:pPr>
            <w:r>
              <w:rPr>
                <w:rFonts w:ascii="Arial" w:hAnsi="Arial"/>
                <w:b w:val="0"/>
                <w:sz w:val="14"/>
              </w:rPr>
              <w:t>Implement privacy-preserving validation protocol (e.g., evidence-based validation pattern from Chapter 14); add disclosure profile and redaction profile; implement hash manifests and verdict hashes; plan qualified review, which may include internal governance review, audit review, validation provider review, or other context-appropriate reviewers</w:t>
            </w:r>
          </w:p>
        </w:tc>
        <w:tc>
          <w:tcPr>
            <w:tcW w:type="dxa" w:w="2045"/>
          </w:tcPr>
          <w:p>
            <w:pPr>
              <w:spacing w:after="0"/>
            </w:pPr>
            <w:r>
              <w:rPr>
                <w:rFonts w:ascii="Arial" w:hAnsi="Arial"/>
                <w:b w:val="0"/>
                <w:sz w:val="14"/>
              </w:rPr>
              <w:t>Validation protocol records; disclosure profile records; redaction profile records; hash manifests; verdict hashes</w:t>
            </w:r>
          </w:p>
        </w:tc>
        <w:tc>
          <w:tcPr>
            <w:tcW w:type="dxa" w:w="2045"/>
          </w:tcPr>
          <w:p>
            <w:pPr>
              <w:spacing w:after="0"/>
            </w:pPr>
            <w:r>
              <w:rPr>
                <w:rFonts w:ascii="Arial" w:hAnsi="Arial"/>
                <w:b w:val="0"/>
                <w:sz w:val="14"/>
              </w:rPr>
              <w:t>Evidence can be reviewed by qualified reviewers without exposing sensitive data; validation results are privacy-preserving and tamper-evident</w:t>
            </w:r>
          </w:p>
        </w:tc>
      </w:tr>
      <w:tr>
        <w:tc>
          <w:tcPr>
            <w:tcW w:type="dxa" w:w="2045"/>
          </w:tcPr>
          <w:p>
            <w:pPr>
              <w:spacing w:after="0"/>
            </w:pPr>
            <w:r>
              <w:rPr>
                <w:rFonts w:ascii="Arial" w:hAnsi="Arial"/>
                <w:b w:val="0"/>
                <w:sz w:val="14"/>
              </w:rPr>
              <w:t>Stage 6: Remediation</w:t>
            </w:r>
          </w:p>
        </w:tc>
        <w:tc>
          <w:tcPr>
            <w:tcW w:type="dxa" w:w="2045"/>
          </w:tcPr>
          <w:p>
            <w:pPr>
              <w:spacing w:after="0"/>
            </w:pPr>
            <w:r>
              <w:rPr>
                <w:rFonts w:ascii="Arial" w:hAnsi="Arial"/>
                <w:b w:val="0"/>
                <w:sz w:val="14"/>
              </w:rPr>
              <w:t>Operationalize incident, dispute, and remediation closure workflows</w:t>
            </w:r>
          </w:p>
        </w:tc>
        <w:tc>
          <w:tcPr>
            <w:tcW w:type="dxa" w:w="2045"/>
          </w:tcPr>
          <w:p>
            <w:pPr>
              <w:spacing w:after="0"/>
            </w:pPr>
            <w:r>
              <w:rPr>
                <w:rFonts w:ascii="Arial" w:hAnsi="Arial"/>
                <w:b w:val="0"/>
                <w:sz w:val="14"/>
              </w:rPr>
              <w:t>Implement incident records; add affected outcome list generation; implement remediation records; add closure acceptance workflow; implement customer impact assessment</w:t>
            </w:r>
          </w:p>
        </w:tc>
        <w:tc>
          <w:tcPr>
            <w:tcW w:type="dxa" w:w="2045"/>
          </w:tcPr>
          <w:p>
            <w:pPr>
              <w:spacing w:after="0"/>
            </w:pPr>
            <w:r>
              <w:rPr>
                <w:rFonts w:ascii="Arial" w:hAnsi="Arial"/>
                <w:b w:val="0"/>
                <w:sz w:val="14"/>
              </w:rPr>
              <w:t>Incident records; affected outcome records; remediation records; closure acceptance records; customer impact assessment records</w:t>
            </w:r>
          </w:p>
        </w:tc>
        <w:tc>
          <w:tcPr>
            <w:tcW w:type="dxa" w:w="2045"/>
          </w:tcPr>
          <w:p>
            <w:pPr>
              <w:spacing w:after="0"/>
            </w:pPr>
            <w:r>
              <w:rPr>
                <w:rFonts w:ascii="Arial" w:hAnsi="Arial"/>
                <w:b w:val="0"/>
                <w:sz w:val="14"/>
              </w:rPr>
              <w:t>Incidents are tracked with responsible owners; affected outcomes are identified; remediation is documented; closure is accepted by responsible owner</w:t>
            </w:r>
          </w:p>
        </w:tc>
      </w:tr>
      <w:tr>
        <w:tc>
          <w:tcPr>
            <w:tcW w:type="dxa" w:w="2045"/>
          </w:tcPr>
          <w:p>
            <w:pPr>
              <w:spacing w:after="0"/>
            </w:pPr>
            <w:r>
              <w:rPr>
                <w:rFonts w:ascii="Arial" w:hAnsi="Arial"/>
                <w:b w:val="0"/>
                <w:sz w:val="14"/>
              </w:rPr>
              <w:t>Stage 7: Scale</w:t>
            </w:r>
          </w:p>
        </w:tc>
        <w:tc>
          <w:tcPr>
            <w:tcW w:type="dxa" w:w="2045"/>
          </w:tcPr>
          <w:p>
            <w:pPr>
              <w:spacing w:after="0"/>
            </w:pPr>
            <w:r>
              <w:rPr>
                <w:rFonts w:ascii="Arial" w:hAnsi="Arial"/>
                <w:b w:val="0"/>
                <w:sz w:val="14"/>
              </w:rPr>
              <w:t>Scale lifecycle governance through integration and continuous improvement</w:t>
            </w:r>
          </w:p>
        </w:tc>
        <w:tc>
          <w:tcPr>
            <w:tcW w:type="dxa" w:w="2045"/>
          </w:tcPr>
          <w:p>
            <w:pPr>
              <w:spacing w:after="0"/>
            </w:pPr>
            <w:r>
              <w:rPr>
                <w:rFonts w:ascii="Arial" w:hAnsi="Arial"/>
                <w:b w:val="0"/>
                <w:sz w:val="14"/>
              </w:rPr>
              <w:t>Integrate lifecycle governance with existing enterprise controls (Table T-17-03); extend to all agentic workflows; implement continuous improvement and monitoring; where appropriate, contribute learnings to standards, industry, or regulatory dialogue</w:t>
            </w:r>
          </w:p>
        </w:tc>
        <w:tc>
          <w:tcPr>
            <w:tcW w:type="dxa" w:w="2045"/>
          </w:tcPr>
          <w:p>
            <w:pPr>
              <w:spacing w:after="0"/>
            </w:pPr>
            <w:r>
              <w:rPr>
                <w:rFonts w:ascii="Arial" w:hAnsi="Arial"/>
                <w:b w:val="0"/>
                <w:sz w:val="14"/>
              </w:rPr>
              <w:t>Lifecycle governance integrated with audit, privacy, security, procurement, incident response, compliance, model risk, and business continuity; continuous improvement operational</w:t>
            </w:r>
          </w:p>
        </w:tc>
        <w:tc>
          <w:tcPr>
            <w:tcW w:type="dxa" w:w="2045"/>
          </w:tcPr>
          <w:p>
            <w:pPr>
              <w:spacing w:after="0"/>
            </w:pPr>
            <w:r>
              <w:rPr>
                <w:rFonts w:ascii="Arial" w:hAnsi="Arial"/>
                <w:b w:val="0"/>
                <w:sz w:val="14"/>
              </w:rPr>
              <w:t>Lifecycle governance is operational for all agentic workflows; continuous improvement and monitoring systematic; enterprise may contribute learnings to standards, industry, or regulatory dialogue where appropriate</w:t>
            </w:r>
          </w:p>
        </w:tc>
      </w:tr>
    </w:tbl>
    <w:p>
      <w:pPr>
        <w:spacing w:after="56"/>
      </w:pPr>
      <w:r>
        <w:t>Interpretation: The Stage 0-to-7 roadmap provides a practical path from lifecycle governance awareness to scaled operational capability. Each stage builds on the previous stage and produces measurable outputs and success indicators.</w:t>
      </w:r>
    </w:p>
    <w:p>
      <w:pPr>
        <w:pStyle w:val="Heading2"/>
      </w:pPr>
      <w:r>
        <w:t>17.5 Measuring Progress and Demonstrating Conformance</w:t>
      </w:r>
    </w:p>
    <w:p>
      <w:pPr>
        <w:spacing w:after="56"/>
      </w:pPr>
      <w:r>
        <w:t>Enterprises should measure progress using lifecycle responsibility objects as evidence artifacts, not using RCCS/ALCS as legal compliance scores. The following table clarifies how RCCS and ALCS should be used in adoption.</w:t>
      </w:r>
    </w:p>
    <w:p>
      <w:pPr>
        <w:keepNext/>
      </w:pPr>
      <w:r>
        <w:rPr>
          <w:b/>
          <w:sz w:val="16"/>
        </w:rPr>
        <w:t>Table T-17-05: RCCS/ALCS Use in Adoption</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Use Case</w:t>
            </w:r>
          </w:p>
        </w:tc>
        <w:tc>
          <w:tcPr>
            <w:tcW w:type="dxa" w:w="2556"/>
          </w:tcPr>
          <w:p>
            <w:pPr>
              <w:spacing w:after="0"/>
            </w:pPr>
            <w:r>
              <w:rPr>
                <w:rFonts w:ascii="Arial" w:hAnsi="Arial"/>
                <w:b/>
                <w:sz w:val="14"/>
              </w:rPr>
              <w:t>RCCS Role</w:t>
            </w:r>
          </w:p>
        </w:tc>
        <w:tc>
          <w:tcPr>
            <w:tcW w:type="dxa" w:w="2556"/>
          </w:tcPr>
          <w:p>
            <w:pPr>
              <w:spacing w:after="0"/>
            </w:pPr>
            <w:r>
              <w:rPr>
                <w:rFonts w:ascii="Arial" w:hAnsi="Arial"/>
                <w:b/>
                <w:sz w:val="14"/>
              </w:rPr>
              <w:t>ALCS Role</w:t>
            </w:r>
          </w:p>
        </w:tc>
        <w:tc>
          <w:tcPr>
            <w:tcW w:type="dxa" w:w="2556"/>
          </w:tcPr>
          <w:p>
            <w:pPr>
              <w:spacing w:after="0"/>
            </w:pPr>
            <w:r>
              <w:rPr>
                <w:rFonts w:ascii="Arial" w:hAnsi="Arial"/>
                <w:b/>
                <w:sz w:val="14"/>
              </w:rPr>
              <w:t>Boundary</w:t>
            </w:r>
          </w:p>
        </w:tc>
      </w:tr>
      <w:tr>
        <w:tc>
          <w:tcPr>
            <w:tcW w:type="dxa" w:w="2556"/>
          </w:tcPr>
          <w:p>
            <w:pPr>
              <w:spacing w:after="0"/>
            </w:pPr>
            <w:r>
              <w:rPr>
                <w:rFonts w:ascii="Arial" w:hAnsi="Arial"/>
                <w:b w:val="0"/>
                <w:sz w:val="14"/>
              </w:rPr>
              <w:t>Gap analysis</w:t>
            </w:r>
          </w:p>
        </w:tc>
        <w:tc>
          <w:tcPr>
            <w:tcW w:type="dxa" w:w="2556"/>
          </w:tcPr>
          <w:p>
            <w:pPr>
              <w:spacing w:after="0"/>
            </w:pPr>
            <w:r>
              <w:rPr>
                <w:rFonts w:ascii="Arial" w:hAnsi="Arial"/>
                <w:b w:val="0"/>
                <w:sz w:val="14"/>
              </w:rPr>
              <w:t>RCCS dimensions identify regulatory compliance coverage gaps (e.g., RCCS-04 Record-Keeping, RCCS-06 Human Oversight)</w:t>
            </w:r>
          </w:p>
        </w:tc>
        <w:tc>
          <w:tcPr>
            <w:tcW w:type="dxa" w:w="2556"/>
          </w:tcPr>
          <w:p>
            <w:pPr>
              <w:spacing w:after="0"/>
            </w:pPr>
            <w:r>
              <w:rPr>
                <w:rFonts w:ascii="Arial" w:hAnsi="Arial"/>
                <w:b w:val="0"/>
                <w:sz w:val="14"/>
              </w:rPr>
              <w:t>ALCS dimensions identify lifecycle responsibility object gaps (e.g., ALCS-02 Delegated Authority Boundary, ALCS-04 Accepted Outcome Compliance, ALCS-06 Responsibility Transfer Across Agents)</w:t>
            </w:r>
          </w:p>
        </w:tc>
        <w:tc>
          <w:tcPr>
            <w:tcW w:type="dxa" w:w="2556"/>
          </w:tcPr>
          <w:p>
            <w:pPr>
              <w:spacing w:after="0"/>
            </w:pPr>
            <w:r>
              <w:rPr>
                <w:rFonts w:ascii="Arial" w:hAnsi="Arial"/>
                <w:b w:val="0"/>
                <w:sz w:val="14"/>
              </w:rPr>
              <w:t>RCCS/ALCS are analytical tools, not legal compliance scores; gaps identified by RCCS/ALCS require organizational interpretation and legal review</w:t>
            </w:r>
          </w:p>
        </w:tc>
      </w:tr>
      <w:tr>
        <w:tc>
          <w:tcPr>
            <w:tcW w:type="dxa" w:w="2556"/>
          </w:tcPr>
          <w:p>
            <w:pPr>
              <w:spacing w:after="0"/>
            </w:pPr>
            <w:r>
              <w:rPr>
                <w:rFonts w:ascii="Arial" w:hAnsi="Arial"/>
                <w:b w:val="0"/>
                <w:sz w:val="14"/>
              </w:rPr>
              <w:t>Pilot project baseline</w:t>
            </w:r>
          </w:p>
        </w:tc>
        <w:tc>
          <w:tcPr>
            <w:tcW w:type="dxa" w:w="2556"/>
          </w:tcPr>
          <w:p>
            <w:pPr>
              <w:spacing w:after="0"/>
            </w:pPr>
            <w:r>
              <w:rPr>
                <w:rFonts w:ascii="Arial" w:hAnsi="Arial"/>
                <w:b w:val="0"/>
                <w:sz w:val="14"/>
              </w:rPr>
              <w:t>RCCS baseline measures regulatory compliance coverage before pilot; RCCS post-pilot measures improvement</w:t>
            </w:r>
          </w:p>
        </w:tc>
        <w:tc>
          <w:tcPr>
            <w:tcW w:type="dxa" w:w="2556"/>
          </w:tcPr>
          <w:p>
            <w:pPr>
              <w:spacing w:after="0"/>
            </w:pPr>
            <w:r>
              <w:rPr>
                <w:rFonts w:ascii="Arial" w:hAnsi="Arial"/>
                <w:b w:val="0"/>
                <w:sz w:val="14"/>
              </w:rPr>
              <w:t>ALCS baseline measures lifecycle responsibility object maturity before pilot; ALCS post-pilot measures improvement</w:t>
            </w:r>
          </w:p>
        </w:tc>
        <w:tc>
          <w:tcPr>
            <w:tcW w:type="dxa" w:w="2556"/>
          </w:tcPr>
          <w:p>
            <w:pPr>
              <w:spacing w:after="0"/>
            </w:pPr>
            <w:r>
              <w:rPr>
                <w:rFonts w:ascii="Arial" w:hAnsi="Arial"/>
                <w:b w:val="0"/>
                <w:sz w:val="14"/>
              </w:rPr>
              <w:t>RCCS/ALCS baselines are internal analytical tools; they do not prove legal compliance or regulatory approval</w:t>
            </w:r>
          </w:p>
        </w:tc>
      </w:tr>
      <w:tr>
        <w:tc>
          <w:tcPr>
            <w:tcW w:type="dxa" w:w="2556"/>
          </w:tcPr>
          <w:p>
            <w:pPr>
              <w:spacing w:after="0"/>
            </w:pPr>
            <w:r>
              <w:rPr>
                <w:rFonts w:ascii="Arial" w:hAnsi="Arial"/>
                <w:b w:val="0"/>
                <w:sz w:val="14"/>
              </w:rPr>
              <w:t>System evaluation</w:t>
            </w:r>
          </w:p>
        </w:tc>
        <w:tc>
          <w:tcPr>
            <w:tcW w:type="dxa" w:w="2556"/>
          </w:tcPr>
          <w:p>
            <w:pPr>
              <w:spacing w:after="0"/>
            </w:pPr>
            <w:r>
              <w:rPr>
                <w:rFonts w:ascii="Arial" w:hAnsi="Arial"/>
                <w:b w:val="0"/>
                <w:sz w:val="14"/>
              </w:rPr>
              <w:t>RCCS posture helps evaluate whether a system provides regulatory compliance coverage primitives</w:t>
            </w:r>
          </w:p>
        </w:tc>
        <w:tc>
          <w:tcPr>
            <w:tcW w:type="dxa" w:w="2556"/>
          </w:tcPr>
          <w:p>
            <w:pPr>
              <w:spacing w:after="0"/>
            </w:pPr>
            <w:r>
              <w:rPr>
                <w:rFonts w:ascii="Arial" w:hAnsi="Arial"/>
                <w:b w:val="0"/>
                <w:sz w:val="14"/>
              </w:rPr>
              <w:t>ALCS posture helps evaluate whether a system provides lifecycle responsibility object primitives</w:t>
            </w:r>
          </w:p>
        </w:tc>
        <w:tc>
          <w:tcPr>
            <w:tcW w:type="dxa" w:w="2556"/>
          </w:tcPr>
          <w:p>
            <w:pPr>
              <w:spacing w:after="0"/>
            </w:pPr>
            <w:r>
              <w:rPr>
                <w:rFonts w:ascii="Arial" w:hAnsi="Arial"/>
                <w:b w:val="0"/>
                <w:sz w:val="14"/>
              </w:rPr>
              <w:t>RCCS/ALCS postures are analytical tools for system posture review (Chapter 11-12); they are not product rankings, certifications, or procurement recommendations</w:t>
            </w:r>
          </w:p>
        </w:tc>
      </w:tr>
      <w:tr>
        <w:tc>
          <w:tcPr>
            <w:tcW w:type="dxa" w:w="2556"/>
          </w:tcPr>
          <w:p>
            <w:pPr>
              <w:spacing w:after="0"/>
            </w:pPr>
            <w:r>
              <w:rPr>
                <w:rFonts w:ascii="Arial" w:hAnsi="Arial"/>
                <w:b w:val="0"/>
                <w:sz w:val="14"/>
              </w:rPr>
              <w:t>Audit readiness</w:t>
            </w:r>
          </w:p>
        </w:tc>
        <w:tc>
          <w:tcPr>
            <w:tcW w:type="dxa" w:w="2556"/>
          </w:tcPr>
          <w:p>
            <w:pPr>
              <w:spacing w:after="0"/>
            </w:pPr>
            <w:r>
              <w:rPr>
                <w:rFonts w:ascii="Arial" w:hAnsi="Arial"/>
                <w:b w:val="0"/>
                <w:sz w:val="14"/>
              </w:rPr>
              <w:t>RCCS dimensions map to audit control objectives (e.g., RCCS-04 Record-Keeping -&gt; audit trail requirements)</w:t>
            </w:r>
          </w:p>
        </w:tc>
        <w:tc>
          <w:tcPr>
            <w:tcW w:type="dxa" w:w="2556"/>
          </w:tcPr>
          <w:p>
            <w:pPr>
              <w:spacing w:after="0"/>
            </w:pPr>
            <w:r>
              <w:rPr>
                <w:rFonts w:ascii="Arial" w:hAnsi="Arial"/>
                <w:b w:val="0"/>
                <w:sz w:val="14"/>
              </w:rPr>
              <w:t>ALCS dimensions map to lifecycle responsibility objects that auditors may request (e.g., ALCS-08 MAS Evidence Partitioning -&gt; evidence reconstruction)</w:t>
            </w:r>
          </w:p>
        </w:tc>
        <w:tc>
          <w:tcPr>
            <w:tcW w:type="dxa" w:w="2556"/>
          </w:tcPr>
          <w:p>
            <w:pPr>
              <w:spacing w:after="0"/>
            </w:pPr>
            <w:r>
              <w:rPr>
                <w:rFonts w:ascii="Arial" w:hAnsi="Arial"/>
                <w:b w:val="0"/>
                <w:sz w:val="14"/>
              </w:rPr>
              <w:t>RCCS/ALCS help prepare for audit but do not replace audit opinions, assurance reports, or legal compliance determinations</w:t>
            </w:r>
          </w:p>
        </w:tc>
      </w:tr>
      <w:tr>
        <w:tc>
          <w:tcPr>
            <w:tcW w:type="dxa" w:w="2556"/>
          </w:tcPr>
          <w:p>
            <w:pPr>
              <w:spacing w:after="0"/>
            </w:pPr>
            <w:r>
              <w:rPr>
                <w:rFonts w:ascii="Arial" w:hAnsi="Arial"/>
                <w:b w:val="0"/>
                <w:sz w:val="14"/>
              </w:rPr>
              <w:t>Evidence-based validation</w:t>
            </w:r>
          </w:p>
        </w:tc>
        <w:tc>
          <w:tcPr>
            <w:tcW w:type="dxa" w:w="2556"/>
          </w:tcPr>
          <w:p>
            <w:pPr>
              <w:spacing w:after="0"/>
            </w:pPr>
            <w:r>
              <w:rPr>
                <w:rFonts w:ascii="Arial" w:hAnsi="Arial"/>
                <w:b w:val="0"/>
                <w:sz w:val="14"/>
              </w:rPr>
              <w:t>RCCS dimensions help identify what regulatory compliance evidence should be validated</w:t>
            </w:r>
          </w:p>
        </w:tc>
        <w:tc>
          <w:tcPr>
            <w:tcW w:type="dxa" w:w="2556"/>
          </w:tcPr>
          <w:p>
            <w:pPr>
              <w:spacing w:after="0"/>
            </w:pPr>
            <w:r>
              <w:rPr>
                <w:rFonts w:ascii="Arial" w:hAnsi="Arial"/>
                <w:b w:val="0"/>
                <w:sz w:val="14"/>
              </w:rPr>
              <w:t>ALCS dimensions help identify what lifecycle responsibility objects should be validated</w:t>
            </w:r>
          </w:p>
        </w:tc>
        <w:tc>
          <w:tcPr>
            <w:tcW w:type="dxa" w:w="2556"/>
          </w:tcPr>
          <w:p>
            <w:pPr>
              <w:spacing w:after="0"/>
            </w:pPr>
            <w:r>
              <w:rPr>
                <w:rFonts w:ascii="Arial" w:hAnsi="Arial"/>
                <w:b w:val="0"/>
                <w:sz w:val="14"/>
              </w:rPr>
              <w:t>RCCS/ALCS help scope validation but do not replace validation protocols, validation providers, or validation results</w:t>
            </w:r>
          </w:p>
        </w:tc>
      </w:tr>
      <w:tr>
        <w:tc>
          <w:tcPr>
            <w:tcW w:type="dxa" w:w="2556"/>
          </w:tcPr>
          <w:p>
            <w:pPr>
              <w:spacing w:after="0"/>
            </w:pPr>
            <w:r>
              <w:rPr>
                <w:rFonts w:ascii="Arial" w:hAnsi="Arial"/>
                <w:b w:val="0"/>
                <w:sz w:val="14"/>
              </w:rPr>
              <w:t>Continuous improvement</w:t>
            </w:r>
          </w:p>
        </w:tc>
        <w:tc>
          <w:tcPr>
            <w:tcW w:type="dxa" w:w="2556"/>
          </w:tcPr>
          <w:p>
            <w:pPr>
              <w:spacing w:after="0"/>
            </w:pPr>
            <w:r>
              <w:rPr>
                <w:rFonts w:ascii="Arial" w:hAnsi="Arial"/>
                <w:b w:val="0"/>
                <w:sz w:val="14"/>
              </w:rPr>
              <w:t>RCCS dimensions help monitor regulatory compliance coverage over time</w:t>
            </w:r>
          </w:p>
        </w:tc>
        <w:tc>
          <w:tcPr>
            <w:tcW w:type="dxa" w:w="2556"/>
          </w:tcPr>
          <w:p>
            <w:pPr>
              <w:spacing w:after="0"/>
            </w:pPr>
            <w:r>
              <w:rPr>
                <w:rFonts w:ascii="Arial" w:hAnsi="Arial"/>
                <w:b w:val="0"/>
                <w:sz w:val="14"/>
              </w:rPr>
              <w:t>ALCS dimensions help monitor lifecycle responsibility object maturity over time</w:t>
            </w:r>
          </w:p>
        </w:tc>
        <w:tc>
          <w:tcPr>
            <w:tcW w:type="dxa" w:w="2556"/>
          </w:tcPr>
          <w:p>
            <w:pPr>
              <w:spacing w:after="0"/>
            </w:pPr>
            <w:r>
              <w:rPr>
                <w:rFonts w:ascii="Arial" w:hAnsi="Arial"/>
                <w:b w:val="0"/>
                <w:sz w:val="14"/>
              </w:rPr>
              <w:t>RCCS/ALCS are monitoring tools, not legal compliance scores; continuous improvement requires organizational governance, not just scoring</w:t>
            </w:r>
          </w:p>
        </w:tc>
      </w:tr>
    </w:tbl>
    <w:p>
      <w:pPr>
        <w:spacing w:after="56"/>
      </w:pPr>
      <w:r>
        <w:t>Interpretation: RCCS and ALCS are analytical tools that help enterprises measure progress and identify gaps. They are not legal compliance scores, certifications, or regulatory approvals. Enterprises should use RCCS/ALCS to inform organizational governance decisions, not to replace legal review or regulatory interpretation.</w:t>
      </w:r>
    </w:p>
    <w:p>
      <w:pPr>
        <w:pStyle w:val="Heading2"/>
      </w:pPr>
      <w:r>
        <w:t>17.6 Scaling from Pilot to Production</w:t>
      </w:r>
    </w:p>
    <w:p>
      <w:pPr>
        <w:spacing w:after="56"/>
      </w:pPr>
      <w:r>
        <w:t>Scaling from pilot to production requires organizational commitment, integration with existing enterprise controls, and continuous improvement. Enterprises should:</w:t>
      </w:r>
    </w:p>
    <w:p>
      <w:pPr>
        <w:pStyle w:val="ListNumber"/>
        <w:spacing w:after="56"/>
      </w:pPr>
      <w:r>
        <w:t>Extend pilot learnings to additional workflows: Use pilot project learnings to extend lifecycle governance to additional agentic workflows. Prioritize workflows that address Chapter 15 failure scenarios or that operate in regulated contexts.</w:t>
      </w:r>
    </w:p>
    <w:p>
      <w:pPr>
        <w:pStyle w:val="ListNumber"/>
        <w:spacing w:after="56"/>
      </w:pPr>
      <w:r>
        <w:t>Integrate with existing enterprise controls: Use Table T-17-03 to integrate lifecycle governance with existing audit, privacy, security, procurement, incident response, compliance, model risk, and business continuity controls.</w:t>
      </w:r>
    </w:p>
    <w:p>
      <w:pPr>
        <w:pStyle w:val="ListNumber"/>
        <w:spacing w:after="56"/>
      </w:pPr>
      <w:r>
        <w:t>Operationalize all lifecycle responsibility objects: Use Table T-17-04 to operationalize all lifecycle responsibility objects across all agentic workflows. Ensure that authority boundaries, responsibility mappings, evidence chains, privacy mappings, validation protocols, and remediation workflows are operational.</w:t>
      </w:r>
    </w:p>
    <w:p>
      <w:pPr>
        <w:pStyle w:val="ListNumber"/>
        <w:spacing w:after="56"/>
      </w:pPr>
      <w:r>
        <w:t>Implement continuous improvement: Monitor lifecycle governance effectiveness using lifecycle responsibility objects as evidence artifacts. Use RCCS/ALCS as analytical tools to identify gaps and measure progress. Implement continuous improvement workflows to address gaps and refine lifecycle governance as agentic systems evolve.</w:t>
      </w:r>
    </w:p>
    <w:p>
      <w:pPr>
        <w:pStyle w:val="ListNumber"/>
        <w:spacing w:after="56"/>
      </w:pPr>
      <w:r>
        <w:t>Prepare for evidence-based validation: Implement privacy-preserving validation protocols (e.g., evidence-based validation pattern from Chapter 14) to prepare for qualified review, which may include internal governance review, audit review, validation provider review, or other context-appropriate reviewers. Ensure that evidence can be reviewed without exposing sensitive data.</w:t>
      </w:r>
    </w:p>
    <w:p>
      <w:pPr>
        <w:pStyle w:val="ListNumber"/>
        <w:spacing w:after="56"/>
      </w:pPr>
      <w:r>
        <w:t>Use Chapter 15 scenarios as test cases: Use Chapter 15 enterprise failure scenarios as test cases for lifecycle governance design. Ensure that lifecycle governance prevents or mitigates the eight failure scenarios: authority boundary failure, evidence chain failure, accepted outcome failure, cross-project reuse failure, privacy validation failure, processor chain failure, vendor/runtime substitution failure, and remediation closure failure.</w:t>
      </w:r>
    </w:p>
    <w:p>
      <w:pPr>
        <w:pStyle w:val="ListNumber"/>
        <w:spacing w:after="56"/>
      </w:pPr>
      <w:r>
        <w:t>Contribute learnings where appropriate: As lifecycle governance matures, where appropriate, contribute learnings to standards, industry, or regulatory dialogue. Enterprises may share learnings with industry peers, participate in standards development, or engage with regulators where doing so fits their role, jurisdiction, and risk posture.</w:t>
      </w:r>
    </w:p>
    <w:p>
      <w:pPr>
        <w:spacing w:after="56"/>
      </w:pPr>
      <w:r>
        <w:t>Scaling is not a one-time event. It is a continuous process that requires organizational commitment, integration with existing controls, and continuous improvement.</w:t>
      </w:r>
    </w:p>
    <w:p>
      <w:pPr>
        <w:pStyle w:val="Heading2"/>
      </w:pPr>
      <w:r>
        <w:t>17.7 Bridge to Conclusion</w:t>
      </w:r>
    </w:p>
    <w:p>
      <w:pPr>
        <w:spacing w:after="56"/>
      </w:pPr>
      <w:r>
        <w:t>Chapter 17 has presented an adoption roadmap for enterprises implementing AI Agent Lifecycle Governance. The roadmap provides a staged path from lifecycle governance awareness (Stage 0) to scaled operational capability (Stage 7). The roadmap integrates lifecycle governance with existing enterprise controls and uses RCCS/ALCS as analytical tools, not legal compliance scores.</w:t>
      </w:r>
    </w:p>
    <w:p>
      <w:pPr>
        <w:spacing w:after="56"/>
      </w:pPr>
      <w:r>
        <w:t>The bridge from adoption roadmap (Chapter 17) to conclusion (Chapter 18) is the recognition that AI Agent Lifecycle Governance is not a theoretical framework. It is a practical necessity for enterprises deploying agentic AI systems.</w:t>
      </w:r>
    </w:p>
    <w:p>
      <w:pPr>
        <w:spacing w:after="56"/>
      </w:pPr>
      <w:r>
        <w:t>The white paper has defined the missing layer (Chapter 2), identified the sixteen Missing Regulatory Objects (Chapter 6), introduced RCCS and ALCS as analytical frameworks (Chapters 7-8), mapped existing systems (Chapters 11-12), examined evidence-based validation patterns (Chapter 14), demonstrated enterprise failure scenarios (Chapter 15), and presented an adoption roadmap (Chapter 17).</w:t>
      </w:r>
    </w:p>
    <w:p>
      <w:pPr>
        <w:spacing w:after="56"/>
      </w:pPr>
      <w:r>
        <w:t>Chapter 18 will conclude the white paper with a restatement of the core thesis, a summary of contributions, a statement of boundaries, and a call to action.</w:t>
      </w:r>
    </w:p>
    <w:p>
      <w:pPr>
        <w:pStyle w:val="Heading1"/>
      </w:pPr>
      <w:r>
        <w:t>18. Conclusion</w:t>
      </w:r>
    </w:p>
    <w:p>
      <w:pPr>
        <w:spacing w:after="56"/>
      </w:pPr>
      <w:r>
        <w:t>Version: v0.3.2-FRC-R3</w:t>
      </w:r>
    </w:p>
    <w:p>
      <w:pPr>
        <w:pStyle w:val="Heading2"/>
      </w:pPr>
      <w:r>
        <w:t>18.0 Core Thesis Restatement</w:t>
      </w:r>
    </w:p>
    <w:p>
      <w:pPr>
        <w:spacing w:after="56"/>
      </w:pPr>
      <w:r>
        <w:t>AI Agent / MAS compliance is not only model compliance. It is lifecycle responsibility compliance.</w:t>
      </w:r>
    </w:p>
    <w:p>
      <w:pPr>
        <w:spacing w:after="56"/>
      </w:pPr>
      <w:r>
        <w:t>This white paper has argued that a missing layer exists between model governance and enterprise trust. Model-centric governance addresses model accuracy, fairness, safety, and explainability. Enterprise trust requires audit readiness, regulatory compliance coverage, privacy protection, accountability, and dispute resolution. The missing layer is AI Agent Lifecycle Governance.</w:t>
      </w:r>
    </w:p>
    <w:p>
      <w:pPr>
        <w:spacing w:after="56"/>
      </w:pPr>
      <w:r>
        <w:t>AI Agent Lifecycle Governance addresses the lifecycle responsibility objects that emerge when AI systems move from inference to action, from single-model execution to multi-agent collaboration, from human-supervised workflows to autonomous delegation. These lifecycle responsibility objects include:</w:t>
      </w:r>
    </w:p>
    <w:p>
      <w:pPr>
        <w:pStyle w:val="ListBullet"/>
        <w:spacing w:after="56"/>
      </w:pPr>
      <w:r>
        <w:t>Human-role-to-MAS responsibility mapping</w:t>
      </w:r>
    </w:p>
    <w:p>
      <w:pPr>
        <w:pStyle w:val="ListBullet"/>
        <w:spacing w:after="56"/>
      </w:pPr>
      <w:r>
        <w:t>Delegated authority boundaries</w:t>
      </w:r>
    </w:p>
    <w:p>
      <w:pPr>
        <w:pStyle w:val="ListBullet"/>
        <w:spacing w:after="56"/>
      </w:pPr>
      <w:r>
        <w:t>Accepted outcome compliance</w:t>
      </w:r>
    </w:p>
    <w:p>
      <w:pPr>
        <w:pStyle w:val="ListBullet"/>
        <w:spacing w:after="56"/>
      </w:pPr>
      <w:r>
        <w:t>Tool-action liability boundaries</w:t>
      </w:r>
    </w:p>
    <w:p>
      <w:pPr>
        <w:pStyle w:val="ListBullet"/>
        <w:spacing w:after="56"/>
      </w:pPr>
      <w:r>
        <w:t>Responsibility transfer across agents</w:t>
      </w:r>
    </w:p>
    <w:p>
      <w:pPr>
        <w:pStyle w:val="ListBullet"/>
        <w:spacing w:after="56"/>
      </w:pPr>
      <w:r>
        <w:t>Authority drift detection</w:t>
      </w:r>
    </w:p>
    <w:p>
      <w:pPr>
        <w:pStyle w:val="ListBullet"/>
        <w:spacing w:after="56"/>
      </w:pPr>
      <w:r>
        <w:t>MAS evidence partitioning</w:t>
      </w:r>
    </w:p>
    <w:p>
      <w:pPr>
        <w:pStyle w:val="ListBullet"/>
        <w:spacing w:after="56"/>
      </w:pPr>
      <w:r>
        <w:t>Cross-project reuse compliance</w:t>
      </w:r>
    </w:p>
    <w:p>
      <w:pPr>
        <w:pStyle w:val="ListBullet"/>
        <w:spacing w:after="56"/>
      </w:pPr>
      <w:r>
        <w:t>Privacy/GDPR lifecycle mapping</w:t>
      </w:r>
    </w:p>
    <w:p>
      <w:pPr>
        <w:pStyle w:val="ListBullet"/>
        <w:spacing w:after="56"/>
      </w:pPr>
      <w:r>
        <w:t>Privacy-preserving third-party validation</w:t>
      </w:r>
    </w:p>
    <w:p>
      <w:pPr>
        <w:pStyle w:val="ListBullet"/>
        <w:spacing w:after="56"/>
      </w:pPr>
      <w:r>
        <w:t>Evidence minimization and selective disclosure</w:t>
      </w:r>
    </w:p>
    <w:p>
      <w:pPr>
        <w:pStyle w:val="ListBullet"/>
        <w:spacing w:after="56"/>
      </w:pPr>
      <w:r>
        <w:t>Data subject rights vs evidence retention reconciliation</w:t>
      </w:r>
    </w:p>
    <w:p>
      <w:pPr>
        <w:pStyle w:val="ListBullet"/>
        <w:spacing w:after="56"/>
      </w:pPr>
      <w:r>
        <w:t>Third-party processor/subprocessor chain mapping</w:t>
      </w:r>
    </w:p>
    <w:p>
      <w:pPr>
        <w:pStyle w:val="ListBullet"/>
        <w:spacing w:after="56"/>
      </w:pPr>
      <w:r>
        <w:t>Vendor/model/runtime substitution conformance</w:t>
      </w:r>
    </w:p>
    <w:p>
      <w:pPr>
        <w:pStyle w:val="ListBullet"/>
        <w:spacing w:after="56"/>
      </w:pPr>
      <w:r>
        <w:t>Incident, dispute, and remediation closure</w:t>
      </w:r>
    </w:p>
    <w:p>
      <w:pPr>
        <w:spacing w:after="56"/>
      </w:pPr>
      <w:r>
        <w:t>Execution is not delivery, and execution is not compliance. Orchestration logs record execution. Evidence chains record lifecycle responsibility. Model governance addresses model behavior. Lifecycle governance addresses responsibility for outcomes.</w:t>
      </w:r>
    </w:p>
    <w:p>
      <w:pPr>
        <w:spacing w:after="56"/>
      </w:pPr>
      <w:r>
        <w:t>The transition from model governance to agentic lifecycle conformance is not a theoretical exercise. It is a practical necessity for enterprises deploying agentic AI systems in regulated contexts.</w:t>
      </w:r>
    </w:p>
    <w:p>
      <w:pPr>
        <w:pStyle w:val="Heading2"/>
      </w:pPr>
      <w:r>
        <w:t>18.1 What This White Paper Provides</w:t>
      </w:r>
    </w:p>
    <w:p>
      <w:pPr>
        <w:spacing w:after="56"/>
      </w:pPr>
      <w:r>
        <w:t>This white paper provides a framework for AI Agent Lifecycle Governance. The framework consists of eight core contributions.</w:t>
      </w:r>
    </w:p>
    <w:p>
      <w:pPr>
        <w:keepNext/>
      </w:pPr>
      <w:r>
        <w:rPr>
          <w:b/>
          <w:sz w:val="16"/>
        </w:rPr>
        <w:t>Table T-18-01: White Paper Contribution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Contribution</w:t>
            </w:r>
          </w:p>
        </w:tc>
        <w:tc>
          <w:tcPr>
            <w:tcW w:type="dxa" w:w="2556"/>
          </w:tcPr>
          <w:p>
            <w:pPr>
              <w:spacing w:after="0"/>
            </w:pPr>
            <w:r>
              <w:rPr>
                <w:rFonts w:ascii="Arial" w:hAnsi="Arial"/>
                <w:b/>
                <w:sz w:val="14"/>
              </w:rPr>
              <w:t>Purpose</w:t>
            </w:r>
          </w:p>
        </w:tc>
        <w:tc>
          <w:tcPr>
            <w:tcW w:type="dxa" w:w="2556"/>
          </w:tcPr>
          <w:p>
            <w:pPr>
              <w:spacing w:after="0"/>
            </w:pPr>
            <w:r>
              <w:rPr>
                <w:rFonts w:ascii="Arial" w:hAnsi="Arial"/>
                <w:b/>
                <w:sz w:val="14"/>
              </w:rPr>
              <w:t>Practical Use</w:t>
            </w:r>
          </w:p>
        </w:tc>
        <w:tc>
          <w:tcPr>
            <w:tcW w:type="dxa" w:w="2556"/>
          </w:tcPr>
          <w:p>
            <w:pPr>
              <w:spacing w:after="0"/>
            </w:pPr>
            <w:r>
              <w:rPr>
                <w:rFonts w:ascii="Arial" w:hAnsi="Arial"/>
                <w:b/>
                <w:sz w:val="14"/>
              </w:rPr>
              <w:t>Boundary</w:t>
            </w:r>
          </w:p>
        </w:tc>
      </w:tr>
      <w:tr>
        <w:tc>
          <w:tcPr>
            <w:tcW w:type="dxa" w:w="2556"/>
          </w:tcPr>
          <w:p>
            <w:pPr>
              <w:spacing w:after="0"/>
            </w:pPr>
            <w:r>
              <w:rPr>
                <w:rFonts w:ascii="Arial" w:hAnsi="Arial"/>
                <w:b w:val="0"/>
                <w:sz w:val="14"/>
              </w:rPr>
              <w:t>AI Agent Lifecycle Governance (Chapter 2)</w:t>
            </w:r>
          </w:p>
        </w:tc>
        <w:tc>
          <w:tcPr>
            <w:tcW w:type="dxa" w:w="2556"/>
          </w:tcPr>
          <w:p>
            <w:pPr>
              <w:spacing w:after="0"/>
            </w:pPr>
            <w:r>
              <w:rPr>
                <w:rFonts w:ascii="Arial" w:hAnsi="Arial"/>
                <w:b w:val="0"/>
                <w:sz w:val="14"/>
              </w:rPr>
              <w:t>Define the missing layer between model governance and enterprise trust</w:t>
            </w:r>
          </w:p>
        </w:tc>
        <w:tc>
          <w:tcPr>
            <w:tcW w:type="dxa" w:w="2556"/>
          </w:tcPr>
          <w:p>
            <w:pPr>
              <w:spacing w:after="0"/>
            </w:pPr>
            <w:r>
              <w:rPr>
                <w:rFonts w:ascii="Arial" w:hAnsi="Arial"/>
                <w:b w:val="0"/>
                <w:sz w:val="14"/>
              </w:rPr>
              <w:t>Enterprises can use this framework to identify lifecycle governance gaps and design lifecycle responsibility objects</w:t>
            </w:r>
          </w:p>
        </w:tc>
        <w:tc>
          <w:tcPr>
            <w:tcW w:type="dxa" w:w="2556"/>
          </w:tcPr>
          <w:p>
            <w:pPr>
              <w:spacing w:after="0"/>
            </w:pPr>
            <w:r>
              <w:rPr>
                <w:rFonts w:ascii="Arial" w:hAnsi="Arial"/>
                <w:b w:val="0"/>
                <w:sz w:val="14"/>
              </w:rPr>
              <w:t>This is a governance framework, not a legal compliance procedure, certification program, or regulatory approval process</w:t>
            </w:r>
          </w:p>
        </w:tc>
      </w:tr>
      <w:tr>
        <w:tc>
          <w:tcPr>
            <w:tcW w:type="dxa" w:w="2556"/>
          </w:tcPr>
          <w:p>
            <w:pPr>
              <w:spacing w:after="0"/>
            </w:pPr>
            <w:r>
              <w:rPr>
                <w:rFonts w:ascii="Arial" w:hAnsi="Arial"/>
                <w:b w:val="0"/>
                <w:sz w:val="14"/>
              </w:rPr>
              <w:t>Sixteen Missing Regulatory Objects (Chapter 6)</w:t>
            </w:r>
          </w:p>
        </w:tc>
        <w:tc>
          <w:tcPr>
            <w:tcW w:type="dxa" w:w="2556"/>
          </w:tcPr>
          <w:p>
            <w:pPr>
              <w:spacing w:after="0"/>
            </w:pPr>
            <w:r>
              <w:rPr>
                <w:rFonts w:ascii="Arial" w:hAnsi="Arial"/>
                <w:b w:val="0"/>
                <w:sz w:val="14"/>
              </w:rPr>
              <w:t>Identify the lifecycle responsibility objects that model-centric governance does not address</w:t>
            </w:r>
          </w:p>
        </w:tc>
        <w:tc>
          <w:tcPr>
            <w:tcW w:type="dxa" w:w="2556"/>
          </w:tcPr>
          <w:p>
            <w:pPr>
              <w:spacing w:after="0"/>
            </w:pPr>
            <w:r>
              <w:rPr>
                <w:rFonts w:ascii="Arial" w:hAnsi="Arial"/>
                <w:b w:val="0"/>
                <w:sz w:val="14"/>
              </w:rPr>
              <w:t>Enterprises can use the sixteen MROs as a checklist for lifecycle governance design; auditors can use MROs to scope lifecycle governance reviews</w:t>
            </w:r>
          </w:p>
        </w:tc>
        <w:tc>
          <w:tcPr>
            <w:tcW w:type="dxa" w:w="2556"/>
          </w:tcPr>
          <w:p>
            <w:pPr>
              <w:spacing w:after="0"/>
            </w:pPr>
            <w:r>
              <w:rPr>
                <w:rFonts w:ascii="Arial" w:hAnsi="Arial"/>
                <w:b w:val="0"/>
                <w:sz w:val="14"/>
              </w:rPr>
              <w:t>MROs are governance objects, not legal requirements; MRO presence does not prove legal compliance; MRO absence does not prove non-compliance</w:t>
            </w:r>
          </w:p>
        </w:tc>
      </w:tr>
      <w:tr>
        <w:tc>
          <w:tcPr>
            <w:tcW w:type="dxa" w:w="2556"/>
          </w:tcPr>
          <w:p>
            <w:pPr>
              <w:spacing w:after="0"/>
            </w:pPr>
            <w:r>
              <w:rPr>
                <w:rFonts w:ascii="Arial" w:hAnsi="Arial"/>
                <w:b w:val="0"/>
                <w:sz w:val="14"/>
              </w:rPr>
              <w:t>RCCS — Regulatory Compliance Coverage Score (Chapter 7)</w:t>
            </w:r>
          </w:p>
        </w:tc>
        <w:tc>
          <w:tcPr>
            <w:tcW w:type="dxa" w:w="2556"/>
          </w:tcPr>
          <w:p>
            <w:pPr>
              <w:spacing w:after="0"/>
            </w:pPr>
            <w:r>
              <w:rPr>
                <w:rFonts w:ascii="Arial" w:hAnsi="Arial"/>
                <w:b w:val="0"/>
                <w:sz w:val="14"/>
              </w:rPr>
              <w:t>Measure regulatory compliance coverage across ten dimensions</w:t>
            </w:r>
          </w:p>
        </w:tc>
        <w:tc>
          <w:tcPr>
            <w:tcW w:type="dxa" w:w="2556"/>
          </w:tcPr>
          <w:p>
            <w:pPr>
              <w:spacing w:after="0"/>
            </w:pPr>
            <w:r>
              <w:rPr>
                <w:rFonts w:ascii="Arial" w:hAnsi="Arial"/>
                <w:b w:val="0"/>
                <w:sz w:val="14"/>
              </w:rPr>
              <w:t>Enterprises can use RCCS to identify regulatory compliance coverage gaps; system evaluators can use RCCS to structure analytical posture review</w:t>
            </w:r>
          </w:p>
        </w:tc>
        <w:tc>
          <w:tcPr>
            <w:tcW w:type="dxa" w:w="2556"/>
          </w:tcPr>
          <w:p>
            <w:pPr>
              <w:spacing w:after="0"/>
            </w:pPr>
            <w:r>
              <w:rPr>
                <w:rFonts w:ascii="Arial" w:hAnsi="Arial"/>
                <w:b w:val="0"/>
                <w:sz w:val="14"/>
              </w:rPr>
              <w:t>RCCS is an analytical tool, not a legal compliance score; high RCCS does not prove legal compliance; low RCCS does not prove non-compliance</w:t>
            </w:r>
          </w:p>
        </w:tc>
      </w:tr>
      <w:tr>
        <w:tc>
          <w:tcPr>
            <w:tcW w:type="dxa" w:w="2556"/>
          </w:tcPr>
          <w:p>
            <w:pPr>
              <w:spacing w:after="0"/>
            </w:pPr>
            <w:r>
              <w:rPr>
                <w:rFonts w:ascii="Arial" w:hAnsi="Arial"/>
                <w:b w:val="0"/>
                <w:sz w:val="14"/>
              </w:rPr>
              <w:t>ALCS — Agentic Lifecycle Conformance Score (Chapter 8)</w:t>
            </w:r>
          </w:p>
        </w:tc>
        <w:tc>
          <w:tcPr>
            <w:tcW w:type="dxa" w:w="2556"/>
          </w:tcPr>
          <w:p>
            <w:pPr>
              <w:spacing w:after="0"/>
            </w:pPr>
            <w:r>
              <w:rPr>
                <w:rFonts w:ascii="Arial" w:hAnsi="Arial"/>
                <w:b w:val="0"/>
                <w:sz w:val="14"/>
              </w:rPr>
              <w:t>Measure lifecycle responsibility object maturity across fifteen dimensions</w:t>
            </w:r>
          </w:p>
        </w:tc>
        <w:tc>
          <w:tcPr>
            <w:tcW w:type="dxa" w:w="2556"/>
          </w:tcPr>
          <w:p>
            <w:pPr>
              <w:spacing w:after="0"/>
            </w:pPr>
            <w:r>
              <w:rPr>
                <w:rFonts w:ascii="Arial" w:hAnsi="Arial"/>
                <w:b w:val="0"/>
                <w:sz w:val="14"/>
              </w:rPr>
              <w:t>Enterprises can use ALCS to identify lifecycle responsibility object gaps; system evaluators can use ALCS to structure lifecycle conformance posture review</w:t>
            </w:r>
          </w:p>
        </w:tc>
        <w:tc>
          <w:tcPr>
            <w:tcW w:type="dxa" w:w="2556"/>
          </w:tcPr>
          <w:p>
            <w:pPr>
              <w:spacing w:after="0"/>
            </w:pPr>
            <w:r>
              <w:rPr>
                <w:rFonts w:ascii="Arial" w:hAnsi="Arial"/>
                <w:b w:val="0"/>
                <w:sz w:val="14"/>
              </w:rPr>
              <w:t>ALCS is an analytical tool, not a legal compliance score; high ALCS does not prove legal compliance; low ALCS does not prove non-compliance</w:t>
            </w:r>
          </w:p>
        </w:tc>
      </w:tr>
      <w:tr>
        <w:tc>
          <w:tcPr>
            <w:tcW w:type="dxa" w:w="2556"/>
          </w:tcPr>
          <w:p>
            <w:pPr>
              <w:spacing w:after="0"/>
            </w:pPr>
            <w:r>
              <w:rPr>
                <w:rFonts w:ascii="Arial" w:hAnsi="Arial"/>
                <w:b w:val="0"/>
                <w:sz w:val="14"/>
              </w:rPr>
              <w:t>System-Category Mapping (Chapters 11-12)</w:t>
            </w:r>
          </w:p>
        </w:tc>
        <w:tc>
          <w:tcPr>
            <w:tcW w:type="dxa" w:w="2556"/>
          </w:tcPr>
          <w:p>
            <w:pPr>
              <w:spacing w:after="0"/>
            </w:pPr>
            <w:r>
              <w:rPr>
                <w:rFonts w:ascii="Arial" w:hAnsi="Arial"/>
                <w:b w:val="0"/>
                <w:sz w:val="14"/>
              </w:rPr>
              <w:t>Map eight systems across four categories by RCCS/ALCS posture and lifecycle gaps</w:t>
            </w:r>
          </w:p>
        </w:tc>
        <w:tc>
          <w:tcPr>
            <w:tcW w:type="dxa" w:w="2556"/>
          </w:tcPr>
          <w:p>
            <w:pPr>
              <w:spacing w:after="0"/>
            </w:pPr>
            <w:r>
              <w:rPr>
                <w:rFonts w:ascii="Arial" w:hAnsi="Arial"/>
                <w:b w:val="0"/>
                <w:sz w:val="14"/>
              </w:rPr>
              <w:t>System mappings organize qualitative, source-qualified posture differences across system categories; system designers can use mappings to identify lifecycle governance design patterns</w:t>
            </w:r>
          </w:p>
        </w:tc>
        <w:tc>
          <w:tcPr>
            <w:tcW w:type="dxa" w:w="2556"/>
          </w:tcPr>
          <w:p>
            <w:pPr>
              <w:spacing w:after="0"/>
            </w:pPr>
            <w:r>
              <w:rPr>
                <w:rFonts w:ascii="Arial" w:hAnsi="Arial"/>
                <w:b w:val="0"/>
                <w:sz w:val="14"/>
              </w:rPr>
              <w:t>System mappings are analytical tools, not product rankings, certifications, procurement recommendations, or vendor endorsements</w:t>
            </w:r>
          </w:p>
        </w:tc>
      </w:tr>
      <w:tr>
        <w:tc>
          <w:tcPr>
            <w:tcW w:type="dxa" w:w="2556"/>
          </w:tcPr>
          <w:p>
            <w:pPr>
              <w:spacing w:after="0"/>
            </w:pPr>
            <w:r>
              <w:rPr>
                <w:rFonts w:ascii="Arial" w:hAnsi="Arial"/>
                <w:b w:val="0"/>
                <w:sz w:val="14"/>
              </w:rPr>
              <w:t>Evidence-Based Validation Pattern (Chapter 14)</w:t>
            </w:r>
          </w:p>
        </w:tc>
        <w:tc>
          <w:tcPr>
            <w:tcW w:type="dxa" w:w="2556"/>
          </w:tcPr>
          <w:p>
            <w:pPr>
              <w:spacing w:after="0"/>
            </w:pPr>
            <w:r>
              <w:rPr>
                <w:rFonts w:ascii="Arial" w:hAnsi="Arial"/>
                <w:b w:val="0"/>
                <w:sz w:val="14"/>
              </w:rPr>
              <w:t>Define a reusable methodology for privacy-preserving qualified review of lifecycle responsibility objects</w:t>
            </w:r>
          </w:p>
        </w:tc>
        <w:tc>
          <w:tcPr>
            <w:tcW w:type="dxa" w:w="2556"/>
          </w:tcPr>
          <w:p>
            <w:pPr>
              <w:spacing w:after="0"/>
            </w:pPr>
            <w:r>
              <w:rPr>
                <w:rFonts w:ascii="Arial" w:hAnsi="Arial"/>
                <w:b w:val="0"/>
                <w:sz w:val="14"/>
              </w:rPr>
              <w:t>Enterprises can use the evidence-based validation pattern to prepare for qualified review without exposing sensitive data; validation providers can use the pattern to design privacy-preserving validation protocols</w:t>
            </w:r>
          </w:p>
        </w:tc>
        <w:tc>
          <w:tcPr>
            <w:tcW w:type="dxa" w:w="2556"/>
          </w:tcPr>
          <w:p>
            <w:pPr>
              <w:spacing w:after="0"/>
            </w:pPr>
            <w:r>
              <w:rPr>
                <w:rFonts w:ascii="Arial" w:hAnsi="Arial"/>
                <w:b w:val="0"/>
                <w:sz w:val="14"/>
              </w:rPr>
              <w:t>The pattern is a methodology, not a certification program; validation results do not prove legal compliance; Validation Lab is one non-certifying example, not the only validation path</w:t>
            </w:r>
          </w:p>
        </w:tc>
      </w:tr>
      <w:tr>
        <w:tc>
          <w:tcPr>
            <w:tcW w:type="dxa" w:w="2556"/>
          </w:tcPr>
          <w:p>
            <w:pPr>
              <w:spacing w:after="0"/>
            </w:pPr>
            <w:r>
              <w:rPr>
                <w:rFonts w:ascii="Arial" w:hAnsi="Arial"/>
                <w:b w:val="0"/>
                <w:sz w:val="14"/>
              </w:rPr>
              <w:t>Enterprise Failure Scenarios (Chapter 15)</w:t>
            </w:r>
          </w:p>
        </w:tc>
        <w:tc>
          <w:tcPr>
            <w:tcW w:type="dxa" w:w="2556"/>
          </w:tcPr>
          <w:p>
            <w:pPr>
              <w:spacing w:after="0"/>
            </w:pPr>
            <w:r>
              <w:rPr>
                <w:rFonts w:ascii="Arial" w:hAnsi="Arial"/>
                <w:b w:val="0"/>
                <w:sz w:val="14"/>
              </w:rPr>
              <w:t>Use illustrative, hypothetical scenarios to show where lifecycle governance gaps may create predictable enterprise failure patterns</w:t>
            </w:r>
          </w:p>
        </w:tc>
        <w:tc>
          <w:tcPr>
            <w:tcW w:type="dxa" w:w="2556"/>
          </w:tcPr>
          <w:p>
            <w:pPr>
              <w:spacing w:after="0"/>
            </w:pPr>
            <w:r>
              <w:rPr>
                <w:rFonts w:ascii="Arial" w:hAnsi="Arial"/>
                <w:b w:val="0"/>
                <w:sz w:val="14"/>
              </w:rPr>
              <w:t>Enterprises can use failure scenarios as test cases for lifecycle governance design; risk managers can use scenarios to assess lifecycle governance risk</w:t>
            </w:r>
          </w:p>
        </w:tc>
        <w:tc>
          <w:tcPr>
            <w:tcW w:type="dxa" w:w="2556"/>
          </w:tcPr>
          <w:p>
            <w:pPr>
              <w:spacing w:after="0"/>
            </w:pPr>
            <w:r>
              <w:rPr>
                <w:rFonts w:ascii="Arial" w:hAnsi="Arial"/>
                <w:b w:val="0"/>
                <w:sz w:val="14"/>
              </w:rPr>
              <w:t>Scenarios are illustrative and hypothetical, not claims that agentic AI is uniquely unsafe or that any specific vendor, platform, or organization failed; scenarios show where model-centric governance becomes insufficient, not that lifecycle governance eliminates all risk</w:t>
            </w:r>
          </w:p>
        </w:tc>
      </w:tr>
      <w:tr>
        <w:tc>
          <w:tcPr>
            <w:tcW w:type="dxa" w:w="2556"/>
          </w:tcPr>
          <w:p>
            <w:pPr>
              <w:spacing w:after="0"/>
            </w:pPr>
            <w:r>
              <w:rPr>
                <w:rFonts w:ascii="Arial" w:hAnsi="Arial"/>
                <w:b w:val="0"/>
                <w:sz w:val="14"/>
              </w:rPr>
              <w:t>Adoption Roadmap (Chapter 17)</w:t>
            </w:r>
          </w:p>
        </w:tc>
        <w:tc>
          <w:tcPr>
            <w:tcW w:type="dxa" w:w="2556"/>
          </w:tcPr>
          <w:p>
            <w:pPr>
              <w:spacing w:after="0"/>
            </w:pPr>
            <w:r>
              <w:rPr>
                <w:rFonts w:ascii="Arial" w:hAnsi="Arial"/>
                <w:b w:val="0"/>
                <w:sz w:val="14"/>
              </w:rPr>
              <w:t>Provide a staged path from lifecycle governance awareness to scaled operational capability</w:t>
            </w:r>
          </w:p>
        </w:tc>
        <w:tc>
          <w:tcPr>
            <w:tcW w:type="dxa" w:w="2556"/>
          </w:tcPr>
          <w:p>
            <w:pPr>
              <w:spacing w:after="0"/>
            </w:pPr>
            <w:r>
              <w:rPr>
                <w:rFonts w:ascii="Arial" w:hAnsi="Arial"/>
                <w:b w:val="0"/>
                <w:sz w:val="14"/>
              </w:rPr>
              <w:t>Enterprises can use the adoption roadmap to operationalize lifecycle responsibility objects; governance teams can use the roadmap to integrate lifecycle governance with existing enterprise controls</w:t>
            </w:r>
          </w:p>
        </w:tc>
        <w:tc>
          <w:tcPr>
            <w:tcW w:type="dxa" w:w="2556"/>
          </w:tcPr>
          <w:p>
            <w:pPr>
              <w:spacing w:after="0"/>
            </w:pPr>
            <w:r>
              <w:rPr>
                <w:rFonts w:ascii="Arial" w:hAnsi="Arial"/>
                <w:b w:val="0"/>
                <w:sz w:val="14"/>
              </w:rPr>
              <w:t>The roadmap is a practical guide, not a certification checklist, legal compliance procedure, or regulatory approval process</w:t>
            </w:r>
          </w:p>
        </w:tc>
      </w:tr>
    </w:tbl>
    <w:p>
      <w:pPr>
        <w:spacing w:after="56"/>
      </w:pPr>
      <w:r>
        <w:t>Interpretation: These eight contributions provide a framework for AI Agent Lifecycle Governance. The framework is designed to help enterprises identify lifecycle governance gaps, operationalize lifecycle responsibility objects, and integrate lifecycle governance with existing enterprise controls.</w:t>
      </w:r>
    </w:p>
    <w:p>
      <w:pPr>
        <w:pStyle w:val="Heading2"/>
      </w:pPr>
      <w:r>
        <w:t>18.2 What This White Paper Does Not Provide</w:t>
      </w:r>
    </w:p>
    <w:p>
      <w:pPr>
        <w:spacing w:after="56"/>
      </w:pPr>
      <w:r>
        <w:t>This white paper is a governance framework, not a legal compliance procedure, certification program, or regulatory approval process. The following table clarifies what this paper says and what it does not say.</w:t>
      </w:r>
    </w:p>
    <w:p>
      <w:pPr>
        <w:keepNext/>
      </w:pPr>
      <w:r>
        <w:rPr>
          <w:b/>
          <w:sz w:val="16"/>
        </w:rPr>
        <w:t>Table T-18-02: Non-Claims and Boundaries</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Area</w:t>
            </w:r>
          </w:p>
        </w:tc>
        <w:tc>
          <w:tcPr>
            <w:tcW w:type="dxa" w:w="3408"/>
          </w:tcPr>
          <w:p>
            <w:pPr>
              <w:spacing w:after="0"/>
            </w:pPr>
            <w:r>
              <w:rPr>
                <w:rFonts w:ascii="Arial" w:hAnsi="Arial"/>
                <w:b/>
                <w:sz w:val="14"/>
              </w:rPr>
              <w:t>This Paper Says</w:t>
            </w:r>
          </w:p>
        </w:tc>
        <w:tc>
          <w:tcPr>
            <w:tcW w:type="dxa" w:w="3408"/>
          </w:tcPr>
          <w:p>
            <w:pPr>
              <w:spacing w:after="0"/>
            </w:pPr>
            <w:r>
              <w:rPr>
                <w:rFonts w:ascii="Arial" w:hAnsi="Arial"/>
                <w:b/>
                <w:sz w:val="14"/>
              </w:rPr>
              <w:t>This Paper Does Not Say</w:t>
            </w:r>
          </w:p>
        </w:tc>
      </w:tr>
      <w:tr>
        <w:tc>
          <w:tcPr>
            <w:tcW w:type="dxa" w:w="3408"/>
          </w:tcPr>
          <w:p>
            <w:pPr>
              <w:spacing w:after="0"/>
            </w:pPr>
            <w:r>
              <w:rPr>
                <w:rFonts w:ascii="Arial" w:hAnsi="Arial"/>
                <w:b w:val="0"/>
                <w:sz w:val="14"/>
              </w:rPr>
              <w:t>Legal Compliance</w:t>
            </w:r>
          </w:p>
        </w:tc>
        <w:tc>
          <w:tcPr>
            <w:tcW w:type="dxa" w:w="3408"/>
          </w:tcPr>
          <w:p>
            <w:pPr>
              <w:spacing w:after="0"/>
            </w:pPr>
            <w:r>
              <w:rPr>
                <w:rFonts w:ascii="Arial" w:hAnsi="Arial"/>
                <w:b w:val="0"/>
                <w:sz w:val="14"/>
              </w:rPr>
              <w:t>Lifecycle governance addresses lifecycle responsibility objects that support regulatory compliance coverage; RCCS/ALCS measure compliance coverage gaps</w:t>
            </w:r>
          </w:p>
        </w:tc>
        <w:tc>
          <w:tcPr>
            <w:tcW w:type="dxa" w:w="3408"/>
          </w:tcPr>
          <w:p>
            <w:pPr>
              <w:spacing w:after="0"/>
            </w:pPr>
            <w:r>
              <w:rPr>
                <w:rFonts w:ascii="Arial" w:hAnsi="Arial"/>
                <w:b w:val="0"/>
                <w:sz w:val="14"/>
              </w:rPr>
              <w:t>This paper proves legal compliance; high RCCS/ALCS scores guarantee legal compliance; this paper provides legal advice; this paper interprets specific regulations for specific jurisdictions</w:t>
            </w:r>
          </w:p>
        </w:tc>
      </w:tr>
      <w:tr>
        <w:tc>
          <w:tcPr>
            <w:tcW w:type="dxa" w:w="3408"/>
          </w:tcPr>
          <w:p>
            <w:pPr>
              <w:spacing w:after="0"/>
            </w:pPr>
            <w:r>
              <w:rPr>
                <w:rFonts w:ascii="Arial" w:hAnsi="Arial"/>
                <w:b w:val="0"/>
                <w:sz w:val="14"/>
              </w:rPr>
              <w:t>Certification</w:t>
            </w:r>
          </w:p>
        </w:tc>
        <w:tc>
          <w:tcPr>
            <w:tcW w:type="dxa" w:w="3408"/>
          </w:tcPr>
          <w:p>
            <w:pPr>
              <w:spacing w:after="0"/>
            </w:pPr>
            <w:r>
              <w:rPr>
                <w:rFonts w:ascii="Arial" w:hAnsi="Arial"/>
                <w:b w:val="0"/>
                <w:sz w:val="14"/>
              </w:rPr>
              <w:t>Lifecycle governance can be evaluated using RCCS/ALCS as analytical tools; evidence-based validation can support qualified review</w:t>
            </w:r>
          </w:p>
        </w:tc>
        <w:tc>
          <w:tcPr>
            <w:tcW w:type="dxa" w:w="3408"/>
          </w:tcPr>
          <w:p>
            <w:pPr>
              <w:spacing w:after="0"/>
            </w:pPr>
            <w:r>
              <w:rPr>
                <w:rFonts w:ascii="Arial" w:hAnsi="Arial"/>
                <w:b w:val="0"/>
                <w:sz w:val="14"/>
              </w:rPr>
              <w:t>This paper is a certification program; RCCS/ALCS certify compliance; Validation Lab is a certification authority; this paper certifies systems or organizations</w:t>
            </w:r>
          </w:p>
        </w:tc>
      </w:tr>
      <w:tr>
        <w:tc>
          <w:tcPr>
            <w:tcW w:type="dxa" w:w="3408"/>
          </w:tcPr>
          <w:p>
            <w:pPr>
              <w:spacing w:after="0"/>
            </w:pPr>
            <w:r>
              <w:rPr>
                <w:rFonts w:ascii="Arial" w:hAnsi="Arial"/>
                <w:b w:val="0"/>
                <w:sz w:val="14"/>
              </w:rPr>
              <w:t>Regulatory Approval</w:t>
            </w:r>
          </w:p>
        </w:tc>
        <w:tc>
          <w:tcPr>
            <w:tcW w:type="dxa" w:w="3408"/>
          </w:tcPr>
          <w:p>
            <w:pPr>
              <w:spacing w:after="0"/>
            </w:pPr>
            <w:r>
              <w:rPr>
                <w:rFonts w:ascii="Arial" w:hAnsi="Arial"/>
                <w:b w:val="0"/>
                <w:sz w:val="14"/>
              </w:rPr>
              <w:t>Lifecycle governance aligns with regulatory requirements for human oversight, accountability, transparency, record-keeping, and contestability</w:t>
            </w:r>
          </w:p>
        </w:tc>
        <w:tc>
          <w:tcPr>
            <w:tcW w:type="dxa" w:w="3408"/>
          </w:tcPr>
          <w:p>
            <w:pPr>
              <w:spacing w:after="0"/>
            </w:pPr>
            <w:r>
              <w:rPr>
                <w:rFonts w:ascii="Arial" w:hAnsi="Arial"/>
                <w:b w:val="0"/>
                <w:sz w:val="14"/>
              </w:rPr>
              <w:t>This paper is regulator-approved; this paper is the official compliance standard; regulators endorse RCCS/ALCS; regulators require MPLP or Validation Lab</w:t>
            </w:r>
          </w:p>
        </w:tc>
      </w:tr>
      <w:tr>
        <w:tc>
          <w:tcPr>
            <w:tcW w:type="dxa" w:w="3408"/>
          </w:tcPr>
          <w:p>
            <w:pPr>
              <w:spacing w:after="0"/>
            </w:pPr>
            <w:r>
              <w:rPr>
                <w:rFonts w:ascii="Arial" w:hAnsi="Arial"/>
                <w:b w:val="0"/>
                <w:sz w:val="14"/>
              </w:rPr>
              <w:t>System Ranking</w:t>
            </w:r>
          </w:p>
        </w:tc>
        <w:tc>
          <w:tcPr>
            <w:tcW w:type="dxa" w:w="3408"/>
          </w:tcPr>
          <w:p>
            <w:pPr>
              <w:spacing w:after="0"/>
            </w:pPr>
            <w:r>
              <w:rPr>
                <w:rFonts w:ascii="Arial" w:hAnsi="Arial"/>
                <w:b w:val="0"/>
                <w:sz w:val="14"/>
              </w:rPr>
              <w:t>System mappings organize qualitative, source-qualified posture differences across system categories using responsibility semantics</w:t>
            </w:r>
          </w:p>
        </w:tc>
        <w:tc>
          <w:tcPr>
            <w:tcW w:type="dxa" w:w="3408"/>
          </w:tcPr>
          <w:p>
            <w:pPr>
              <w:spacing w:after="0"/>
            </w:pPr>
            <w:r>
              <w:rPr>
                <w:rFonts w:ascii="Arial" w:hAnsi="Arial"/>
                <w:b w:val="0"/>
                <w:sz w:val="14"/>
              </w:rPr>
              <w:t>System mappings rank products by quality; system mappings recommend specific vendors; system mappings certify systems; other systems are non-compliant</w:t>
            </w:r>
          </w:p>
        </w:tc>
      </w:tr>
      <w:tr>
        <w:tc>
          <w:tcPr>
            <w:tcW w:type="dxa" w:w="3408"/>
          </w:tcPr>
          <w:p>
            <w:pPr>
              <w:spacing w:after="0"/>
            </w:pPr>
            <w:r>
              <w:rPr>
                <w:rFonts w:ascii="Arial" w:hAnsi="Arial"/>
                <w:b w:val="0"/>
                <w:sz w:val="14"/>
              </w:rPr>
              <w:t>MPLP</w:t>
            </w:r>
          </w:p>
        </w:tc>
        <w:tc>
          <w:tcPr>
            <w:tcW w:type="dxa" w:w="3408"/>
          </w:tcPr>
          <w:p>
            <w:pPr>
              <w:spacing w:after="0"/>
            </w:pPr>
            <w:r>
              <w:rPr>
                <w:rFonts w:ascii="Arial" w:hAnsi="Arial"/>
                <w:b w:val="0"/>
                <w:sz w:val="14"/>
              </w:rPr>
              <w:t>MPLP is one lifecycle protocol path that maps strongly to ALCS dimensions; MPLP provides protocol-level semantics for lifecycle responsibility objects</w:t>
            </w:r>
          </w:p>
        </w:tc>
        <w:tc>
          <w:tcPr>
            <w:tcW w:type="dxa" w:w="3408"/>
          </w:tcPr>
          <w:p>
            <w:pPr>
              <w:spacing w:after="0"/>
            </w:pPr>
            <w:r>
              <w:rPr>
                <w:rFonts w:ascii="Arial" w:hAnsi="Arial"/>
                <w:b w:val="0"/>
                <w:sz w:val="14"/>
              </w:rPr>
              <w:t>MPLP is required for compliance; MPLP is the only correct path; MPLP certifies compliance; MPLP is regulator-approved; MPLP proves legal compliance</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Validation Lab is one non-certifying evidence adjudication example that demonstrates the evidence-based validation pattern</w:t>
            </w:r>
          </w:p>
        </w:tc>
        <w:tc>
          <w:tcPr>
            <w:tcW w:type="dxa" w:w="3408"/>
          </w:tcPr>
          <w:p>
            <w:pPr>
              <w:spacing w:after="0"/>
            </w:pPr>
            <w:r>
              <w:rPr>
                <w:rFonts w:ascii="Arial" w:hAnsi="Arial"/>
                <w:b w:val="0"/>
                <w:sz w:val="14"/>
              </w:rPr>
              <w:t>Validation Lab is a certification authority; Validation Lab certifies compliance; Validation Lab proves legal compliance; Validation Lab is the only validation path; Validation Lab is regulator-approved</w:t>
            </w:r>
          </w:p>
        </w:tc>
      </w:tr>
      <w:tr>
        <w:tc>
          <w:tcPr>
            <w:tcW w:type="dxa" w:w="3408"/>
          </w:tcPr>
          <w:p>
            <w:pPr>
              <w:spacing w:after="0"/>
            </w:pPr>
            <w:r>
              <w:rPr>
                <w:rFonts w:ascii="Arial" w:hAnsi="Arial"/>
                <w:b w:val="0"/>
                <w:sz w:val="14"/>
              </w:rPr>
              <w:t>Risk Elimination</w:t>
            </w:r>
          </w:p>
        </w:tc>
        <w:tc>
          <w:tcPr>
            <w:tcW w:type="dxa" w:w="3408"/>
          </w:tcPr>
          <w:p>
            <w:pPr>
              <w:spacing w:after="0"/>
            </w:pPr>
            <w:r>
              <w:rPr>
                <w:rFonts w:ascii="Arial" w:hAnsi="Arial"/>
                <w:b w:val="0"/>
                <w:sz w:val="14"/>
              </w:rPr>
              <w:t>Lifecycle governance addresses lifecycle governance gaps that may create predictable enterprise failure patterns; lifecycle governance supports risk management</w:t>
            </w:r>
          </w:p>
        </w:tc>
        <w:tc>
          <w:tcPr>
            <w:tcW w:type="dxa" w:w="3408"/>
          </w:tcPr>
          <w:p>
            <w:pPr>
              <w:spacing w:after="0"/>
            </w:pPr>
            <w:r>
              <w:rPr>
                <w:rFonts w:ascii="Arial" w:hAnsi="Arial"/>
                <w:b w:val="0"/>
                <w:sz w:val="14"/>
              </w:rPr>
              <w:t>Lifecycle governance eliminates all risk; agentic AI is uniquely unsafe; lifecycle governance guarantees operational effectiveness; lifecycle governance prevents all failures</w:t>
            </w:r>
          </w:p>
        </w:tc>
      </w:tr>
      <w:tr>
        <w:tc>
          <w:tcPr>
            <w:tcW w:type="dxa" w:w="3408"/>
          </w:tcPr>
          <w:p>
            <w:pPr>
              <w:spacing w:after="0"/>
            </w:pPr>
            <w:r>
              <w:rPr>
                <w:rFonts w:ascii="Arial" w:hAnsi="Arial"/>
                <w:b w:val="0"/>
                <w:sz w:val="14"/>
              </w:rPr>
              <w:t>Completeness</w:t>
            </w:r>
          </w:p>
        </w:tc>
        <w:tc>
          <w:tcPr>
            <w:tcW w:type="dxa" w:w="3408"/>
          </w:tcPr>
          <w:p>
            <w:pPr>
              <w:spacing w:after="0"/>
            </w:pPr>
            <w:r>
              <w:rPr>
                <w:rFonts w:ascii="Arial" w:hAnsi="Arial"/>
                <w:b w:val="0"/>
                <w:sz w:val="14"/>
              </w:rPr>
              <w:t>This paper defines sixteen Missing Regulatory Objects and provides a framework for lifecycle governance</w:t>
            </w:r>
          </w:p>
        </w:tc>
        <w:tc>
          <w:tcPr>
            <w:tcW w:type="dxa" w:w="3408"/>
          </w:tcPr>
          <w:p>
            <w:pPr>
              <w:spacing w:after="0"/>
            </w:pPr>
            <w:r>
              <w:rPr>
                <w:rFonts w:ascii="Arial" w:hAnsi="Arial"/>
                <w:b w:val="0"/>
                <w:sz w:val="14"/>
              </w:rPr>
              <w:t>This paper is complete; no additional lifecycle responsibility objects will emerge; this paper addresses all regulatory requirements; this paper replaces legal review</w:t>
            </w:r>
          </w:p>
        </w:tc>
      </w:tr>
    </w:tbl>
    <w:p>
      <w:pPr>
        <w:spacing w:after="56"/>
      </w:pPr>
      <w:r>
        <w:t>Interpretation: This white paper provides a governance framework, not legal advice, certification, regulatory approval, product ranking, or risk elimination. Enterprises must interpret the framework within their legal, regulatory, and operational context.</w:t>
      </w:r>
    </w:p>
    <w:p>
      <w:pPr>
        <w:pStyle w:val="Heading2"/>
      </w:pPr>
      <w:r>
        <w:t>18.3 Call to Action</w:t>
      </w:r>
    </w:p>
    <w:p>
      <w:pPr>
        <w:spacing w:after="56"/>
      </w:pPr>
      <w:r>
        <w:t>Enterprises deploying agentic AI systems should begin mapping lifecycle responsibility objects before scaling autonomous or multi-agent workflows. The adoption roadmap (Chapter 17) provides a staged path from lifecycle governance awareness to scaled operational capability.</w:t>
      </w:r>
    </w:p>
    <w:p>
      <w:pPr>
        <w:spacing w:after="56"/>
      </w:pPr>
      <w:r>
        <w:t>Recommended first steps:</w:t>
      </w:r>
    </w:p>
    <w:p>
      <w:pPr>
        <w:pStyle w:val="ListNumber"/>
        <w:spacing w:after="56"/>
      </w:pPr>
      <w:r>
        <w:t>Inventory agentic behavior: Identify where agents make decisions, use tools, or hand off work. Assess whether model governance covers lifecycle responsibility.</w:t>
      </w:r>
    </w:p>
    <w:p>
      <w:pPr>
        <w:pStyle w:val="ListNumber"/>
        <w:spacing w:after="56"/>
      </w:pPr>
      <w:r>
        <w:t>Assess lifecycle governance gaps: Use the sixteen Missing Regulatory Objects (Chapter 6) as a checklist. Use RCCS/ALCS (Chapters 7-8) as analytical tools to identify gaps.</w:t>
      </w:r>
    </w:p>
    <w:p>
      <w:pPr>
        <w:pStyle w:val="ListNumber"/>
        <w:spacing w:after="56"/>
      </w:pPr>
      <w:r>
        <w:t>Select a pilot project: Use pilot selection criteria (Table T-17-02) to choose a bounded, measurable, regulated, sponsored, and rollback-capable pilot project.</w:t>
      </w:r>
    </w:p>
    <w:p>
      <w:pPr>
        <w:pStyle w:val="ListNumber"/>
        <w:spacing w:after="56"/>
      </w:pPr>
      <w:r>
        <w:t>Define authority boundaries: Start with delegated authority boundaries (MRO-02). Define authority grant records, implement tool-action authorization, and add boundary violation alerts.</w:t>
      </w:r>
    </w:p>
    <w:p>
      <w:pPr>
        <w:pStyle w:val="ListNumber"/>
        <w:spacing w:after="56"/>
      </w:pPr>
      <w:r>
        <w:t>Map human roles to MAS responsibilities: Implement human-role-to-MAS responsibility mapping (MRO-01). Define role assignment records, implement acceptance records, and add review and escalation workflows.</w:t>
      </w:r>
    </w:p>
    <w:p>
      <w:pPr>
        <w:pStyle w:val="ListNumber"/>
        <w:spacing w:after="56"/>
      </w:pPr>
      <w:r>
        <w:t>Convert logs into evidence chains: Implement MAS evidence partitioning (MRO-08). Add evidence export capability with selective disclosure. Implement evidence chain integrity validation.</w:t>
      </w:r>
    </w:p>
    <w:p>
      <w:pPr>
        <w:pStyle w:val="ListNumber"/>
        <w:spacing w:after="56"/>
      </w:pPr>
      <w:r>
        <w:t>Integrate with existing enterprise controls: Use Table T-17-03 to integrate lifecycle governance with existing audit, privacy, security, procurement, incident response, compliance, model risk, and business continuity controls.</w:t>
      </w:r>
    </w:p>
    <w:p>
      <w:pPr>
        <w:pStyle w:val="ListNumber"/>
        <w:spacing w:after="56"/>
      </w:pPr>
      <w:r>
        <w:t>Use Chapter 15 scenarios as test cases: Use the eight enterprise failure scenarios as test cases for lifecycle governance design. Ensure that lifecycle governance prevents or mitigates authority boundary failure, evidence chain failure, accepted outcome failure, cross-project reuse failure, privacy validation failure, processor chain failure, vendor/runtime substitution failure, and remediation closure failure.</w:t>
      </w:r>
    </w:p>
    <w:p>
      <w:pPr>
        <w:spacing w:after="56"/>
      </w:pPr>
      <w:r>
        <w:t>Lifecycle governance is not a one-time project. It is a continuous process that requires organizational commitment, integration with existing controls, and continuous improvement.</w:t>
      </w:r>
    </w:p>
    <w:p>
      <w:pPr>
        <w:pStyle w:val="Heading2"/>
      </w:pPr>
      <w:r>
        <w:t>18.4 Closing Statement</w:t>
      </w:r>
    </w:p>
    <w:p>
      <w:pPr>
        <w:spacing w:after="56"/>
      </w:pPr>
      <w:r>
        <w:t>AI Agent Lifecycle Governance is the missing layer between model governance and enterprise trust. Model-centric governance addresses model behavior. Lifecycle governance addresses responsibility for outcomes.</w:t>
      </w:r>
    </w:p>
    <w:p>
      <w:pPr>
        <w:spacing w:after="56"/>
      </w:pPr>
      <w:r>
        <w:t>The sixteen Missing Regulatory Objects define the lifecycle responsibility objects that emerge when AI systems move from inference to action, from single-model execution to multi-agent collaboration, from human-supervised workflows to autonomous delegation. RCCS and ALCS provide analytical tools to measure regulatory compliance coverage and lifecycle responsibility object maturity. System mappings organize qualitative, source-qualified posture differences across system categories. Evidence-based validation patterns support privacy-preserving qualified review. Enterprise failure scenarios illustrate where lifecycle governance gaps may create predictable failure patterns. The adoption roadmap provides a staged path from awareness to scaled operational capability.</w:t>
      </w:r>
    </w:p>
    <w:p>
      <w:pPr>
        <w:spacing w:after="56"/>
      </w:pPr>
      <w:r>
        <w:t>Execution is not delivery, and execution is not compliance. Orchestration logs record execution. Evidence chains record lifecycle responsibility. Model governance addresses model behavior. Lifecycle governance addresses responsibility for outcomes.</w:t>
      </w:r>
    </w:p>
    <w:p>
      <w:pPr>
        <w:spacing w:after="56"/>
      </w:pPr>
      <w:r>
        <w:t>Enterprises deploying agentic AI systems in regulated contexts should begin mapping lifecycle responsibility objects before scaling autonomous or multi-agent workflows. The transition from model governance to agentic lifecycle conformance is not a theoretical exercise. It is a practical necessity.</w:t>
      </w:r>
    </w:p>
    <w:p>
      <w:pPr>
        <w:spacing w:after="56"/>
      </w:pPr>
      <w:r>
        <w:t>AI Agent / MAS compliance is not only model compliance. It is lifecycle responsibility compliance.</w:t>
      </w:r>
    </w:p>
    <w:p>
      <w:pPr>
        <w:pStyle w:val="Heading1"/>
      </w:pPr>
      <w:r>
        <w:t>Appendix A — Machine-Readable Object Templates</w:t>
      </w:r>
    </w:p>
    <w:p>
      <w:pPr>
        <w:spacing w:after="56"/>
      </w:pPr>
      <w:r>
        <w:t>Version: v0.3.2-FRC-R3</w:t>
      </w:r>
    </w:p>
    <w:p>
      <w:pPr>
        <w:pStyle w:val="Heading2"/>
      </w:pPr>
      <w:r>
        <w:t>A.0 Template Boundary</w:t>
      </w:r>
    </w:p>
    <w:p>
      <w:pPr>
        <w:spacing w:after="56"/>
      </w:pPr>
      <w:r>
        <w:t>This appendix provides illustrative machine-readable templates for the sixteen Missing Regulatory Objects defined in Chapter 6. These templates are reference structures, not formal schemas, legal requirements, or certification requirements.</w:t>
      </w:r>
    </w:p>
    <w:p>
      <w:pPr>
        <w:spacing w:after="56"/>
      </w:pPr>
      <w:r>
        <w:t>Boundary statement:</w:t>
      </w:r>
    </w:p>
    <w:p>
      <w:pPr>
        <w:pStyle w:val="ListBullet"/>
        <w:spacing w:after="56"/>
      </w:pPr>
      <w:r>
        <w:t>These templates are illustrative only. They demonstrate how lifecycle responsibility objects might be represented in machine-readable form. They are not formal MPLP schemas, not legal requirements, and not certification requirements.</w:t>
      </w:r>
    </w:p>
    <w:p>
      <w:pPr>
        <w:pStyle w:val="ListBullet"/>
        <w:spacing w:after="56"/>
      </w:pPr>
      <w:r>
        <w:t>These templates are not prescriptive. Organizations may use different field names, data types, or structures. The templates show one possible approach to representing lifecycle responsibility objects.</w:t>
      </w:r>
    </w:p>
    <w:p>
      <w:pPr>
        <w:pStyle w:val="ListBullet"/>
        <w:spacing w:after="56"/>
      </w:pPr>
      <w:r>
        <w:t>These templates do not prove compliance. The presence of these fields in a system does not prove legal compliance, regulatory approval, or certification. Organizations must interpret lifecycle responsibility objects within their legal, regulatory, and operational context.</w:t>
      </w:r>
    </w:p>
    <w:p>
      <w:pPr>
        <w:pStyle w:val="ListBullet"/>
        <w:spacing w:after="56"/>
      </w:pPr>
      <w:r>
        <w:t>These templates are not MPLP-specific. While MPLP (Multi-Agent Lifecycle Protocol) is one protocol path that can express lifecycle responsibility objects, these templates are protocol-agnostic. Other protocols, platforms, or custom implementations may use different representations.</w:t>
      </w:r>
    </w:p>
    <w:p>
      <w:pPr>
        <w:pStyle w:val="Heading2"/>
      </w:pPr>
      <w:r>
        <w:t>A.1 Shared Field Conventions</w:t>
      </w:r>
    </w:p>
    <w:p>
      <w:pPr>
        <w:spacing w:after="56"/>
      </w:pPr>
      <w:r>
        <w:t>All sixteen MRO templates share a common set of fields to support lifecycle traceability, evidence partitioning, and cross-object relationships.</w:t>
      </w:r>
    </w:p>
    <w:p>
      <w:pPr>
        <w:spacing w:after="56"/>
      </w:pPr>
      <w:r>
        <w:t>Shared fields:</w:t>
      </w:r>
    </w:p>
    <w:p>
      <w:pPr>
        <w:spacing w:after="56"/>
      </w:pPr>
      <w:r>
        <w:t>object_id: unique identifier for this object instance</w:t>
        <w:br/>
        <w:t>object_type: MRO type (e.g., "MRO-01", "MRO-02")</w:t>
        <w:br/>
        <w:t>lifecycle_id: identifier linking this object to a specific lifecycle instance</w:t>
        <w:br/>
        <w:t>project_id: identifier for the project or regulated context</w:t>
        <w:br/>
        <w:t>object_version: version number for this object instance</w:t>
        <w:br/>
        <w:t>related_human_role_id: identifier for the human role associated with this object</w:t>
        <w:br/>
        <w:t>related_agent_role_id: identifier for the agent role associated with this object</w:t>
        <w:br/>
        <w:t>authority_scope: scope of authority for this object (e.g., "draft", "send", "commit")</w:t>
        <w:br/>
        <w:t>risk_class: risk classification for this object (e.g., "low", "medium", "high")</w:t>
        <w:br/>
        <w:t>evidence_pointer: pointer to evidence artifacts supporting this object</w:t>
        <w:br/>
        <w:t>privacy_treatment: privacy treatment for this object (e.g., "redact_pii", "selective_disclosure")</w:t>
        <w:br/>
        <w:t>status: current status (e.g., "active", "closed", "disputed")</w:t>
        <w:br/>
        <w:t>created_at: timestamp when this object was created</w:t>
        <w:br/>
        <w:t>updated_at: timestamp when this object was last updated</w:t>
        <w:br/>
        <w:t>closure_reason: reason for closure (if status is "closed")</w:t>
      </w:r>
    </w:p>
    <w:p>
      <w:pPr>
        <w:spacing w:after="56"/>
      </w:pPr>
      <w:r>
        <w:t>Object-specific fields: Each MRO template includes 3-6 object-specific fields relevant to that MRO's purpose.</w:t>
      </w:r>
    </w:p>
    <w:p>
      <w:pPr>
        <w:spacing w:after="56"/>
      </w:pPr>
      <w:r>
        <w:t>All example values are non-normative placeholders and do not establish legal compliance, liability allocation, certification, or completed validation.</w:t>
      </w:r>
    </w:p>
    <w:p>
      <w:pPr>
        <w:spacing w:after="56"/>
      </w:pPr>
      <w:r>
        <w:t>For readability, the examples below present object-specific fields under a comment block. Implementations may alternatively nest them under object_specific_fields.</w:t>
      </w:r>
    </w:p>
    <w:p>
      <w:pPr>
        <w:pStyle w:val="Heading2"/>
      </w:pPr>
      <w:r>
        <w:t>A.2 MRO Template Index</w:t>
      </w:r>
    </w:p>
    <w:p>
      <w:pPr>
        <w:spacing w:after="56"/>
      </w:pPr>
      <w:r>
        <w:t>The following table indexes the sixteen MRO templates and their object-specific fields.</w:t>
      </w:r>
    </w:p>
    <w:p>
      <w:pPr>
        <w:keepNext/>
      </w:pPr>
      <w:r>
        <w:rPr>
          <w:b/>
          <w:sz w:val="16"/>
        </w:rPr>
        <w:t>Table T-A-01: Appendix A Template Index</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MRO ID</w:t>
            </w:r>
          </w:p>
        </w:tc>
        <w:tc>
          <w:tcPr>
            <w:tcW w:type="dxa" w:w="2045"/>
          </w:tcPr>
          <w:p>
            <w:pPr>
              <w:spacing w:after="0"/>
            </w:pPr>
            <w:r>
              <w:rPr>
                <w:rFonts w:ascii="Arial" w:hAnsi="Arial"/>
                <w:b/>
                <w:sz w:val="14"/>
              </w:rPr>
              <w:t>Object Name</w:t>
            </w:r>
          </w:p>
        </w:tc>
        <w:tc>
          <w:tcPr>
            <w:tcW w:type="dxa" w:w="2045"/>
          </w:tcPr>
          <w:p>
            <w:pPr>
              <w:spacing w:after="0"/>
            </w:pPr>
            <w:r>
              <w:rPr>
                <w:rFonts w:ascii="Arial" w:hAnsi="Arial"/>
                <w:b/>
                <w:sz w:val="14"/>
              </w:rPr>
              <w:t>Template Purpose</w:t>
            </w:r>
          </w:p>
        </w:tc>
        <w:tc>
          <w:tcPr>
            <w:tcW w:type="dxa" w:w="2045"/>
          </w:tcPr>
          <w:p>
            <w:pPr>
              <w:spacing w:after="0"/>
            </w:pPr>
            <w:r>
              <w:rPr>
                <w:rFonts w:ascii="Arial" w:hAnsi="Arial"/>
                <w:b/>
                <w:sz w:val="14"/>
              </w:rPr>
              <w:t>Object-Specific Fields</w:t>
            </w:r>
          </w:p>
        </w:tc>
        <w:tc>
          <w:tcPr>
            <w:tcW w:type="dxa" w:w="2045"/>
          </w:tcPr>
          <w:p>
            <w:pPr>
              <w:spacing w:after="0"/>
            </w:pPr>
            <w:r>
              <w:rPr>
                <w:rFonts w:ascii="Arial" w:hAnsi="Arial"/>
                <w:b/>
                <w:sz w:val="14"/>
              </w:rPr>
              <w:t>Boundary</w:t>
            </w:r>
          </w:p>
        </w:tc>
      </w:tr>
      <w:tr>
        <w:tc>
          <w:tcPr>
            <w:tcW w:type="dxa" w:w="2045"/>
          </w:tcPr>
          <w:p>
            <w:pPr>
              <w:spacing w:after="0"/>
            </w:pPr>
            <w:r>
              <w:rPr>
                <w:rFonts w:ascii="Arial" w:hAnsi="Arial"/>
                <w:b w:val="0"/>
                <w:sz w:val="14"/>
              </w:rPr>
              <w:t>MRO-01</w:t>
            </w:r>
          </w:p>
        </w:tc>
        <w:tc>
          <w:tcPr>
            <w:tcW w:type="dxa" w:w="2045"/>
          </w:tcPr>
          <w:p>
            <w:pPr>
              <w:spacing w:after="0"/>
            </w:pPr>
            <w:r>
              <w:rPr>
                <w:rFonts w:ascii="Arial" w:hAnsi="Arial"/>
                <w:b w:val="0"/>
                <w:sz w:val="14"/>
              </w:rPr>
              <w:t>Human Role to MAS Responsibility Mapping</w:t>
            </w:r>
          </w:p>
        </w:tc>
        <w:tc>
          <w:tcPr>
            <w:tcW w:type="dxa" w:w="2045"/>
          </w:tcPr>
          <w:p>
            <w:pPr>
              <w:spacing w:after="0"/>
            </w:pPr>
            <w:r>
              <w:rPr>
                <w:rFonts w:ascii="Arial" w:hAnsi="Arial"/>
                <w:b w:val="0"/>
                <w:sz w:val="14"/>
              </w:rPr>
              <w:t>Map human roles to MAS responsibilities with explicit acceptance records</w:t>
            </w:r>
          </w:p>
        </w:tc>
        <w:tc>
          <w:tcPr>
            <w:tcW w:type="dxa" w:w="2045"/>
          </w:tcPr>
          <w:p>
            <w:pPr>
              <w:spacing w:after="0"/>
            </w:pPr>
            <w:r>
              <w:rPr>
                <w:rFonts w:ascii="Arial" w:hAnsi="Arial"/>
                <w:b w:val="0"/>
                <w:sz w:val="14"/>
              </w:rPr>
              <w:t>human_role_name, mas_responsibility_scope, acceptance_required, escalation_policy, review_frequency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MRO-02</w:t>
            </w:r>
          </w:p>
        </w:tc>
        <w:tc>
          <w:tcPr>
            <w:tcW w:type="dxa" w:w="2045"/>
          </w:tcPr>
          <w:p>
            <w:pPr>
              <w:spacing w:after="0"/>
            </w:pPr>
            <w:r>
              <w:rPr>
                <w:rFonts w:ascii="Arial" w:hAnsi="Arial"/>
                <w:b w:val="0"/>
                <w:sz w:val="14"/>
              </w:rPr>
              <w:t>Delegated Authority Boundary</w:t>
            </w:r>
          </w:p>
        </w:tc>
        <w:tc>
          <w:tcPr>
            <w:tcW w:type="dxa" w:w="2045"/>
          </w:tcPr>
          <w:p>
            <w:pPr>
              <w:spacing w:after="0"/>
            </w:pPr>
            <w:r>
              <w:rPr>
                <w:rFonts w:ascii="Arial" w:hAnsi="Arial"/>
                <w:b w:val="0"/>
                <w:sz w:val="14"/>
              </w:rPr>
              <w:t>Define explicit authority boundaries for agent actions</w:t>
            </w:r>
          </w:p>
        </w:tc>
        <w:tc>
          <w:tcPr>
            <w:tcW w:type="dxa" w:w="2045"/>
          </w:tcPr>
          <w:p>
            <w:pPr>
              <w:spacing w:after="0"/>
            </w:pPr>
            <w:r>
              <w:rPr>
                <w:rFonts w:ascii="Arial" w:hAnsi="Arial"/>
                <w:b w:val="0"/>
                <w:sz w:val="14"/>
              </w:rPr>
              <w:t>authority_grant_type, tool_action_permissions, boundary_violation_policy, reauthorization_trigger, drift_detection_enabled</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MRO-03</w:t>
            </w:r>
          </w:p>
        </w:tc>
        <w:tc>
          <w:tcPr>
            <w:tcW w:type="dxa" w:w="2045"/>
          </w:tcPr>
          <w:p>
            <w:pPr>
              <w:spacing w:after="0"/>
            </w:pPr>
            <w:r>
              <w:rPr>
                <w:rFonts w:ascii="Arial" w:hAnsi="Arial"/>
                <w:b w:val="0"/>
                <w:sz w:val="14"/>
              </w:rPr>
              <w:t>Agent Role is not Human Role</w:t>
            </w:r>
          </w:p>
        </w:tc>
        <w:tc>
          <w:tcPr>
            <w:tcW w:type="dxa" w:w="2045"/>
          </w:tcPr>
          <w:p>
            <w:pPr>
              <w:spacing w:after="0"/>
            </w:pPr>
            <w:r>
              <w:rPr>
                <w:rFonts w:ascii="Arial" w:hAnsi="Arial"/>
                <w:b w:val="0"/>
                <w:sz w:val="14"/>
              </w:rPr>
              <w:t>Distinguish agent responsibility surfaces from human roles</w:t>
            </w:r>
          </w:p>
        </w:tc>
        <w:tc>
          <w:tcPr>
            <w:tcW w:type="dxa" w:w="2045"/>
          </w:tcPr>
          <w:p>
            <w:pPr>
              <w:spacing w:after="0"/>
            </w:pPr>
            <w:r>
              <w:rPr>
                <w:rFonts w:ascii="Arial" w:hAnsi="Arial"/>
                <w:b w:val="0"/>
                <w:sz w:val="14"/>
              </w:rPr>
              <w:t>agent_role_name, agent_responsibility_surface, human_role_distinction, accountability_mapping, role_confusion_risk</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MRO-04</w:t>
            </w:r>
          </w:p>
        </w:tc>
        <w:tc>
          <w:tcPr>
            <w:tcW w:type="dxa" w:w="2045"/>
          </w:tcPr>
          <w:p>
            <w:pPr>
              <w:spacing w:after="0"/>
            </w:pPr>
            <w:r>
              <w:rPr>
                <w:rFonts w:ascii="Arial" w:hAnsi="Arial"/>
                <w:b w:val="0"/>
                <w:sz w:val="14"/>
              </w:rPr>
              <w:t>Accepted Outcome Compliance</w:t>
            </w:r>
          </w:p>
        </w:tc>
        <w:tc>
          <w:tcPr>
            <w:tcW w:type="dxa" w:w="2045"/>
          </w:tcPr>
          <w:p>
            <w:pPr>
              <w:spacing w:after="0"/>
            </w:pPr>
            <w:r>
              <w:rPr>
                <w:rFonts w:ascii="Arial" w:hAnsi="Arial"/>
                <w:b w:val="0"/>
                <w:sz w:val="14"/>
              </w:rPr>
              <w:t>Record explicit acceptance of agent outcomes by accountable human roles</w:t>
            </w:r>
          </w:p>
        </w:tc>
        <w:tc>
          <w:tcPr>
            <w:tcW w:type="dxa" w:w="2045"/>
          </w:tcPr>
          <w:p>
            <w:pPr>
              <w:spacing w:after="0"/>
            </w:pPr>
            <w:r>
              <w:rPr>
                <w:rFonts w:ascii="Arial" w:hAnsi="Arial"/>
                <w:b w:val="0"/>
                <w:sz w:val="14"/>
              </w:rPr>
              <w:t>outcome_description, acceptance_status, accepted_by_role, acceptance_timestamp, rejection_reason, escalation_path</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MRO-05</w:t>
            </w:r>
          </w:p>
        </w:tc>
        <w:tc>
          <w:tcPr>
            <w:tcW w:type="dxa" w:w="2045"/>
          </w:tcPr>
          <w:p>
            <w:pPr>
              <w:spacing w:after="0"/>
            </w:pPr>
            <w:r>
              <w:rPr>
                <w:rFonts w:ascii="Arial" w:hAnsi="Arial"/>
                <w:b w:val="0"/>
                <w:sz w:val="14"/>
              </w:rPr>
              <w:t>Tool-Action Liability Boundary</w:t>
            </w:r>
          </w:p>
        </w:tc>
        <w:tc>
          <w:tcPr>
            <w:tcW w:type="dxa" w:w="2045"/>
          </w:tcPr>
          <w:p>
            <w:pPr>
              <w:spacing w:after="0"/>
            </w:pPr>
            <w:r>
              <w:rPr>
                <w:rFonts w:ascii="Arial" w:hAnsi="Arial"/>
                <w:b w:val="0"/>
                <w:sz w:val="14"/>
              </w:rPr>
              <w:t>Record tool actions and liability boundaries</w:t>
            </w:r>
          </w:p>
        </w:tc>
        <w:tc>
          <w:tcPr>
            <w:tcW w:type="dxa" w:w="2045"/>
          </w:tcPr>
          <w:p>
            <w:pPr>
              <w:spacing w:after="0"/>
            </w:pPr>
            <w:r>
              <w:rPr>
                <w:rFonts w:ascii="Arial" w:hAnsi="Arial"/>
                <w:b w:val="0"/>
                <w:sz w:val="14"/>
              </w:rPr>
              <w:t>tool_name, action_type, liability_assignment, tool_provider_agreement, authorization_record, action_reversibility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MRO-06</w:t>
            </w:r>
          </w:p>
        </w:tc>
        <w:tc>
          <w:tcPr>
            <w:tcW w:type="dxa" w:w="2045"/>
          </w:tcPr>
          <w:p>
            <w:pPr>
              <w:spacing w:after="0"/>
            </w:pPr>
            <w:r>
              <w:rPr>
                <w:rFonts w:ascii="Arial" w:hAnsi="Arial"/>
                <w:b w:val="0"/>
                <w:sz w:val="14"/>
              </w:rPr>
              <w:t>Responsibility Transfer Across Agents</w:t>
            </w:r>
          </w:p>
        </w:tc>
        <w:tc>
          <w:tcPr>
            <w:tcW w:type="dxa" w:w="2045"/>
          </w:tcPr>
          <w:p>
            <w:pPr>
              <w:spacing w:after="0"/>
            </w:pPr>
            <w:r>
              <w:rPr>
                <w:rFonts w:ascii="Arial" w:hAnsi="Arial"/>
                <w:b w:val="0"/>
                <w:sz w:val="14"/>
              </w:rPr>
              <w:t>Record responsibility transfer and constraint inheritance across agent handoffs</w:t>
            </w:r>
          </w:p>
        </w:tc>
        <w:tc>
          <w:tcPr>
            <w:tcW w:type="dxa" w:w="2045"/>
          </w:tcPr>
          <w:p>
            <w:pPr>
              <w:spacing w:after="0"/>
            </w:pPr>
            <w:r>
              <w:rPr>
                <w:rFonts w:ascii="Arial" w:hAnsi="Arial"/>
                <w:b w:val="0"/>
                <w:sz w:val="14"/>
              </w:rPr>
              <w:t>source_agent_id, target_agent_id, transfer_timestamp, constraint_inheritance, handoff_validation, responsibility_acceptance</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MRO-07</w:t>
            </w:r>
          </w:p>
        </w:tc>
        <w:tc>
          <w:tcPr>
            <w:tcW w:type="dxa" w:w="2045"/>
          </w:tcPr>
          <w:p>
            <w:pPr>
              <w:spacing w:after="0"/>
            </w:pPr>
            <w:r>
              <w:rPr>
                <w:rFonts w:ascii="Arial" w:hAnsi="Arial"/>
                <w:b w:val="0"/>
                <w:sz w:val="14"/>
              </w:rPr>
              <w:t>Authority Drift</w:t>
            </w:r>
          </w:p>
        </w:tc>
        <w:tc>
          <w:tcPr>
            <w:tcW w:type="dxa" w:w="2045"/>
          </w:tcPr>
          <w:p>
            <w:pPr>
              <w:spacing w:after="0"/>
            </w:pPr>
            <w:r>
              <w:rPr>
                <w:rFonts w:ascii="Arial" w:hAnsi="Arial"/>
                <w:b w:val="0"/>
                <w:sz w:val="14"/>
              </w:rPr>
              <w:t>Detect and record authority drift over time</w:t>
            </w:r>
          </w:p>
        </w:tc>
        <w:tc>
          <w:tcPr>
            <w:tcW w:type="dxa" w:w="2045"/>
          </w:tcPr>
          <w:p>
            <w:pPr>
              <w:spacing w:after="0"/>
            </w:pPr>
            <w:r>
              <w:rPr>
                <w:rFonts w:ascii="Arial" w:hAnsi="Arial"/>
                <w:b w:val="0"/>
                <w:sz w:val="14"/>
              </w:rPr>
              <w:t>authority_baseline, current_authority_scope, drift_detected, drift_magnitude, reauthorization_required, drift_alert_policy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MRO-08</w:t>
            </w:r>
          </w:p>
        </w:tc>
        <w:tc>
          <w:tcPr>
            <w:tcW w:type="dxa" w:w="2045"/>
          </w:tcPr>
          <w:p>
            <w:pPr>
              <w:spacing w:after="0"/>
            </w:pPr>
            <w:r>
              <w:rPr>
                <w:rFonts w:ascii="Arial" w:hAnsi="Arial"/>
                <w:b w:val="0"/>
                <w:sz w:val="14"/>
              </w:rPr>
              <w:t>MAS Evidence Partitioning</w:t>
            </w:r>
          </w:p>
        </w:tc>
        <w:tc>
          <w:tcPr>
            <w:tcW w:type="dxa" w:w="2045"/>
          </w:tcPr>
          <w:p>
            <w:pPr>
              <w:spacing w:after="0"/>
            </w:pPr>
            <w:r>
              <w:rPr>
                <w:rFonts w:ascii="Arial" w:hAnsi="Arial"/>
                <w:b w:val="0"/>
                <w:sz w:val="14"/>
              </w:rPr>
              <w:t>Partition evidence by project, customer, jurisdiction, or data subject</w:t>
            </w:r>
          </w:p>
        </w:tc>
        <w:tc>
          <w:tcPr>
            <w:tcW w:type="dxa" w:w="2045"/>
          </w:tcPr>
          <w:p>
            <w:pPr>
              <w:spacing w:after="0"/>
            </w:pPr>
            <w:r>
              <w:rPr>
                <w:rFonts w:ascii="Arial" w:hAnsi="Arial"/>
                <w:b w:val="0"/>
                <w:sz w:val="14"/>
              </w:rPr>
              <w:t>partition_key, partition_type, evidence_export_policy, selective_disclosure_enabled, partition_boundary, cross_partition_access_policy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MRO-09</w:t>
            </w:r>
          </w:p>
        </w:tc>
        <w:tc>
          <w:tcPr>
            <w:tcW w:type="dxa" w:w="2045"/>
          </w:tcPr>
          <w:p>
            <w:pPr>
              <w:spacing w:after="0"/>
            </w:pPr>
            <w:r>
              <w:rPr>
                <w:rFonts w:ascii="Arial" w:hAnsi="Arial"/>
                <w:b w:val="0"/>
                <w:sz w:val="14"/>
              </w:rPr>
              <w:t>Cross-Project Reuse Compliance</w:t>
            </w:r>
          </w:p>
        </w:tc>
        <w:tc>
          <w:tcPr>
            <w:tcW w:type="dxa" w:w="2045"/>
          </w:tcPr>
          <w:p>
            <w:pPr>
              <w:spacing w:after="0"/>
            </w:pPr>
            <w:r>
              <w:rPr>
                <w:rFonts w:ascii="Arial" w:hAnsi="Arial"/>
                <w:b w:val="0"/>
                <w:sz w:val="14"/>
              </w:rPr>
              <w:t>Validate reuse compliance across regulated contexts</w:t>
            </w:r>
          </w:p>
        </w:tc>
        <w:tc>
          <w:tcPr>
            <w:tcW w:type="dxa" w:w="2045"/>
          </w:tcPr>
          <w:p>
            <w:pPr>
              <w:spacing w:after="0"/>
            </w:pPr>
            <w:r>
              <w:rPr>
                <w:rFonts w:ascii="Arial" w:hAnsi="Arial"/>
                <w:b w:val="0"/>
                <w:sz w:val="14"/>
              </w:rPr>
              <w:t>source_project_id, target_project_id, reuse_type, reset_validation, reauthorization_required, context_boundary_check</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MRO-10</w:t>
            </w:r>
          </w:p>
        </w:tc>
        <w:tc>
          <w:tcPr>
            <w:tcW w:type="dxa" w:w="2045"/>
          </w:tcPr>
          <w:p>
            <w:pPr>
              <w:spacing w:after="0"/>
            </w:pPr>
            <w:r>
              <w:rPr>
                <w:rFonts w:ascii="Arial" w:hAnsi="Arial"/>
                <w:b w:val="0"/>
                <w:sz w:val="14"/>
              </w:rPr>
              <w:t>Privacy / GDPR Lifecycle Mapping</w:t>
            </w:r>
          </w:p>
        </w:tc>
        <w:tc>
          <w:tcPr>
            <w:tcW w:type="dxa" w:w="2045"/>
          </w:tcPr>
          <w:p>
            <w:pPr>
              <w:spacing w:after="0"/>
            </w:pPr>
            <w:r>
              <w:rPr>
                <w:rFonts w:ascii="Arial" w:hAnsi="Arial"/>
                <w:b w:val="0"/>
                <w:sz w:val="14"/>
              </w:rPr>
              <w:t>Map data flow, retention, and subject rights across agent lifecycle</w:t>
            </w:r>
          </w:p>
        </w:tc>
        <w:tc>
          <w:tcPr>
            <w:tcW w:type="dxa" w:w="2045"/>
          </w:tcPr>
          <w:p>
            <w:pPr>
              <w:spacing w:after="0"/>
            </w:pPr>
            <w:r>
              <w:rPr>
                <w:rFonts w:ascii="Arial" w:hAnsi="Arial"/>
                <w:b w:val="0"/>
                <w:sz w:val="14"/>
              </w:rPr>
              <w:t>data_flow_record, retention_policy, data_subject_rights_workflow, privacy_impact_assessment, gdpr_article_mapping, data_minimization_policy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MRO-11</w:t>
            </w:r>
          </w:p>
        </w:tc>
        <w:tc>
          <w:tcPr>
            <w:tcW w:type="dxa" w:w="2045"/>
          </w:tcPr>
          <w:p>
            <w:pPr>
              <w:spacing w:after="0"/>
            </w:pPr>
            <w:r>
              <w:rPr>
                <w:rFonts w:ascii="Arial" w:hAnsi="Arial"/>
                <w:b w:val="0"/>
                <w:sz w:val="14"/>
              </w:rPr>
              <w:t>Privacy-Preserving Third-Party Validation</w:t>
            </w:r>
          </w:p>
        </w:tc>
        <w:tc>
          <w:tcPr>
            <w:tcW w:type="dxa" w:w="2045"/>
          </w:tcPr>
          <w:p>
            <w:pPr>
              <w:spacing w:after="0"/>
            </w:pPr>
            <w:r>
              <w:rPr>
                <w:rFonts w:ascii="Arial" w:hAnsi="Arial"/>
                <w:b w:val="0"/>
                <w:sz w:val="14"/>
              </w:rPr>
              <w:t>Support privacy-preserving validation without exposing sensitive data</w:t>
            </w:r>
          </w:p>
        </w:tc>
        <w:tc>
          <w:tcPr>
            <w:tcW w:type="dxa" w:w="2045"/>
          </w:tcPr>
          <w:p>
            <w:pPr>
              <w:spacing w:after="0"/>
            </w:pPr>
            <w:r>
              <w:rPr>
                <w:rFonts w:ascii="Arial" w:hAnsi="Arial"/>
                <w:b w:val="0"/>
                <w:sz w:val="14"/>
              </w:rPr>
              <w:t>validation_protocol, disclosure_profile, redaction_profile, hash_manifest, verdict_hash, validation_provider_agreement</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MRO-12</w:t>
            </w:r>
          </w:p>
        </w:tc>
        <w:tc>
          <w:tcPr>
            <w:tcW w:type="dxa" w:w="2045"/>
          </w:tcPr>
          <w:p>
            <w:pPr>
              <w:spacing w:after="0"/>
            </w:pPr>
            <w:r>
              <w:rPr>
                <w:rFonts w:ascii="Arial" w:hAnsi="Arial"/>
                <w:b w:val="0"/>
                <w:sz w:val="14"/>
              </w:rPr>
              <w:t>Evidence Minimization and Selective Disclosure</w:t>
            </w:r>
          </w:p>
        </w:tc>
        <w:tc>
          <w:tcPr>
            <w:tcW w:type="dxa" w:w="2045"/>
          </w:tcPr>
          <w:p>
            <w:pPr>
              <w:spacing w:after="0"/>
            </w:pPr>
            <w:r>
              <w:rPr>
                <w:rFonts w:ascii="Arial" w:hAnsi="Arial"/>
                <w:b w:val="0"/>
                <w:sz w:val="14"/>
              </w:rPr>
              <w:t>Implement evidence minimization and selective disclosure policies</w:t>
            </w:r>
          </w:p>
        </w:tc>
        <w:tc>
          <w:tcPr>
            <w:tcW w:type="dxa" w:w="2045"/>
          </w:tcPr>
          <w:p>
            <w:pPr>
              <w:spacing w:after="0"/>
            </w:pPr>
            <w:r>
              <w:rPr>
                <w:rFonts w:ascii="Arial" w:hAnsi="Arial"/>
                <w:b w:val="0"/>
                <w:sz w:val="14"/>
              </w:rPr>
              <w:t>retention_policy, disclosure_policy, minimization_rules, selective_disclosure_log, evidence_expiry, disclosure_justification</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MRO-13</w:t>
            </w:r>
          </w:p>
        </w:tc>
        <w:tc>
          <w:tcPr>
            <w:tcW w:type="dxa" w:w="2045"/>
          </w:tcPr>
          <w:p>
            <w:pPr>
              <w:spacing w:after="0"/>
            </w:pPr>
            <w:r>
              <w:rPr>
                <w:rFonts w:ascii="Arial" w:hAnsi="Arial"/>
                <w:b w:val="0"/>
                <w:sz w:val="14"/>
              </w:rPr>
              <w:t>Data Subject Rights vs Evidence Retention</w:t>
            </w:r>
          </w:p>
        </w:tc>
        <w:tc>
          <w:tcPr>
            <w:tcW w:type="dxa" w:w="2045"/>
          </w:tcPr>
          <w:p>
            <w:pPr>
              <w:spacing w:after="0"/>
            </w:pPr>
            <w:r>
              <w:rPr>
                <w:rFonts w:ascii="Arial" w:hAnsi="Arial"/>
                <w:b w:val="0"/>
                <w:sz w:val="14"/>
              </w:rPr>
              <w:t>Reconcile data subject rights with evidence retention requirements</w:t>
            </w:r>
          </w:p>
        </w:tc>
        <w:tc>
          <w:tcPr>
            <w:tcW w:type="dxa" w:w="2045"/>
          </w:tcPr>
          <w:p>
            <w:pPr>
              <w:spacing w:after="0"/>
            </w:pPr>
            <w:r>
              <w:rPr>
                <w:rFonts w:ascii="Arial" w:hAnsi="Arial"/>
                <w:b w:val="0"/>
                <w:sz w:val="14"/>
              </w:rPr>
              <w:t>data_subject_request_type, evidence_retention_requirement, reconciliation_policy, legal_hold_status, erasure_exception, retention_justification</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MRO-14</w:t>
            </w:r>
          </w:p>
        </w:tc>
        <w:tc>
          <w:tcPr>
            <w:tcW w:type="dxa" w:w="2045"/>
          </w:tcPr>
          <w:p>
            <w:pPr>
              <w:spacing w:after="0"/>
            </w:pPr>
            <w:r>
              <w:rPr>
                <w:rFonts w:ascii="Arial" w:hAnsi="Arial"/>
                <w:b w:val="0"/>
                <w:sz w:val="14"/>
              </w:rPr>
              <w:t>Third-Party Processor / Subprocessor Chain</w:t>
            </w:r>
          </w:p>
        </w:tc>
        <w:tc>
          <w:tcPr>
            <w:tcW w:type="dxa" w:w="2045"/>
          </w:tcPr>
          <w:p>
            <w:pPr>
              <w:spacing w:after="0"/>
            </w:pPr>
            <w:r>
              <w:rPr>
                <w:rFonts w:ascii="Arial" w:hAnsi="Arial"/>
                <w:b w:val="0"/>
                <w:sz w:val="14"/>
              </w:rPr>
              <w:t>Map processor and subprocessor chain with responsibility assignment</w:t>
            </w:r>
          </w:p>
        </w:tc>
        <w:tc>
          <w:tcPr>
            <w:tcW w:type="dxa" w:w="2045"/>
          </w:tcPr>
          <w:p>
            <w:pPr>
              <w:spacing w:after="0"/>
            </w:pPr>
            <w:r>
              <w:rPr>
                <w:rFonts w:ascii="Arial" w:hAnsi="Arial"/>
                <w:b w:val="0"/>
                <w:sz w:val="14"/>
              </w:rPr>
              <w:t>processor_name, processor_role, subprocessor_chain, data_processing_agreement, responsibility_assignment, processor_liability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MRO-15</w:t>
            </w:r>
          </w:p>
        </w:tc>
        <w:tc>
          <w:tcPr>
            <w:tcW w:type="dxa" w:w="2045"/>
          </w:tcPr>
          <w:p>
            <w:pPr>
              <w:spacing w:after="0"/>
            </w:pPr>
            <w:r>
              <w:rPr>
                <w:rFonts w:ascii="Arial" w:hAnsi="Arial"/>
                <w:b w:val="0"/>
                <w:sz w:val="14"/>
              </w:rPr>
              <w:t>Vendor / Model / Runtime Substitution Conformance</w:t>
            </w:r>
          </w:p>
        </w:tc>
        <w:tc>
          <w:tcPr>
            <w:tcW w:type="dxa" w:w="2045"/>
          </w:tcPr>
          <w:p>
            <w:pPr>
              <w:spacing w:after="0"/>
            </w:pPr>
            <w:r>
              <w:rPr>
                <w:rFonts w:ascii="Arial" w:hAnsi="Arial"/>
                <w:b w:val="0"/>
                <w:sz w:val="14"/>
              </w:rPr>
              <w:t>Validate conformance after vendor, model, or runtime substitution</w:t>
            </w:r>
          </w:p>
        </w:tc>
        <w:tc>
          <w:tcPr>
            <w:tcW w:type="dxa" w:w="2045"/>
          </w:tcPr>
          <w:p>
            <w:pPr>
              <w:spacing w:after="0"/>
            </w:pPr>
            <w:r>
              <w:rPr>
                <w:rFonts w:ascii="Arial" w:hAnsi="Arial"/>
                <w:b w:val="0"/>
                <w:sz w:val="14"/>
              </w:rPr>
              <w:t>substitution_type, previous_vendor, new_vendor, conformance_validation, regression_testing, evidence_integrity_check</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MRO-16</w:t>
            </w:r>
          </w:p>
        </w:tc>
        <w:tc>
          <w:tcPr>
            <w:tcW w:type="dxa" w:w="2045"/>
          </w:tcPr>
          <w:p>
            <w:pPr>
              <w:spacing w:after="0"/>
            </w:pPr>
            <w:r>
              <w:rPr>
                <w:rFonts w:ascii="Arial" w:hAnsi="Arial"/>
                <w:b w:val="0"/>
                <w:sz w:val="14"/>
              </w:rPr>
              <w:t>Incident, Dispute, and Remediation Closure</w:t>
            </w:r>
          </w:p>
        </w:tc>
        <w:tc>
          <w:tcPr>
            <w:tcW w:type="dxa" w:w="2045"/>
          </w:tcPr>
          <w:p>
            <w:pPr>
              <w:spacing w:after="0"/>
            </w:pPr>
            <w:r>
              <w:rPr>
                <w:rFonts w:ascii="Arial" w:hAnsi="Arial"/>
                <w:b w:val="0"/>
                <w:sz w:val="14"/>
              </w:rPr>
              <w:t>Record incident, dispute, and remediation closure with responsible owner</w:t>
            </w:r>
          </w:p>
        </w:tc>
        <w:tc>
          <w:tcPr>
            <w:tcW w:type="dxa" w:w="2045"/>
          </w:tcPr>
          <w:p>
            <w:pPr>
              <w:spacing w:after="0"/>
            </w:pPr>
            <w:r>
              <w:rPr>
                <w:rFonts w:ascii="Arial" w:hAnsi="Arial"/>
                <w:b w:val="0"/>
                <w:sz w:val="14"/>
              </w:rPr>
              <w:t>incident_type, affected_outcomes, remediation_action, closure_status, responsible_owner, customer_impact_assessment</w:t>
            </w:r>
          </w:p>
        </w:tc>
        <w:tc>
          <w:tcPr>
            <w:tcW w:type="dxa" w:w="2045"/>
          </w:tcPr>
          <w:p>
            <w:pPr>
              <w:spacing w:after="0"/>
            </w:pPr>
            <w:r>
              <w:rPr>
                <w:rFonts w:ascii="Arial" w:hAnsi="Arial"/>
                <w:b w:val="0"/>
                <w:sz w:val="14"/>
              </w:rPr>
              <w:t>Illustrative only; not legal requirement; not certification requirement</w:t>
            </w:r>
          </w:p>
        </w:tc>
      </w:tr>
    </w:tbl>
    <w:p>
      <w:pPr>
        <w:pStyle w:val="Heading2"/>
      </w:pPr>
      <w:r>
        <w:t>A.3 MRO Templates</w:t>
      </w:r>
    </w:p>
    <w:p>
      <w:pPr>
        <w:pStyle w:val="Heading3"/>
      </w:pPr>
      <w:r>
        <w:t>MRO-01: Human Role to MAS Responsibility Mapping</w:t>
      </w:r>
    </w:p>
    <w:p>
      <w:pPr>
        <w:spacing w:after="56"/>
      </w:pPr>
      <w:r>
        <w:t># MRO-01: Human Role to MAS Responsibility Mapping</w:t>
        <w:br/>
        <w:t>object_id: "mro01-uuid-example"</w:t>
        <w:br/>
        <w:t>object_type: "MRO-01"</w:t>
        <w:br/>
        <w:t>lifecycle_id: "lifecycle-uuid"</w:t>
        <w:br/>
        <w:t>project_id: "project-uuid"</w:t>
        <w:br/>
        <w:t>object_version: 1</w:t>
        <w:br/>
        <w:t>related_human_role_id: "human-role-uuid"</w:t>
        <w:br/>
        <w:t>related_agent_role_id: "agent-role-uuid"</w:t>
        <w:br/>
        <w:t>authority_scope: "review_and_accept"</w:t>
        <w:br/>
        <w:t>risk_class: "medium"</w:t>
        <w:br/>
        <w:t>evidence_pointer: "evidence-chain-uuid"</w:t>
        <w:br/>
        <w:t>privacy_treatment: "no_pii"</w:t>
        <w:br/>
        <w:t>status: "active"</w:t>
        <w:br/>
        <w:t>created_at: "2026-05-10T10:00:00Z"</w:t>
        <w:br/>
        <w:t>updated_at: "2026-05-10T10:00:00Z"</w:t>
        <w:br/>
        <w:t>closure_reason: null</w:t>
        <w:br/>
        <w:br/>
        <w:t># Object-specific fields</w:t>
        <w:br/>
        <w:t>human_role_name: "Customer Support Manager"</w:t>
        <w:br/>
        <w:t>mas_responsibility_scope: "Review and accept agent-drafted customer responses"</w:t>
        <w:br/>
        <w:t>acceptance_required: true</w:t>
        <w:br/>
        <w:t>escalation_policy: "Escalate to Senior Manager if customer dispute"</w:t>
        <w:br/>
        <w:t>review_frequency: "daily"</w:t>
      </w:r>
    </w:p>
    <w:p>
      <w:pPr>
        <w:pStyle w:val="Heading3"/>
      </w:pPr>
      <w:r>
        <w:t>MRO-02: Delegated Authority Boundary</w:t>
      </w:r>
    </w:p>
    <w:p>
      <w:pPr>
        <w:spacing w:after="56"/>
      </w:pPr>
      <w:r>
        <w:t># MRO-02: Delegated Authority Boundary</w:t>
        <w:br/>
        <w:t>object_id: "mro02-uuid-example"</w:t>
        <w:br/>
        <w:t>object_type: "MRO-02"</w:t>
        <w:br/>
        <w:t>lifecycle_id: "lifecycle-uuid"</w:t>
        <w:br/>
        <w:t>project_id: "project-uuid"</w:t>
        <w:br/>
        <w:t>object_version: 1</w:t>
        <w:br/>
        <w:t>related_human_role_id: "human-role-uuid"</w:t>
        <w:br/>
        <w:t>related_agent_role_id: "agent-role-uuid"</w:t>
        <w:br/>
        <w:t>authority_scope: "draft_only"</w:t>
        <w:br/>
        <w:t>risk_class: "high"</w:t>
        <w:br/>
        <w:t>evidence_pointer: "evidence-chain-uuid"</w:t>
        <w:br/>
        <w:t>privacy_treatment: "no_pii"</w:t>
        <w:br/>
        <w:t>status: "active"</w:t>
        <w:br/>
        <w:t>created_at: "2026-05-10T10:00:00Z"</w:t>
        <w:br/>
        <w:t>updated_at: "2026-05-10T10:00:00Z"</w:t>
        <w:br/>
        <w:t>closure_reason: null</w:t>
        <w:br/>
        <w:br/>
        <w:t># Object-specific fields</w:t>
        <w:br/>
        <w:t>authority_grant_type: "explicit_grant"</w:t>
        <w:br/>
        <w:t>tool_action_permissions: ["read_crm", "draft_email"]</w:t>
        <w:br/>
        <w:t>boundary_violation_policy: "alert_and_block"</w:t>
        <w:br/>
        <w:t>reauthorization_trigger: "model_version_change"</w:t>
        <w:br/>
        <w:t>drift_detection_enabled: true</w:t>
      </w:r>
    </w:p>
    <w:p>
      <w:pPr>
        <w:pStyle w:val="Heading3"/>
      </w:pPr>
      <w:r>
        <w:t>MRO-03: Agent Role is not Human Role</w:t>
      </w:r>
    </w:p>
    <w:p>
      <w:pPr>
        <w:spacing w:after="56"/>
      </w:pPr>
      <w:r>
        <w:t># MRO-03: Agent Role is not Human Role</w:t>
        <w:br/>
        <w:t>object_id: "mro03-uuid-example"</w:t>
        <w:br/>
        <w:t>object_type: "MRO-03"</w:t>
        <w:br/>
        <w:t>lifecycle_id: "lifecycle-uuid"</w:t>
        <w:br/>
        <w:t>project_id: "project-uuid"</w:t>
        <w:br/>
        <w:t>object_version: 1</w:t>
        <w:br/>
        <w:t>related_human_role_id: "human-role-uuid"</w:t>
        <w:br/>
        <w:t>related_agent_role_id: "agent-role-uuid"</w:t>
        <w:br/>
        <w:t>authority_scope: "agent_responsibility_surface"</w:t>
        <w:br/>
        <w:t>risk_class: "medium"</w:t>
        <w:br/>
        <w:t>evidence_pointer: "evidence-chain-uuid"</w:t>
        <w:br/>
        <w:t>privacy_treatment: "no_pii"</w:t>
        <w:br/>
        <w:t>status: "active"</w:t>
        <w:br/>
        <w:t>created_at: "2026-05-10T10:00:00Z"</w:t>
        <w:br/>
        <w:t>updated_at: "2026-05-10T10:00:00Z"</w:t>
        <w:br/>
        <w:t>closure_reason: null</w:t>
        <w:br/>
        <w:br/>
        <w:t># Object-specific fields</w:t>
        <w:br/>
        <w:t>agent_role_name: "Customer Support Agent"</w:t>
        <w:br/>
        <w:t>agent_responsibility_surface: "Draft responses; recommend actions; escalate disputes"</w:t>
        <w:br/>
        <w:t>human_role_distinction: "Human role: Review, accept, and send responses; resolve disputes"</w:t>
        <w:br/>
        <w:t>accountability_mapping: "Agent recommends; human accepts; human accountable"</w:t>
        <w:br/>
        <w:t>role_confusion_risk: "low"</w:t>
      </w:r>
    </w:p>
    <w:p>
      <w:pPr>
        <w:pStyle w:val="Heading3"/>
      </w:pPr>
      <w:r>
        <w:t>MRO-04: Accepted Outcome Compliance</w:t>
      </w:r>
    </w:p>
    <w:p>
      <w:pPr>
        <w:spacing w:after="56"/>
      </w:pPr>
      <w:r>
        <w:t># MRO-04: Accepted Outcome Compliance</w:t>
        <w:br/>
        <w:t>object_id: "mro04-uuid-example"</w:t>
        <w:br/>
        <w:t>object_type: "MRO-04"</w:t>
        <w:br/>
        <w:t>lifecycle_id: "lifecycle-uuid"</w:t>
        <w:br/>
        <w:t>project_id: "project-uuid"</w:t>
        <w:br/>
        <w:t>object_version: 1</w:t>
        <w:br/>
        <w:t>related_human_role_id: "human-role-uuid"</w:t>
        <w:br/>
        <w:t>related_agent_role_id: "agent-role-uuid"</w:t>
        <w:br/>
        <w:t>authority_scope: "outcome_acceptance"</w:t>
        <w:br/>
        <w:t>risk_class: "high"</w:t>
        <w:br/>
        <w:t>evidence_pointer: "evidence-chain-uuid"</w:t>
        <w:br/>
        <w:t>privacy_treatment: "redact_pii"</w:t>
        <w:br/>
        <w:t>status: "accepted"</w:t>
        <w:br/>
        <w:t>created_at: "2026-05-10T10:00:00Z"</w:t>
        <w:br/>
        <w:t>updated_at: "2026-05-10T10:15:00Z"</w:t>
        <w:br/>
        <w:t>closure_reason: null</w:t>
        <w:br/>
        <w:br/>
        <w:t># Object-specific fields</w:t>
        <w:br/>
        <w:t>outcome_description: "Customer refund request approved"</w:t>
        <w:br/>
        <w:t>acceptance_status: "accepted"</w:t>
        <w:br/>
        <w:t>accepted_by_role: "Customer Support Manager"</w:t>
        <w:br/>
        <w:t>acceptance_timestamp: "2026-05-10T10:15:00Z"</w:t>
        <w:br/>
        <w:t>rejection_reason: null</w:t>
        <w:br/>
        <w:t>escalation_path: "Senior Manager if customer disputes"</w:t>
      </w:r>
    </w:p>
    <w:p>
      <w:pPr>
        <w:pStyle w:val="Heading3"/>
      </w:pPr>
      <w:r>
        <w:t>MRO-05: Tool-Action Liability Boundary</w:t>
      </w:r>
    </w:p>
    <w:p>
      <w:pPr>
        <w:spacing w:after="56"/>
      </w:pPr>
      <w:r>
        <w:t># MRO-05: Tool-Action Liability Boundary</w:t>
        <w:br/>
        <w:t>object_id: "mro05-uuid-example"</w:t>
        <w:br/>
        <w:t>object_type: "MRO-05"</w:t>
        <w:br/>
        <w:t>lifecycle_id: "lifecycle-uuid"</w:t>
        <w:br/>
        <w:t>project_id: "project-uuid"</w:t>
        <w:br/>
        <w:t>object_version: 1</w:t>
        <w:br/>
        <w:t>related_human_role_id: "human-role-uuid"</w:t>
        <w:br/>
        <w:t>related_agent_role_id: "agent-role-uuid"</w:t>
        <w:br/>
        <w:t>authority_scope: "tool_action"</w:t>
        <w:br/>
        <w:t>risk_class: "high"</w:t>
        <w:br/>
        <w:t>evidence_pointer: "evidence-chain-uuid"</w:t>
        <w:br/>
        <w:t>privacy_treatment: "redact_pii"</w:t>
        <w:br/>
        <w:t>status: "active"</w:t>
        <w:br/>
        <w:t>created_at: "2026-05-10T10:00:00Z"</w:t>
        <w:br/>
        <w:t>updated_at: "2026-05-10T10:00:00Z"</w:t>
        <w:br/>
        <w:t>closure_reason: null</w:t>
        <w:br/>
        <w:br/>
        <w:t># Object-specific fields</w:t>
        <w:br/>
        <w:t>tool_name: "CRM API"</w:t>
        <w:br/>
        <w:t>action_type: "update_customer_record"</w:t>
        <w:br/>
        <w:t>liability_assignment: "responsibility_boundary_recorded"</w:t>
        <w:br/>
        <w:t>tool_provider_agreement: "agreement-uuid"</w:t>
        <w:br/>
        <w:t>authorization_record: "authorization-uuid"</w:t>
        <w:br/>
        <w:t>action_reversibility: "reversible_with_audit_trail"</w:t>
      </w:r>
    </w:p>
    <w:p>
      <w:pPr>
        <w:pStyle w:val="Heading3"/>
      </w:pPr>
      <w:r>
        <w:t>MRO-06: Responsibility Transfer Across Agents</w:t>
      </w:r>
    </w:p>
    <w:p>
      <w:pPr>
        <w:spacing w:after="56"/>
      </w:pPr>
      <w:r>
        <w:t># MRO-06: Responsibility Transfer Across Agents</w:t>
        <w:br/>
        <w:t>object_id: "mro06-uuid-example"</w:t>
        <w:br/>
        <w:t>object_type: "MRO-06"</w:t>
        <w:br/>
        <w:t>lifecycle_id: "lifecycle-uuid"</w:t>
        <w:br/>
        <w:t>project_id: "project-uuid"</w:t>
        <w:br/>
        <w:t>object_version: 1</w:t>
        <w:br/>
        <w:t>related_human_role_id: "human-role-uuid"</w:t>
        <w:br/>
        <w:t>related_agent_role_id: "agent-role-uuid"</w:t>
        <w:br/>
        <w:t>authority_scope: "handoff"</w:t>
        <w:br/>
        <w:t>risk_class: "medium"</w:t>
        <w:br/>
        <w:t>evidence_pointer: "evidence-chain-uuid"</w:t>
        <w:br/>
        <w:t>privacy_treatment: "no_pii"</w:t>
        <w:br/>
        <w:t>status: "active"</w:t>
        <w:br/>
        <w:t>created_at: "2026-05-10T10:00:00Z"</w:t>
        <w:br/>
        <w:t>updated_at: "2026-05-10T10:00:00Z"</w:t>
        <w:br/>
        <w:t>closure_reason: null</w:t>
        <w:br/>
        <w:br/>
        <w:t># Object-specific fields</w:t>
        <w:br/>
        <w:t>source_agent_id: "agent-1-uuid"</w:t>
        <w:br/>
        <w:t>target_agent_id: "agent-2-uuid"</w:t>
        <w:br/>
        <w:t>transfer_timestamp: "2026-05-10T10:00:00Z"</w:t>
        <w:br/>
        <w:t>constraint_inheritance: ["no_refund_over_1000", "require_manager_approval"]</w:t>
        <w:br/>
        <w:t>handoff_validation: "handoff_check_recorded"</w:t>
        <w:br/>
        <w:t>responsibility_acceptance: "accepted_by_agent_2"</w:t>
      </w:r>
    </w:p>
    <w:p>
      <w:pPr>
        <w:pStyle w:val="Heading3"/>
      </w:pPr>
      <w:r>
        <w:t>MRO-07: Authority Drift</w:t>
      </w:r>
    </w:p>
    <w:p>
      <w:pPr>
        <w:spacing w:after="56"/>
      </w:pPr>
      <w:r>
        <w:t># MRO-07: Authority Drift</w:t>
        <w:br/>
        <w:t>object_id: "mro07-uuid-example"</w:t>
        <w:br/>
        <w:t>object_type: "MRO-07"</w:t>
        <w:br/>
        <w:t>lifecycle_id: "lifecycle-uuid"</w:t>
        <w:br/>
        <w:t>project_id: "project-uuid"</w:t>
        <w:br/>
        <w:t>object_version: 1</w:t>
        <w:br/>
        <w:t>related_human_role_id: "human-role-uuid"</w:t>
        <w:br/>
        <w:t>related_agent_role_id: "agent-role-uuid"</w:t>
        <w:br/>
        <w:t>authority_scope: "draft_only"</w:t>
        <w:br/>
        <w:t>risk_class: "high"</w:t>
        <w:br/>
        <w:t>evidence_pointer: "evidence-chain-uuid"</w:t>
        <w:br/>
        <w:t>privacy_treatment: "no_pii"</w:t>
        <w:br/>
        <w:t>status: "drift_detected"</w:t>
        <w:br/>
        <w:t>created_at: "2026-05-10T10:00:00Z"</w:t>
        <w:br/>
        <w:t>updated_at: "2026-05-10T11:00:00Z"</w:t>
        <w:br/>
        <w:t>closure_reason: null</w:t>
        <w:br/>
        <w:br/>
        <w:t># Object-specific fields</w:t>
        <w:br/>
        <w:t>authority_baseline: "draft_only"</w:t>
        <w:br/>
        <w:t>current_authority_scope: "draft_and_send"</w:t>
        <w:br/>
        <w:t>drift_detected: true</w:t>
        <w:br/>
        <w:t>drift_magnitude: "high"</w:t>
        <w:br/>
        <w:t>reauthorization_required: true</w:t>
        <w:br/>
        <w:t>drift_alert_policy: "alert_governance_team"</w:t>
      </w:r>
    </w:p>
    <w:p>
      <w:pPr>
        <w:pStyle w:val="Heading3"/>
      </w:pPr>
      <w:r>
        <w:t>MRO-08: MAS Evidence Partitioning</w:t>
      </w:r>
    </w:p>
    <w:p>
      <w:pPr>
        <w:spacing w:after="56"/>
      </w:pPr>
      <w:r>
        <w:t># MRO-08: MAS Evidence Partitioning</w:t>
        <w:br/>
        <w:t>object_id: "mro08-uuid-example"</w:t>
        <w:br/>
        <w:t>object_type: "MRO-08"</w:t>
        <w:br/>
        <w:t>lifecycle_id: "lifecycle-uuid"</w:t>
        <w:br/>
        <w:t>project_id: "project-uuid"</w:t>
        <w:br/>
        <w:t>object_version: 1</w:t>
        <w:br/>
        <w:t>related_human_role_id: "human-role-uuid"</w:t>
        <w:br/>
        <w:t>related_agent_role_id: "agent-role-uuid"</w:t>
        <w:br/>
        <w:t>authority_scope: "evidence_partition"</w:t>
        <w:br/>
        <w:t>risk_class: "medium"</w:t>
        <w:br/>
        <w:t>evidence_pointer: "evidence-chain-uuid"</w:t>
        <w:br/>
        <w:t>privacy_treatment: "selective_disclosure"</w:t>
        <w:br/>
        <w:t>status: "active"</w:t>
        <w:br/>
        <w:t>created_at: "2026-05-10T10:00:00Z"</w:t>
        <w:br/>
        <w:t>updated_at: "2026-05-10T10:00:00Z"</w:t>
        <w:br/>
        <w:t>closure_reason: null</w:t>
        <w:br/>
        <w:br/>
        <w:t># Object-specific fields</w:t>
        <w:br/>
        <w:t>partition_key: "customer-uuid"</w:t>
        <w:br/>
        <w:t>partition_type: "customer"</w:t>
        <w:br/>
        <w:t>evidence_export_policy: "selective_disclosure_only"</w:t>
        <w:br/>
        <w:t>selective_disclosure_enabled: true</w:t>
        <w:br/>
        <w:t>partition_boundary: "customer_data_only"</w:t>
        <w:br/>
        <w:t>cross_partition_access_policy: "deny"</w:t>
      </w:r>
    </w:p>
    <w:p>
      <w:pPr>
        <w:pStyle w:val="Heading3"/>
      </w:pPr>
      <w:r>
        <w:t>MRO-09: Cross-Project Reuse Compliance</w:t>
      </w:r>
    </w:p>
    <w:p>
      <w:pPr>
        <w:spacing w:after="56"/>
      </w:pPr>
      <w:r>
        <w:t># MRO-09: Cross-Project Reuse Compliance</w:t>
        <w:br/>
        <w:t>object_id: "mro09-uuid-example"</w:t>
        <w:br/>
        <w:t>object_type: "MRO-09"</w:t>
        <w:br/>
        <w:t>lifecycle_id: "lifecycle-uuid"</w:t>
        <w:br/>
        <w:t>project_id: "project-uuid"</w:t>
        <w:br/>
        <w:t>object_version: 1</w:t>
        <w:br/>
        <w:t>related_human_role_id: "human-role-uuid"</w:t>
        <w:br/>
        <w:t>related_agent_role_id: "agent-role-uuid"</w:t>
        <w:br/>
        <w:t>authority_scope: "reuse_validation"</w:t>
        <w:br/>
        <w:t>risk_class: "high"</w:t>
        <w:br/>
        <w:t>evidence_pointer: "evidence-chain-uuid"</w:t>
        <w:br/>
        <w:t>privacy_treatment: "context_reset"</w:t>
        <w:br/>
        <w:t>status: "reuse_review_recorded"</w:t>
        <w:br/>
        <w:t>created_at: "2026-05-10T10:00:00Z"</w:t>
        <w:br/>
        <w:t>updated_at: "2026-05-10T10:00:00Z"</w:t>
        <w:br/>
        <w:t>closure_reason: null</w:t>
        <w:br/>
        <w:br/>
        <w:t># Object-specific fields</w:t>
        <w:br/>
        <w:t>source_project_id: "project-1-uuid"</w:t>
        <w:br/>
        <w:t>target_project_id: "project-2-uuid"</w:t>
        <w:br/>
        <w:t>reuse_type: "prompt_template"</w:t>
        <w:br/>
        <w:t>reset_validation: "reset_check_recorded"</w:t>
        <w:br/>
        <w:t>reauthorization_required: true</w:t>
        <w:br/>
        <w:t>context_boundary_check: "context_boundary_check_recorded"</w:t>
      </w:r>
    </w:p>
    <w:p>
      <w:pPr>
        <w:pStyle w:val="Heading3"/>
      </w:pPr>
      <w:r>
        <w:t>MRO-10: Privacy / GDPR Lifecycle Mapping</w:t>
      </w:r>
    </w:p>
    <w:p>
      <w:pPr>
        <w:spacing w:after="56"/>
      </w:pPr>
      <w:r>
        <w:t># MRO-10: Privacy / GDPR Lifecycle Mapping</w:t>
        <w:br/>
        <w:t>object_id: "mro10-uuid-example"</w:t>
        <w:br/>
        <w:t>object_type: "MRO-10"</w:t>
        <w:br/>
        <w:t>lifecycle_id: "lifecycle-uuid"</w:t>
        <w:br/>
        <w:t>project_id: "project-uuid"</w:t>
        <w:br/>
        <w:t>object_version: 1</w:t>
        <w:br/>
        <w:t>related_human_role_id: "human-role-uuid"</w:t>
        <w:br/>
        <w:t>related_agent_role_id: "agent-role-uuid"</w:t>
        <w:br/>
        <w:t>authority_scope: "privacy_mapping"</w:t>
        <w:br/>
        <w:t>risk_class: "high"</w:t>
        <w:br/>
        <w:t>evidence_pointer: "evidence-chain-uuid"</w:t>
        <w:br/>
        <w:t>privacy_treatment: "gdpr_lifecycle_mapping_required"</w:t>
        <w:br/>
        <w:t>status: "active"</w:t>
        <w:br/>
        <w:t>created_at: "2026-05-10T10:00:00Z"</w:t>
        <w:br/>
        <w:t>updated_at: "2026-05-10T10:00:00Z"</w:t>
        <w:br/>
        <w:t>closure_reason: null</w:t>
        <w:br/>
        <w:br/>
        <w:t># Object-specific fields</w:t>
        <w:br/>
        <w:t>data_flow_record: "data-flow-uuid"</w:t>
        <w:br/>
        <w:t>retention_policy: "30_days"</w:t>
        <w:br/>
        <w:t>data_subject_rights_workflow: "rights_workflow_mapping_required"</w:t>
        <w:br/>
        <w:t>privacy_impact_assessment: "pia-uuid"</w:t>
        <w:br/>
        <w:t>gdpr_article_mapping: ["Article 6 mapping required", "Article 17 mapping required"]</w:t>
        <w:br/>
        <w:t>data_minimization_policy: "collect_only_necessary"</w:t>
      </w:r>
    </w:p>
    <w:p>
      <w:pPr>
        <w:pStyle w:val="Heading3"/>
      </w:pPr>
      <w:r>
        <w:t>MRO-11: Privacy-Preserving Third-Party Validation</w:t>
      </w:r>
    </w:p>
    <w:p>
      <w:pPr>
        <w:spacing w:after="56"/>
      </w:pPr>
      <w:r>
        <w:t># MRO-11: Privacy-Preserving Third-Party Validation</w:t>
        <w:br/>
        <w:t>object_id: "mro11-uuid-example"</w:t>
        <w:br/>
        <w:t>object_type: "MRO-11"</w:t>
        <w:br/>
        <w:t>lifecycle_id: "lifecycle-uuid"</w:t>
        <w:br/>
        <w:t>project_id: "project-uuid"</w:t>
        <w:br/>
        <w:t>object_version: 1</w:t>
        <w:br/>
        <w:t>related_human_role_id: "human-role-uuid"</w:t>
        <w:br/>
        <w:t>related_agent_role_id: "agent-role-uuid"</w:t>
        <w:br/>
        <w:t>authority_scope: "validation"</w:t>
        <w:br/>
        <w:t>risk_class: "medium"</w:t>
        <w:br/>
        <w:t>evidence_pointer: "evidence-chain-uuid"</w:t>
        <w:br/>
        <w:t>privacy_treatment: "hash_based_validation"</w:t>
        <w:br/>
        <w:t>status: "validation_recorded"</w:t>
        <w:br/>
        <w:t>created_at: "2026-05-10T10:00:00Z"</w:t>
        <w:br/>
        <w:t>updated_at: "2026-05-10T10:30:00Z"</w:t>
        <w:br/>
        <w:t>closure_reason: null</w:t>
        <w:br/>
        <w:br/>
        <w:t># Object-specific fields</w:t>
        <w:br/>
        <w:t>validation_protocol: "evidence_based_validation_pattern"</w:t>
        <w:br/>
        <w:t>disclosure_profile: "minimal_disclosure"</w:t>
        <w:br/>
        <w:t>redaction_profile: "redact_all_pii"</w:t>
        <w:br/>
        <w:t>hash_manifest: "hash-manifest-uuid"</w:t>
        <w:br/>
        <w:t>verdict_hash: "sha256-verdict-hash"</w:t>
        <w:br/>
        <w:t>validation_provider_agreement: "agreement-uuid"</w:t>
      </w:r>
    </w:p>
    <w:p>
      <w:pPr>
        <w:pStyle w:val="Heading3"/>
      </w:pPr>
      <w:r>
        <w:t>MRO-12: Evidence Minimization and Selective Disclosure</w:t>
      </w:r>
    </w:p>
    <w:p>
      <w:pPr>
        <w:spacing w:after="56"/>
      </w:pPr>
      <w:r>
        <w:t># MRO-12: Evidence Minimization and Selective Disclosure</w:t>
        <w:br/>
        <w:t>object_id: "mro12-uuid-example"</w:t>
        <w:br/>
        <w:t>object_type: "MRO-12"</w:t>
        <w:br/>
        <w:t>lifecycle_id: "lifecycle-uuid"</w:t>
        <w:br/>
        <w:t>project_id: "project-uuid"</w:t>
        <w:br/>
        <w:t>object_version: 1</w:t>
        <w:br/>
        <w:t>related_human_role_id: "human-role-uuid"</w:t>
        <w:br/>
        <w:t>related_agent_role_id: "agent-role-uuid"</w:t>
        <w:br/>
        <w:t>authority_scope: "evidence_minimization"</w:t>
        <w:br/>
        <w:t>risk_class: "medium"</w:t>
        <w:br/>
        <w:t>evidence_pointer: "evidence-chain-uuid"</w:t>
        <w:br/>
        <w:t>privacy_treatment: "minimized"</w:t>
        <w:br/>
        <w:t>status: "active"</w:t>
        <w:br/>
        <w:t>created_at: "2026-05-10T10:00:00Z"</w:t>
        <w:br/>
        <w:t>updated_at: "2026-05-10T10:00:00Z"</w:t>
        <w:br/>
        <w:t>closure_reason: null</w:t>
        <w:br/>
        <w:br/>
        <w:t># Object-specific fields</w:t>
        <w:br/>
        <w:t>retention_policy: "30_days"</w:t>
        <w:br/>
        <w:t>disclosure_policy: "selective_disclosure_only"</w:t>
        <w:br/>
        <w:t>minimization_rules: ["remove_pii", "aggregate_metrics"]</w:t>
        <w:br/>
        <w:t>selective_disclosure_log: "disclosure-log-uuid"</w:t>
        <w:br/>
        <w:t>evidence_expiry: "2026-06-10T10:00:00Z"</w:t>
        <w:br/>
        <w:t>disclosure_justification: "audit_request"</w:t>
      </w:r>
    </w:p>
    <w:p>
      <w:pPr>
        <w:pStyle w:val="Heading3"/>
      </w:pPr>
      <w:r>
        <w:t>MRO-13: Data Subject Rights vs Evidence Retention</w:t>
      </w:r>
    </w:p>
    <w:p>
      <w:pPr>
        <w:spacing w:after="56"/>
      </w:pPr>
      <w:r>
        <w:t># MRO-13: Data Subject Rights vs Evidence Retention</w:t>
        <w:br/>
        <w:t>object_id: "mro13-uuid-example"</w:t>
        <w:br/>
        <w:t>object_type: "MRO-13"</w:t>
        <w:br/>
        <w:t>lifecycle_id: "lifecycle-uuid"</w:t>
        <w:br/>
        <w:t>project_id: "project-uuid"</w:t>
        <w:br/>
        <w:t>object_version: 1</w:t>
        <w:br/>
        <w:t>related_human_role_id: "human-role-uuid"</w:t>
        <w:br/>
        <w:t>related_agent_role_id: "agent-role-uuid"</w:t>
        <w:br/>
        <w:t>authority_scope: "data_subject_rights"</w:t>
        <w:br/>
        <w:t>risk_class: "high"</w:t>
        <w:br/>
        <w:t>evidence_pointer: "evidence-chain-uuid"</w:t>
        <w:br/>
        <w:t>privacy_treatment: "erasure_exception"</w:t>
        <w:br/>
        <w:t>status: "reconciled"</w:t>
        <w:br/>
        <w:t>created_at: "2026-05-10T10:00:00Z"</w:t>
        <w:br/>
        <w:t>updated_at: "2026-05-10T10:00:00Z"</w:t>
        <w:br/>
        <w:t>closure_reason: null</w:t>
        <w:br/>
        <w:br/>
        <w:t># Object-specific fields</w:t>
        <w:br/>
        <w:t>data_subject_request_type: "erasure"</w:t>
        <w:br/>
        <w:t>evidence_retention_requirement: "legal_hold"</w:t>
        <w:br/>
        <w:t>reconciliation_policy: "pseudonymize_instead_of_erase"</w:t>
        <w:br/>
        <w:t>legal_hold_status: "active"</w:t>
        <w:br/>
        <w:t>erasure_exception: "legal_obligation"</w:t>
        <w:br/>
        <w:t>retention_justification: "ongoing_dispute"</w:t>
      </w:r>
    </w:p>
    <w:p>
      <w:pPr>
        <w:pStyle w:val="Heading3"/>
      </w:pPr>
      <w:r>
        <w:t>MRO-14: Third-Party Processor / Subprocessor Chain</w:t>
      </w:r>
    </w:p>
    <w:p>
      <w:pPr>
        <w:spacing w:after="56"/>
      </w:pPr>
      <w:r>
        <w:t># MRO-14: Third-Party Processor / Subprocessor Chain</w:t>
        <w:br/>
        <w:t>object_id: "mro14-uuid-example"</w:t>
        <w:br/>
        <w:t>object_type: "MRO-14"</w:t>
        <w:br/>
        <w:t>lifecycle_id: "lifecycle-uuid"</w:t>
        <w:br/>
        <w:t>project_id: "project-uuid"</w:t>
        <w:br/>
        <w:t>object_version: 1</w:t>
        <w:br/>
        <w:t>related_human_role_id: "human-role-uuid"</w:t>
        <w:br/>
        <w:t>related_agent_role_id: "agent-role-uuid"</w:t>
        <w:br/>
        <w:t>authority_scope: "processor_chain"</w:t>
        <w:br/>
        <w:t>risk_class: "high"</w:t>
        <w:br/>
        <w:t>evidence_pointer: "evidence-chain-uuid"</w:t>
        <w:br/>
        <w:t>privacy_treatment: "processor_agreement"</w:t>
        <w:br/>
        <w:t>status: "active"</w:t>
        <w:br/>
        <w:t>created_at: "2026-05-10T10:00:00Z"</w:t>
        <w:br/>
        <w:t>updated_at: "2026-05-10T10:00:00Z"</w:t>
        <w:br/>
        <w:t>closure_reason: null</w:t>
        <w:br/>
        <w:br/>
        <w:t># Object-specific fields</w:t>
        <w:br/>
        <w:t>processor_name: "Cloud AI Provider"</w:t>
        <w:br/>
        <w:t>processor_role: "model_inference"</w:t>
        <w:br/>
        <w:t>subprocessor_chain: ["Vector DB Provider", "Monitoring Platform"]</w:t>
        <w:br/>
        <w:t>data_processing_agreement: "dpa-uuid"</w:t>
        <w:br/>
        <w:t>responsibility_assignment: "processor_responsibility_reference"</w:t>
        <w:br/>
        <w:t>processor_liability: "gdpr_article_28_mapping_required"</w:t>
      </w:r>
    </w:p>
    <w:p>
      <w:pPr>
        <w:pStyle w:val="Heading3"/>
      </w:pPr>
      <w:r>
        <w:t>MRO-15: Vendor / Model / Runtime Substitution Conformance</w:t>
      </w:r>
    </w:p>
    <w:p>
      <w:pPr>
        <w:spacing w:after="56"/>
      </w:pPr>
      <w:r>
        <w:t># MRO-15: Vendor / Model / Runtime Substitution Conformance</w:t>
        <w:br/>
        <w:t>object_id: "mro15-uuid-example"</w:t>
        <w:br/>
        <w:t>object_type: "MRO-15"</w:t>
        <w:br/>
        <w:t>lifecycle_id: "lifecycle-uuid"</w:t>
        <w:br/>
        <w:t>project_id: "project-uuid"</w:t>
        <w:br/>
        <w:t>object_version: 1</w:t>
        <w:br/>
        <w:t>related_human_role_id: "human-role-uuid"</w:t>
        <w:br/>
        <w:t>related_agent_role_id: "agent-role-uuid"</w:t>
        <w:br/>
        <w:t>authority_scope: "substitution_validation"</w:t>
        <w:br/>
        <w:t>risk_class: "high"</w:t>
        <w:br/>
        <w:t>evidence_pointer: "evidence-chain-uuid"</w:t>
        <w:br/>
        <w:t>privacy_treatment: "no_pii"</w:t>
        <w:br/>
        <w:t>status: "conformance_check_recorded"</w:t>
        <w:br/>
        <w:t>created_at: "2026-05-10T10:00:00Z"</w:t>
        <w:br/>
        <w:t>updated_at: "2026-05-10T10:00:00Z"</w:t>
        <w:br/>
        <w:t>closure_reason: null</w:t>
        <w:br/>
        <w:br/>
        <w:t># Object-specific fields</w:t>
        <w:br/>
        <w:t>substitution_type: "model_provider"</w:t>
        <w:br/>
        <w:t>previous_vendor: "Vendor A"</w:t>
        <w:br/>
        <w:t>new_vendor: "Vendor B"</w:t>
        <w:br/>
        <w:t>conformance_validation: "conformance_check_recorded"</w:t>
        <w:br/>
        <w:t>regression_testing: "regression_check_recorded"</w:t>
        <w:br/>
        <w:t>evidence_integrity_check: "evidence_integrity_check_recorded"</w:t>
      </w:r>
    </w:p>
    <w:p>
      <w:pPr>
        <w:pStyle w:val="Heading3"/>
      </w:pPr>
      <w:r>
        <w:t>MRO-16: Incident, Dispute, and Remediation Closure</w:t>
      </w:r>
    </w:p>
    <w:p>
      <w:pPr>
        <w:spacing w:after="56"/>
      </w:pPr>
      <w:r>
        <w:t># MRO-16: Incident, Dispute, and Remediation Closure</w:t>
        <w:br/>
        <w:t>object_id: "mro16-uuid-example"</w:t>
        <w:br/>
        <w:t>object_type: "MRO-16"</w:t>
        <w:br/>
        <w:t>lifecycle_id: "lifecycle-uuid"</w:t>
        <w:br/>
        <w:t>project_id: "project-uuid"</w:t>
        <w:br/>
        <w:t>object_version: 1</w:t>
        <w:br/>
        <w:t>related_human_role_id: "human-role-uuid"</w:t>
        <w:br/>
        <w:t>related_agent_role_id: "agent-role-uuid"</w:t>
        <w:br/>
        <w:t>authority_scope: "incident_closure"</w:t>
        <w:br/>
        <w:t>risk_class: "high"</w:t>
        <w:br/>
        <w:t>evidence_pointer: "evidence-chain-uuid"</w:t>
        <w:br/>
        <w:t>privacy_treatment: "redact_pii"</w:t>
        <w:br/>
        <w:t>status: "closed"</w:t>
        <w:br/>
        <w:t>created_at: "2026-05-10T10:00:00Z"</w:t>
        <w:br/>
        <w:t>updated_at: "2026-05-10T12:00:00Z"</w:t>
        <w:br/>
        <w:t>closure_reason: "remediation_complete"</w:t>
        <w:br/>
        <w:br/>
        <w:t># Object-specific fields</w:t>
        <w:br/>
        <w:t>incident_type: "prompt_bug"</w:t>
        <w:br/>
        <w:t>affected_outcomes: ["outcome-1-uuid", "outcome-2-uuid"]</w:t>
        <w:br/>
        <w:t>remediation_action: "prompt_fixed_and_redeployed"</w:t>
        <w:br/>
        <w:t>closure_status: "closed"</w:t>
        <w:br/>
        <w:t>responsible_owner: "Engineering Manager"</w:t>
        <w:br/>
        <w:t>customer_impact_assessment: "low_impact_2_customers_notified"</w:t>
      </w:r>
    </w:p>
    <w:p>
      <w:pPr>
        <w:pStyle w:val="Heading1"/>
      </w:pPr>
      <w:r>
        <w:t>Appendix B — Scorecard Template</w:t>
      </w:r>
    </w:p>
    <w:p>
      <w:pPr>
        <w:spacing w:after="56"/>
      </w:pPr>
      <w:r>
        <w:t>Version: v0.3.2-FRC-R3</w:t>
      </w:r>
    </w:p>
    <w:p>
      <w:pPr>
        <w:pStyle w:val="Heading2"/>
      </w:pPr>
      <w:r>
        <w:t>B.0 Scorecard Boundary</w:t>
      </w:r>
    </w:p>
    <w:p>
      <w:pPr>
        <w:spacing w:after="56"/>
      </w:pPr>
      <w:r>
        <w:t>This appendix provides reusable RCCS/ALCS scorecard templates for system evaluation and gap analysis. These templates are analytical tools, not legal compliance scores, certifications, or regulatory approvals.</w:t>
      </w:r>
    </w:p>
    <w:p>
      <w:pPr>
        <w:spacing w:after="56"/>
      </w:pPr>
      <w:r>
        <w:t>Boundary statement:</w:t>
      </w:r>
    </w:p>
    <w:p>
      <w:pPr>
        <w:pStyle w:val="ListBullet"/>
        <w:spacing w:after="56"/>
      </w:pPr>
      <w:r>
        <w:t>Scorecards are analytical tools only. RCCS and ALCS scores measure regulatory compliance coverage and lifecycle responsibility object maturity. They do not prove legal compliance, regulatory approval, or certification.</w:t>
      </w:r>
    </w:p>
    <w:p>
      <w:pPr>
        <w:pStyle w:val="ListBullet"/>
        <w:spacing w:after="56"/>
      </w:pPr>
      <w:r>
        <w:t>High scores do not guarantee compliance. A high RCCS or ALCS score indicates that a system provides primitives for regulatory compliance coverage or lifecycle responsibility objects. It does not prove that the system is legally compliant, operationally effective, or enterprise-ready.</w:t>
      </w:r>
    </w:p>
    <w:p>
      <w:pPr>
        <w:pStyle w:val="ListBullet"/>
        <w:spacing w:after="56"/>
      </w:pPr>
      <w:r>
        <w:t>Low scores do not prove non-compliance. A low RCCS or ALCS score indicates gaps in regulatory compliance coverage or lifecycle responsibility object maturity. It does not prove that the system is non-compliant, unsafe, or unsuitable for deployment.</w:t>
      </w:r>
    </w:p>
    <w:p>
      <w:pPr>
        <w:pStyle w:val="ListBullet"/>
        <w:spacing w:after="56"/>
      </w:pPr>
      <w:r>
        <w:t>Scores are context-independent. RCCS and ALCS scores measure system capability, not organizational practice. Organizations must interpret scores within their legal, regulatory, and operational context.</w:t>
      </w:r>
    </w:p>
    <w:p>
      <w:pPr>
        <w:pStyle w:val="ListBullet"/>
        <w:spacing w:after="56"/>
      </w:pPr>
      <w:r>
        <w:t>Scores require evidence. All scores must be supported by evidence. The evidence level (L1-L5) affects the score multiplier. Scores without evidence are not valid.</w:t>
      </w:r>
    </w:p>
    <w:p>
      <w:pPr>
        <w:pStyle w:val="ListBullet"/>
        <w:spacing w:after="56"/>
      </w:pPr>
      <w:r>
        <w:t>Scores are not product rankings. Scorecards compare systems by responsibility semantics, not product quality, market leadership, or procurement suitability.</w:t>
      </w:r>
    </w:p>
    <w:p>
      <w:pPr>
        <w:pStyle w:val="Heading2"/>
      </w:pPr>
      <w:r>
        <w:t>B.1 Dimension-Level Scoring Template</w:t>
      </w:r>
    </w:p>
    <w:p>
      <w:pPr>
        <w:spacing w:after="56"/>
      </w:pPr>
      <w:r>
        <w:t>The following template supports dimension-level scoring for RCCS and ALCS dimensions.</w:t>
      </w:r>
    </w:p>
    <w:p>
      <w:pPr>
        <w:keepNext/>
      </w:pPr>
      <w:r>
        <w:rPr>
          <w:b/>
          <w:sz w:val="16"/>
        </w:rPr>
        <w:t>Table T-B-01: RCCS/ALCS Dimension Scorecard Template</w:t>
      </w:r>
    </w:p>
    <w:tbl>
      <w:tblPr>
        <w:tblStyle w:val="TableGrid"/>
        <w:tblW w:type="auto" w:w="0"/>
        <w:tblLayout w:type="autofit"/>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pPr>
              <w:spacing w:after="0"/>
            </w:pPr>
            <w:r>
              <w:rPr>
                <w:rFonts w:ascii="Arial" w:hAnsi="Arial"/>
                <w:b/>
                <w:sz w:val="12"/>
              </w:rPr>
              <w:t>System</w:t>
            </w:r>
          </w:p>
        </w:tc>
        <w:tc>
          <w:tcPr>
            <w:tcW w:type="dxa" w:w="1278"/>
          </w:tcPr>
          <w:p>
            <w:pPr>
              <w:spacing w:after="0"/>
            </w:pPr>
            <w:r>
              <w:rPr>
                <w:rFonts w:ascii="Arial" w:hAnsi="Arial"/>
                <w:b/>
                <w:sz w:val="12"/>
              </w:rPr>
              <w:t>Dimension</w:t>
            </w:r>
          </w:p>
        </w:tc>
        <w:tc>
          <w:tcPr>
            <w:tcW w:type="dxa" w:w="1278"/>
          </w:tcPr>
          <w:p>
            <w:pPr>
              <w:spacing w:after="0"/>
            </w:pPr>
            <w:r>
              <w:rPr>
                <w:rFonts w:ascii="Arial" w:hAnsi="Arial"/>
                <w:b/>
                <w:sz w:val="12"/>
              </w:rPr>
              <w:t>Raw Score 0-5</w:t>
            </w:r>
          </w:p>
        </w:tc>
        <w:tc>
          <w:tcPr>
            <w:tcW w:type="dxa" w:w="1278"/>
          </w:tcPr>
          <w:p>
            <w:pPr>
              <w:spacing w:after="0"/>
            </w:pPr>
            <w:r>
              <w:rPr>
                <w:rFonts w:ascii="Arial" w:hAnsi="Arial"/>
                <w:b/>
                <w:sz w:val="12"/>
              </w:rPr>
              <w:t>Evidence Level</w:t>
            </w:r>
          </w:p>
        </w:tc>
        <w:tc>
          <w:tcPr>
            <w:tcW w:type="dxa" w:w="1278"/>
          </w:tcPr>
          <w:p>
            <w:pPr>
              <w:spacing w:after="0"/>
            </w:pPr>
            <w:r>
              <w:rPr>
                <w:rFonts w:ascii="Arial" w:hAnsi="Arial"/>
                <w:b/>
                <w:sz w:val="12"/>
              </w:rPr>
              <w:t>Multiplier</w:t>
            </w:r>
          </w:p>
        </w:tc>
        <w:tc>
          <w:tcPr>
            <w:tcW w:type="dxa" w:w="1278"/>
          </w:tcPr>
          <w:p>
            <w:pPr>
              <w:spacing w:after="0"/>
            </w:pPr>
            <w:r>
              <w:rPr>
                <w:rFonts w:ascii="Arial" w:hAnsi="Arial"/>
                <w:b/>
                <w:sz w:val="12"/>
              </w:rPr>
              <w:t>Adjusted Score</w:t>
            </w:r>
          </w:p>
        </w:tc>
        <w:tc>
          <w:tcPr>
            <w:tcW w:type="dxa" w:w="1278"/>
          </w:tcPr>
          <w:p>
            <w:pPr>
              <w:spacing w:after="0"/>
            </w:pPr>
            <w:r>
              <w:rPr>
                <w:rFonts w:ascii="Arial" w:hAnsi="Arial"/>
                <w:b/>
                <w:sz w:val="12"/>
              </w:rPr>
              <w:t>Justification</w:t>
            </w:r>
          </w:p>
        </w:tc>
        <w:tc>
          <w:tcPr>
            <w:tcW w:type="dxa" w:w="1278"/>
          </w:tcPr>
          <w:p>
            <w:pPr>
              <w:spacing w:after="0"/>
            </w:pPr>
            <w:r>
              <w:rPr>
                <w:rFonts w:ascii="Arial" w:hAnsi="Arial"/>
                <w:b/>
                <w:sz w:val="12"/>
              </w:rPr>
              <w:t>Boundary Note</w:t>
            </w:r>
          </w:p>
        </w:tc>
      </w:tr>
      <w:tr>
        <w:tc>
          <w:tcPr>
            <w:tcW w:type="dxa" w:w="1278"/>
          </w:tcPr>
          <w:p>
            <w:pPr>
              <w:spacing w:after="0"/>
            </w:pPr>
            <w:r>
              <w:rPr>
                <w:rFonts w:ascii="Arial" w:hAnsi="Arial"/>
                <w:b w:val="0"/>
                <w:sz w:val="12"/>
              </w:rPr>
              <w:t>Example System</w:t>
            </w:r>
          </w:p>
        </w:tc>
        <w:tc>
          <w:tcPr>
            <w:tcW w:type="dxa" w:w="1278"/>
          </w:tcPr>
          <w:p>
            <w:pPr>
              <w:spacing w:after="0"/>
            </w:pPr>
            <w:r>
              <w:rPr>
                <w:rFonts w:ascii="Arial" w:hAnsi="Arial"/>
                <w:b w:val="0"/>
                <w:sz w:val="12"/>
              </w:rPr>
              <w:t>RCCS-04: Record-Keeping</w:t>
            </w:r>
          </w:p>
        </w:tc>
        <w:tc>
          <w:tcPr>
            <w:tcW w:type="dxa" w:w="1278"/>
          </w:tcPr>
          <w:p>
            <w:pPr>
              <w:spacing w:after="0"/>
            </w:pPr>
            <w:r>
              <w:rPr>
                <w:rFonts w:ascii="Arial" w:hAnsi="Arial"/>
                <w:b w:val="0"/>
                <w:sz w:val="12"/>
              </w:rPr>
              <w:t>4</w:t>
            </w:r>
          </w:p>
        </w:tc>
        <w:tc>
          <w:tcPr>
            <w:tcW w:type="dxa" w:w="1278"/>
          </w:tcPr>
          <w:p>
            <w:pPr>
              <w:spacing w:after="0"/>
            </w:pPr>
            <w:r>
              <w:rPr>
                <w:rFonts w:ascii="Arial" w:hAnsi="Arial"/>
                <w:b w:val="0"/>
                <w:sz w:val="12"/>
              </w:rPr>
              <w:t>L2: Product Docs</w:t>
            </w:r>
          </w:p>
        </w:tc>
        <w:tc>
          <w:tcPr>
            <w:tcW w:type="dxa" w:w="1278"/>
          </w:tcPr>
          <w:p>
            <w:pPr>
              <w:spacing w:after="0"/>
            </w:pPr>
            <w:r>
              <w:rPr>
                <w:rFonts w:ascii="Arial" w:hAnsi="Arial"/>
                <w:b w:val="0"/>
                <w:sz w:val="12"/>
              </w:rPr>
              <w:t>0.85</w:t>
            </w:r>
          </w:p>
        </w:tc>
        <w:tc>
          <w:tcPr>
            <w:tcW w:type="dxa" w:w="1278"/>
          </w:tcPr>
          <w:p>
            <w:pPr>
              <w:spacing w:after="0"/>
            </w:pPr>
            <w:r>
              <w:rPr>
                <w:rFonts w:ascii="Arial" w:hAnsi="Arial"/>
                <w:b w:val="0"/>
                <w:sz w:val="12"/>
              </w:rPr>
              <w:t>68.0</w:t>
            </w:r>
          </w:p>
        </w:tc>
        <w:tc>
          <w:tcPr>
            <w:tcW w:type="dxa" w:w="1278"/>
          </w:tcPr>
          <w:p>
            <w:pPr>
              <w:spacing w:after="0"/>
            </w:pPr>
            <w:r>
              <w:rPr>
                <w:rFonts w:ascii="Arial" w:hAnsi="Arial"/>
                <w:b w:val="0"/>
                <w:sz w:val="12"/>
              </w:rPr>
              <w:t>System provides audit trail API and log export capability documented in official product docs</w:t>
            </w:r>
          </w:p>
        </w:tc>
        <w:tc>
          <w:tcPr>
            <w:tcW w:type="dxa" w:w="1278"/>
          </w:tcPr>
          <w:p>
            <w:pPr>
              <w:spacing w:after="0"/>
            </w:pPr>
            <w:r>
              <w:rPr>
                <w:rFonts w:ascii="Arial" w:hAnsi="Arial"/>
                <w:b w:val="0"/>
                <w:sz w:val="12"/>
              </w:rPr>
              <w:t>Score measures capability, not organizational practice; does not prove legal compliance</w:t>
            </w:r>
          </w:p>
        </w:tc>
      </w:tr>
      <w:tr>
        <w:tc>
          <w:tcPr>
            <w:tcW w:type="dxa" w:w="1278"/>
          </w:tcPr>
          <w:p>
            <w:pPr>
              <w:spacing w:after="0"/>
            </w:pPr>
            <w:r>
              <w:rPr>
                <w:rFonts w:ascii="Arial" w:hAnsi="Arial"/>
                <w:b w:val="0"/>
                <w:sz w:val="12"/>
              </w:rPr>
              <w:t>Example System</w:t>
            </w:r>
          </w:p>
        </w:tc>
        <w:tc>
          <w:tcPr>
            <w:tcW w:type="dxa" w:w="1278"/>
          </w:tcPr>
          <w:p>
            <w:pPr>
              <w:spacing w:after="0"/>
            </w:pPr>
            <w:r>
              <w:rPr>
                <w:rFonts w:ascii="Arial" w:hAnsi="Arial"/>
                <w:b w:val="0"/>
                <w:sz w:val="12"/>
              </w:rPr>
              <w:t>ALCS-02: Delegated Authority Boundary</w:t>
            </w:r>
          </w:p>
        </w:tc>
        <w:tc>
          <w:tcPr>
            <w:tcW w:type="dxa" w:w="1278"/>
          </w:tcPr>
          <w:p>
            <w:pPr>
              <w:spacing w:after="0"/>
            </w:pPr>
            <w:r>
              <w:rPr>
                <w:rFonts w:ascii="Arial" w:hAnsi="Arial"/>
                <w:b w:val="0"/>
                <w:sz w:val="12"/>
              </w:rPr>
              <w:t>3</w:t>
            </w:r>
          </w:p>
        </w:tc>
        <w:tc>
          <w:tcPr>
            <w:tcW w:type="dxa" w:w="1278"/>
          </w:tcPr>
          <w:p>
            <w:pPr>
              <w:spacing w:after="0"/>
            </w:pPr>
            <w:r>
              <w:rPr>
                <w:rFonts w:ascii="Arial" w:hAnsi="Arial"/>
                <w:b w:val="0"/>
                <w:sz w:val="12"/>
              </w:rPr>
              <w:t>L3: Audit Report</w:t>
            </w:r>
          </w:p>
        </w:tc>
        <w:tc>
          <w:tcPr>
            <w:tcW w:type="dxa" w:w="1278"/>
          </w:tcPr>
          <w:p>
            <w:pPr>
              <w:spacing w:after="0"/>
            </w:pPr>
            <w:r>
              <w:rPr>
                <w:rFonts w:ascii="Arial" w:hAnsi="Arial"/>
                <w:b w:val="0"/>
                <w:sz w:val="12"/>
              </w:rPr>
              <w:t>0.75</w:t>
            </w:r>
          </w:p>
        </w:tc>
        <w:tc>
          <w:tcPr>
            <w:tcW w:type="dxa" w:w="1278"/>
          </w:tcPr>
          <w:p>
            <w:pPr>
              <w:spacing w:after="0"/>
            </w:pPr>
            <w:r>
              <w:rPr>
                <w:rFonts w:ascii="Arial" w:hAnsi="Arial"/>
                <w:b w:val="0"/>
                <w:sz w:val="12"/>
              </w:rPr>
              <w:t>45.0</w:t>
            </w:r>
          </w:p>
        </w:tc>
        <w:tc>
          <w:tcPr>
            <w:tcW w:type="dxa" w:w="1278"/>
          </w:tcPr>
          <w:p>
            <w:pPr>
              <w:spacing w:after="0"/>
            </w:pPr>
            <w:r>
              <w:rPr>
                <w:rFonts w:ascii="Arial" w:hAnsi="Arial"/>
                <w:b w:val="0"/>
                <w:sz w:val="12"/>
              </w:rPr>
              <w:t>System supports authority grant records and boundary violation alerts per third-party audit report</w:t>
            </w:r>
          </w:p>
        </w:tc>
        <w:tc>
          <w:tcPr>
            <w:tcW w:type="dxa" w:w="1278"/>
          </w:tcPr>
          <w:p>
            <w:pPr>
              <w:spacing w:after="0"/>
            </w:pPr>
            <w:r>
              <w:rPr>
                <w:rFonts w:ascii="Arial" w:hAnsi="Arial"/>
                <w:b w:val="0"/>
                <w:sz w:val="12"/>
              </w:rPr>
              <w:t>Score measures capability, not operational enforcement; does not prove regulatory approval</w:t>
            </w:r>
          </w:p>
        </w:tc>
      </w:tr>
      <w:tr>
        <w:tc>
          <w:tcPr>
            <w:tcW w:type="dxa" w:w="1278"/>
          </w:tcPr>
          <w:p>
            <w:pPr>
              <w:spacing w:after="0"/>
            </w:pPr>
            <w:r>
              <w:rPr>
                <w:rFonts w:ascii="Arial" w:hAnsi="Arial"/>
                <w:b w:val="0"/>
                <w:sz w:val="12"/>
              </w:rPr>
              <w:t>Example System</w:t>
            </w:r>
          </w:p>
        </w:tc>
        <w:tc>
          <w:tcPr>
            <w:tcW w:type="dxa" w:w="1278"/>
          </w:tcPr>
          <w:p>
            <w:pPr>
              <w:spacing w:after="0"/>
            </w:pPr>
            <w:r>
              <w:rPr>
                <w:rFonts w:ascii="Arial" w:hAnsi="Arial"/>
                <w:b w:val="0"/>
                <w:sz w:val="12"/>
              </w:rPr>
              <w:t>RCCS-06: Human Oversight</w:t>
            </w:r>
          </w:p>
        </w:tc>
        <w:tc>
          <w:tcPr>
            <w:tcW w:type="dxa" w:w="1278"/>
          </w:tcPr>
          <w:p>
            <w:pPr>
              <w:spacing w:after="0"/>
            </w:pPr>
            <w:r>
              <w:rPr>
                <w:rFonts w:ascii="Arial" w:hAnsi="Arial"/>
                <w:b w:val="0"/>
                <w:sz w:val="12"/>
              </w:rPr>
              <w:t>2</w:t>
            </w:r>
          </w:p>
        </w:tc>
        <w:tc>
          <w:tcPr>
            <w:tcW w:type="dxa" w:w="1278"/>
          </w:tcPr>
          <w:p>
            <w:pPr>
              <w:spacing w:after="0"/>
            </w:pPr>
            <w:r>
              <w:rPr>
                <w:rFonts w:ascii="Arial" w:hAnsi="Arial"/>
                <w:b w:val="0"/>
                <w:sz w:val="12"/>
              </w:rPr>
              <w:t>L4: Vendor Claim</w:t>
            </w:r>
          </w:p>
        </w:tc>
        <w:tc>
          <w:tcPr>
            <w:tcW w:type="dxa" w:w="1278"/>
          </w:tcPr>
          <w:p>
            <w:pPr>
              <w:spacing w:after="0"/>
            </w:pPr>
            <w:r>
              <w:rPr>
                <w:rFonts w:ascii="Arial" w:hAnsi="Arial"/>
                <w:b w:val="0"/>
                <w:sz w:val="12"/>
              </w:rPr>
              <w:t>0.55</w:t>
            </w:r>
          </w:p>
        </w:tc>
        <w:tc>
          <w:tcPr>
            <w:tcW w:type="dxa" w:w="1278"/>
          </w:tcPr>
          <w:p>
            <w:pPr>
              <w:spacing w:after="0"/>
            </w:pPr>
            <w:r>
              <w:rPr>
                <w:rFonts w:ascii="Arial" w:hAnsi="Arial"/>
                <w:b w:val="0"/>
                <w:sz w:val="12"/>
              </w:rPr>
              <w:t>22.0</w:t>
            </w:r>
          </w:p>
        </w:tc>
        <w:tc>
          <w:tcPr>
            <w:tcW w:type="dxa" w:w="1278"/>
          </w:tcPr>
          <w:p>
            <w:pPr>
              <w:spacing w:after="0"/>
            </w:pPr>
            <w:r>
              <w:rPr>
                <w:rFonts w:ascii="Arial" w:hAnsi="Arial"/>
                <w:b w:val="0"/>
                <w:sz w:val="12"/>
              </w:rPr>
              <w:t>Vendor claims human-in-the-loop capability but no public documentation or audit evidence</w:t>
            </w:r>
          </w:p>
        </w:tc>
        <w:tc>
          <w:tcPr>
            <w:tcW w:type="dxa" w:w="1278"/>
          </w:tcPr>
          <w:p>
            <w:pPr>
              <w:spacing w:after="0"/>
            </w:pPr>
            <w:r>
              <w:rPr>
                <w:rFonts w:ascii="Arial" w:hAnsi="Arial"/>
                <w:b w:val="0"/>
                <w:sz w:val="12"/>
              </w:rPr>
              <w:t>Score reflects vendor claim only; requires validation; does not prove human oversight is operational</w:t>
            </w:r>
          </w:p>
        </w:tc>
      </w:tr>
      <w:tr>
        <w:tc>
          <w:tcPr>
            <w:tcW w:type="dxa" w:w="1278"/>
          </w:tcPr>
          <w:p>
            <w:pPr>
              <w:spacing w:after="0"/>
            </w:pPr>
            <w:r>
              <w:rPr>
                <w:rFonts w:ascii="Arial" w:hAnsi="Arial"/>
                <w:b w:val="0"/>
                <w:sz w:val="12"/>
              </w:rPr>
              <w:t>Example System</w:t>
            </w:r>
          </w:p>
        </w:tc>
        <w:tc>
          <w:tcPr>
            <w:tcW w:type="dxa" w:w="1278"/>
          </w:tcPr>
          <w:p>
            <w:pPr>
              <w:spacing w:after="0"/>
            </w:pPr>
            <w:r>
              <w:rPr>
                <w:rFonts w:ascii="Arial" w:hAnsi="Arial"/>
                <w:b w:val="0"/>
                <w:sz w:val="12"/>
              </w:rPr>
              <w:t>RCCS-04: Record-Keeping</w:t>
            </w:r>
          </w:p>
        </w:tc>
        <w:tc>
          <w:tcPr>
            <w:tcW w:type="dxa" w:w="1278"/>
          </w:tcPr>
          <w:p>
            <w:pPr>
              <w:spacing w:after="0"/>
            </w:pPr>
            <w:r>
              <w:rPr>
                <w:rFonts w:ascii="Arial" w:hAnsi="Arial"/>
                <w:b w:val="0"/>
                <w:sz w:val="12"/>
              </w:rPr>
              <w:t>5</w:t>
            </w:r>
          </w:p>
        </w:tc>
        <w:tc>
          <w:tcPr>
            <w:tcW w:type="dxa" w:w="1278"/>
          </w:tcPr>
          <w:p>
            <w:pPr>
              <w:spacing w:after="0"/>
            </w:pPr>
            <w:r>
              <w:rPr>
                <w:rFonts w:ascii="Arial" w:hAnsi="Arial"/>
                <w:b w:val="0"/>
                <w:sz w:val="12"/>
              </w:rPr>
              <w:t>L1: EU AI Act Article 12</w:t>
            </w:r>
          </w:p>
        </w:tc>
        <w:tc>
          <w:tcPr>
            <w:tcW w:type="dxa" w:w="1278"/>
          </w:tcPr>
          <w:p>
            <w:pPr>
              <w:spacing w:after="0"/>
            </w:pPr>
            <w:r>
              <w:rPr>
                <w:rFonts w:ascii="Arial" w:hAnsi="Arial"/>
                <w:b w:val="0"/>
                <w:sz w:val="12"/>
              </w:rPr>
              <w:t>1.00</w:t>
            </w:r>
          </w:p>
        </w:tc>
        <w:tc>
          <w:tcPr>
            <w:tcW w:type="dxa" w:w="1278"/>
          </w:tcPr>
          <w:p>
            <w:pPr>
              <w:spacing w:after="0"/>
            </w:pPr>
            <w:r>
              <w:rPr>
                <w:rFonts w:ascii="Arial" w:hAnsi="Arial"/>
                <w:b w:val="0"/>
                <w:sz w:val="12"/>
              </w:rPr>
              <w:t>100.0</w:t>
            </w:r>
          </w:p>
        </w:tc>
        <w:tc>
          <w:tcPr>
            <w:tcW w:type="dxa" w:w="1278"/>
          </w:tcPr>
          <w:p>
            <w:pPr>
              <w:spacing w:after="0"/>
            </w:pPr>
            <w:r>
              <w:rPr>
                <w:rFonts w:ascii="Arial" w:hAnsi="Arial"/>
                <w:b w:val="0"/>
                <w:sz w:val="12"/>
              </w:rPr>
              <w:t>EU AI Act Article 12 establishes record-keeping baseline; mapping system capability to Article 12 requirements is analytical interpretation</w:t>
            </w:r>
          </w:p>
        </w:tc>
        <w:tc>
          <w:tcPr>
            <w:tcW w:type="dxa" w:w="1278"/>
          </w:tcPr>
          <w:p>
            <w:pPr>
              <w:spacing w:after="0"/>
            </w:pPr>
            <w:r>
              <w:rPr>
                <w:rFonts w:ascii="Arial" w:hAnsi="Arial"/>
                <w:b w:val="0"/>
                <w:sz w:val="12"/>
              </w:rPr>
              <w:t>Score reflects regulatory baseline; mapping to system capability is analytical; does not prove legal compliance</w:t>
            </w:r>
          </w:p>
        </w:tc>
      </w:tr>
    </w:tbl>
    <w:p>
      <w:pPr>
        <w:spacing w:after="56"/>
      </w:pPr>
      <w:r>
        <w:t>Scoring rubric:</w:t>
      </w:r>
    </w:p>
    <w:p>
      <w:pPr>
        <w:pStyle w:val="ListBullet"/>
        <w:spacing w:after="56"/>
      </w:pPr>
      <w:r>
        <w:t>0: No capability; no evidence</w:t>
      </w:r>
    </w:p>
    <w:p>
      <w:pPr>
        <w:pStyle w:val="ListBullet"/>
        <w:spacing w:after="56"/>
      </w:pPr>
      <w:r>
        <w:t>1: Minimal capability; weak evidence</w:t>
      </w:r>
    </w:p>
    <w:p>
      <w:pPr>
        <w:pStyle w:val="ListBullet"/>
        <w:spacing w:after="56"/>
      </w:pPr>
      <w:r>
        <w:t>2: Partial capability; some evidence</w:t>
      </w:r>
    </w:p>
    <w:p>
      <w:pPr>
        <w:pStyle w:val="ListBullet"/>
        <w:spacing w:after="56"/>
      </w:pPr>
      <w:r>
        <w:t>3: Moderate capability; documented evidence</w:t>
      </w:r>
    </w:p>
    <w:p>
      <w:pPr>
        <w:pStyle w:val="ListBullet"/>
        <w:spacing w:after="56"/>
      </w:pPr>
      <w:r>
        <w:t>4: Strong capability; validated evidence</w:t>
      </w:r>
    </w:p>
    <w:p>
      <w:pPr>
        <w:pStyle w:val="ListBullet"/>
        <w:spacing w:after="56"/>
      </w:pPr>
      <w:r>
        <w:t>5: Complete capability demonstrated by implementation evidence, formal audit evidence, protocol-level evidence, or validated operational artifacts. Legal text may establish a regulatory baseline but does not by itself prove implementation.</w:t>
      </w:r>
    </w:p>
    <w:p>
      <w:pPr>
        <w:spacing w:after="56"/>
      </w:pPr>
      <w:r>
        <w:t>Evidence level multipliers:</w:t>
      </w:r>
    </w:p>
    <w:p>
      <w:pPr>
        <w:pStyle w:val="ListBullet"/>
        <w:spacing w:after="56"/>
      </w:pPr>
      <w:r>
        <w:t>L1 (Binding Legal Text): 1.00</w:t>
      </w:r>
    </w:p>
    <w:p>
      <w:pPr>
        <w:pStyle w:val="ListBullet"/>
        <w:spacing w:after="56"/>
      </w:pPr>
      <w:r>
        <w:t>L2 (Product Docs): 0.85</w:t>
      </w:r>
    </w:p>
    <w:p>
      <w:pPr>
        <w:pStyle w:val="ListBullet"/>
        <w:spacing w:after="56"/>
      </w:pPr>
      <w:r>
        <w:t>L3 (Audit Report): 0.75</w:t>
      </w:r>
    </w:p>
    <w:p>
      <w:pPr>
        <w:pStyle w:val="ListBullet"/>
        <w:spacing w:after="56"/>
      </w:pPr>
      <w:r>
        <w:t>L4 (Vendor Claim): 0.55</w:t>
      </w:r>
    </w:p>
    <w:p>
      <w:pPr>
        <w:pStyle w:val="ListBullet"/>
        <w:spacing w:after="56"/>
      </w:pPr>
      <w:r>
        <w:t>L5 (Author Inference): 0.35</w:t>
      </w:r>
    </w:p>
    <w:p>
      <w:pPr>
        <w:pStyle w:val="Heading2"/>
      </w:pPr>
      <w:r>
        <w:t>B.2 Evidence-Level Adjustment Template</w:t>
      </w:r>
    </w:p>
    <w:p>
      <w:pPr>
        <w:spacing w:after="56"/>
      </w:pPr>
      <w:r>
        <w:t>The following template supports evidence-level adjustment for dimension scores.</w:t>
      </w:r>
    </w:p>
    <w:p>
      <w:pPr>
        <w:spacing w:after="56"/>
      </w:pPr>
      <w:r>
        <w:t>Evidence-level adjustment policy:</w:t>
      </w:r>
    </w:p>
    <w:p>
      <w:pPr>
        <w:pStyle w:val="ListNumber"/>
        <w:spacing w:after="56"/>
      </w:pPr>
      <w:r>
        <w:t>Start with raw score (0-5) based on system capability assessment</w:t>
      </w:r>
    </w:p>
    <w:p>
      <w:pPr>
        <w:pStyle w:val="ListNumber"/>
        <w:spacing w:after="56"/>
      </w:pPr>
      <w:r>
        <w:t>Identify evidence level (L1-L5) based on source type</w:t>
      </w:r>
    </w:p>
    <w:p>
      <w:pPr>
        <w:pStyle w:val="ListNumber"/>
        <w:spacing w:after="56"/>
      </w:pPr>
      <w:r>
        <w:t>Apply multiplier to calculate adjusted score using normalized formula: (Raw Score / 5) × 100 × Evidence Multiplier</w:t>
      </w:r>
    </w:p>
    <w:p>
      <w:pPr>
        <w:pStyle w:val="ListNumber"/>
        <w:spacing w:after="56"/>
      </w:pPr>
      <w:r>
        <w:t>Document justification explaining why the raw score and evidence level were assigned</w:t>
      </w:r>
    </w:p>
    <w:p>
      <w:pPr>
        <w:pStyle w:val="ListNumber"/>
        <w:spacing w:after="56"/>
      </w:pPr>
      <w:r>
        <w:t>Add boundary note clarifying what the score does and does not prove</w:t>
      </w:r>
    </w:p>
    <w:p>
      <w:pPr>
        <w:spacing w:after="56"/>
      </w:pPr>
      <w:r>
        <w:t>Example:</w:t>
      </w:r>
    </w:p>
    <w:p>
      <w:pPr>
        <w:spacing w:after="56"/>
      </w:pPr>
      <w:r>
        <w:t>dimension: RCCS-04 Record-Keeping</w:t>
        <w:br/>
        <w:t>raw_score: 4</w:t>
        <w:br/>
        <w:t>evidence_level: L2</w:t>
        <w:br/>
        <w:t>multiplier: 0.85</w:t>
        <w:br/>
        <w:t>adjusted_score: 68.0  # (4/5) × 100 × 0.85</w:t>
        <w:br/>
        <w:t>justification: "System provides audit trail API and log export capability documented in official product docs"</w:t>
        <w:br/>
        <w:t>boundary_note: "Score measures capability, not organizational practice; does not prove legal compliance"</w:t>
      </w:r>
    </w:p>
    <w:p>
      <w:pPr>
        <w:pStyle w:val="Heading2"/>
      </w:pPr>
      <w:r>
        <w:t>B.3 Composite Score Template</w:t>
      </w:r>
    </w:p>
    <w:p>
      <w:pPr>
        <w:spacing w:after="56"/>
      </w:pPr>
      <w:r>
        <w:t>The following template supports composite score calculation combining RCCS and ALCS.</w:t>
      </w:r>
    </w:p>
    <w:p>
      <w:pPr>
        <w:keepNext/>
      </w:pPr>
      <w:r>
        <w:rPr>
          <w:b/>
          <w:sz w:val="16"/>
        </w:rPr>
        <w:t>Table T-B-02: Composite Analytical Score Worksheet</w:t>
      </w:r>
    </w:p>
    <w:tbl>
      <w:tblPr>
        <w:tblStyle w:val="TableGrid"/>
        <w:tblW w:type="auto" w:w="0"/>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61"/>
          </w:tcPr>
          <w:p>
            <w:pPr>
              <w:spacing w:after="0"/>
            </w:pPr>
            <w:r>
              <w:rPr>
                <w:rFonts w:ascii="Arial" w:hAnsi="Arial"/>
                <w:b/>
                <w:sz w:val="12"/>
              </w:rPr>
              <w:t>System</w:t>
            </w:r>
          </w:p>
        </w:tc>
        <w:tc>
          <w:tcPr>
            <w:tcW w:type="dxa" w:w="1461"/>
          </w:tcPr>
          <w:p>
            <w:pPr>
              <w:spacing w:after="0"/>
            </w:pPr>
            <w:r>
              <w:rPr>
                <w:rFonts w:ascii="Arial" w:hAnsi="Arial"/>
                <w:b/>
                <w:sz w:val="12"/>
              </w:rPr>
              <w:t>RCCS Adjusted Score 0-100</w:t>
            </w:r>
          </w:p>
        </w:tc>
        <w:tc>
          <w:tcPr>
            <w:tcW w:type="dxa" w:w="1461"/>
          </w:tcPr>
          <w:p>
            <w:pPr>
              <w:spacing w:after="0"/>
            </w:pPr>
            <w:r>
              <w:rPr>
                <w:rFonts w:ascii="Arial" w:hAnsi="Arial"/>
                <w:b/>
                <w:sz w:val="12"/>
              </w:rPr>
              <w:t>ALCS Adjusted Score 0-100</w:t>
            </w:r>
          </w:p>
        </w:tc>
        <w:tc>
          <w:tcPr>
            <w:tcW w:type="dxa" w:w="1461"/>
          </w:tcPr>
          <w:p>
            <w:pPr>
              <w:spacing w:after="0"/>
            </w:pPr>
            <w:r>
              <w:rPr>
                <w:rFonts w:ascii="Arial" w:hAnsi="Arial"/>
                <w:b/>
                <w:sz w:val="12"/>
              </w:rPr>
              <w:t>RCCS Weight</w:t>
            </w:r>
          </w:p>
        </w:tc>
        <w:tc>
          <w:tcPr>
            <w:tcW w:type="dxa" w:w="1461"/>
          </w:tcPr>
          <w:p>
            <w:pPr>
              <w:spacing w:after="0"/>
            </w:pPr>
            <w:r>
              <w:rPr>
                <w:rFonts w:ascii="Arial" w:hAnsi="Arial"/>
                <w:b/>
                <w:sz w:val="12"/>
              </w:rPr>
              <w:t>ALCS Weight</w:t>
            </w:r>
          </w:p>
        </w:tc>
        <w:tc>
          <w:tcPr>
            <w:tcW w:type="dxa" w:w="1461"/>
          </w:tcPr>
          <w:p>
            <w:pPr>
              <w:spacing w:after="0"/>
            </w:pPr>
            <w:r>
              <w:rPr>
                <w:rFonts w:ascii="Arial" w:hAnsi="Arial"/>
                <w:b/>
                <w:sz w:val="12"/>
              </w:rPr>
              <w:t>Composite Analytical Score 0-100</w:t>
            </w:r>
          </w:p>
        </w:tc>
        <w:tc>
          <w:tcPr>
            <w:tcW w:type="dxa" w:w="1461"/>
          </w:tcPr>
          <w:p>
            <w:pPr>
              <w:spacing w:after="0"/>
            </w:pPr>
            <w:r>
              <w:rPr>
                <w:rFonts w:ascii="Arial" w:hAnsi="Arial"/>
                <w:b/>
                <w:sz w:val="12"/>
              </w:rPr>
              <w:t>Interpretation Boundary</w:t>
            </w:r>
          </w:p>
        </w:tc>
      </w:tr>
      <w:tr>
        <w:tc>
          <w:tcPr>
            <w:tcW w:type="dxa" w:w="1461"/>
          </w:tcPr>
          <w:p>
            <w:pPr>
              <w:spacing w:after="0"/>
            </w:pPr>
            <w:r>
              <w:rPr>
                <w:rFonts w:ascii="Arial" w:hAnsi="Arial"/>
                <w:b w:val="0"/>
                <w:sz w:val="12"/>
              </w:rPr>
              <w:t>Example System A</w:t>
            </w:r>
          </w:p>
        </w:tc>
        <w:tc>
          <w:tcPr>
            <w:tcW w:type="dxa" w:w="1461"/>
          </w:tcPr>
          <w:p>
            <w:pPr>
              <w:spacing w:after="0"/>
            </w:pPr>
            <w:r>
              <w:rPr>
                <w:rFonts w:ascii="Arial" w:hAnsi="Arial"/>
                <w:b w:val="0"/>
                <w:sz w:val="12"/>
              </w:rPr>
              <w:t>65.0</w:t>
            </w:r>
          </w:p>
        </w:tc>
        <w:tc>
          <w:tcPr>
            <w:tcW w:type="dxa" w:w="1461"/>
          </w:tcPr>
          <w:p>
            <w:pPr>
              <w:spacing w:after="0"/>
            </w:pPr>
            <w:r>
              <w:rPr>
                <w:rFonts w:ascii="Arial" w:hAnsi="Arial"/>
                <w:b w:val="0"/>
                <w:sz w:val="12"/>
              </w:rPr>
              <w:t>55.0</w:t>
            </w:r>
          </w:p>
        </w:tc>
        <w:tc>
          <w:tcPr>
            <w:tcW w:type="dxa" w:w="1461"/>
          </w:tcPr>
          <w:p>
            <w:pPr>
              <w:spacing w:after="0"/>
            </w:pPr>
            <w:r>
              <w:rPr>
                <w:rFonts w:ascii="Arial" w:hAnsi="Arial"/>
                <w:b w:val="0"/>
                <w:sz w:val="12"/>
              </w:rPr>
              <w:t>0.40</w:t>
            </w:r>
          </w:p>
        </w:tc>
        <w:tc>
          <w:tcPr>
            <w:tcW w:type="dxa" w:w="1461"/>
          </w:tcPr>
          <w:p>
            <w:pPr>
              <w:spacing w:after="0"/>
            </w:pPr>
            <w:r>
              <w:rPr>
                <w:rFonts w:ascii="Arial" w:hAnsi="Arial"/>
                <w:b w:val="0"/>
                <w:sz w:val="12"/>
              </w:rPr>
              <w:t>0.60</w:t>
            </w:r>
          </w:p>
        </w:tc>
        <w:tc>
          <w:tcPr>
            <w:tcW w:type="dxa" w:w="1461"/>
          </w:tcPr>
          <w:p>
            <w:pPr>
              <w:spacing w:after="0"/>
            </w:pPr>
            <w:r>
              <w:rPr>
                <w:rFonts w:ascii="Arial" w:hAnsi="Arial"/>
                <w:b w:val="0"/>
                <w:sz w:val="12"/>
              </w:rPr>
              <w:t>59.0</w:t>
            </w:r>
          </w:p>
        </w:tc>
        <w:tc>
          <w:tcPr>
            <w:tcW w:type="dxa" w:w="1461"/>
          </w:tcPr>
          <w:p>
            <w:pPr>
              <w:spacing w:after="0"/>
            </w:pPr>
            <w:r>
              <w:rPr>
                <w:rFonts w:ascii="Arial" w:hAnsi="Arial"/>
                <w:b w:val="0"/>
                <w:sz w:val="12"/>
              </w:rPr>
              <w:t>Analytical score; not legal compliance proof or procurement ranking</w:t>
            </w:r>
          </w:p>
        </w:tc>
      </w:tr>
      <w:tr>
        <w:tc>
          <w:tcPr>
            <w:tcW w:type="dxa" w:w="1461"/>
          </w:tcPr>
          <w:p>
            <w:pPr>
              <w:spacing w:after="0"/>
            </w:pPr>
            <w:r>
              <w:rPr>
                <w:rFonts w:ascii="Arial" w:hAnsi="Arial"/>
                <w:b w:val="0"/>
                <w:sz w:val="12"/>
              </w:rPr>
              <w:t>Example System B</w:t>
            </w:r>
          </w:p>
        </w:tc>
        <w:tc>
          <w:tcPr>
            <w:tcW w:type="dxa" w:w="1461"/>
          </w:tcPr>
          <w:p>
            <w:pPr>
              <w:spacing w:after="0"/>
            </w:pPr>
            <w:r>
              <w:rPr>
                <w:rFonts w:ascii="Arial" w:hAnsi="Arial"/>
                <w:b w:val="0"/>
                <w:sz w:val="12"/>
              </w:rPr>
              <w:t>72.0</w:t>
            </w:r>
          </w:p>
        </w:tc>
        <w:tc>
          <w:tcPr>
            <w:tcW w:type="dxa" w:w="1461"/>
          </w:tcPr>
          <w:p>
            <w:pPr>
              <w:spacing w:after="0"/>
            </w:pPr>
            <w:r>
              <w:rPr>
                <w:rFonts w:ascii="Arial" w:hAnsi="Arial"/>
                <w:b w:val="0"/>
                <w:sz w:val="12"/>
              </w:rPr>
              <w:t>48.0</w:t>
            </w:r>
          </w:p>
        </w:tc>
        <w:tc>
          <w:tcPr>
            <w:tcW w:type="dxa" w:w="1461"/>
          </w:tcPr>
          <w:p>
            <w:pPr>
              <w:spacing w:after="0"/>
            </w:pPr>
            <w:r>
              <w:rPr>
                <w:rFonts w:ascii="Arial" w:hAnsi="Arial"/>
                <w:b w:val="0"/>
                <w:sz w:val="12"/>
              </w:rPr>
              <w:t>0.40</w:t>
            </w:r>
          </w:p>
        </w:tc>
        <w:tc>
          <w:tcPr>
            <w:tcW w:type="dxa" w:w="1461"/>
          </w:tcPr>
          <w:p>
            <w:pPr>
              <w:spacing w:after="0"/>
            </w:pPr>
            <w:r>
              <w:rPr>
                <w:rFonts w:ascii="Arial" w:hAnsi="Arial"/>
                <w:b w:val="0"/>
                <w:sz w:val="12"/>
              </w:rPr>
              <w:t>0.60</w:t>
            </w:r>
          </w:p>
        </w:tc>
        <w:tc>
          <w:tcPr>
            <w:tcW w:type="dxa" w:w="1461"/>
          </w:tcPr>
          <w:p>
            <w:pPr>
              <w:spacing w:after="0"/>
            </w:pPr>
            <w:r>
              <w:rPr>
                <w:rFonts w:ascii="Arial" w:hAnsi="Arial"/>
                <w:b w:val="0"/>
                <w:sz w:val="12"/>
              </w:rPr>
              <w:t>57.6</w:t>
            </w:r>
          </w:p>
        </w:tc>
        <w:tc>
          <w:tcPr>
            <w:tcW w:type="dxa" w:w="1461"/>
          </w:tcPr>
          <w:p>
            <w:pPr>
              <w:spacing w:after="0"/>
            </w:pPr>
            <w:r>
              <w:rPr>
                <w:rFonts w:ascii="Arial" w:hAnsi="Arial"/>
                <w:b w:val="0"/>
                <w:sz w:val="12"/>
              </w:rPr>
              <w:t>Analytical score; not legal compliance proof or deployment readiness threshold</w:t>
            </w:r>
          </w:p>
        </w:tc>
      </w:tr>
      <w:tr>
        <w:tc>
          <w:tcPr>
            <w:tcW w:type="dxa" w:w="1461"/>
          </w:tcPr>
          <w:p>
            <w:pPr>
              <w:spacing w:after="0"/>
            </w:pPr>
            <w:r>
              <w:rPr>
                <w:rFonts w:ascii="Arial" w:hAnsi="Arial"/>
                <w:b w:val="0"/>
                <w:sz w:val="12"/>
              </w:rPr>
              <w:t>Example System C</w:t>
            </w:r>
          </w:p>
        </w:tc>
        <w:tc>
          <w:tcPr>
            <w:tcW w:type="dxa" w:w="1461"/>
          </w:tcPr>
          <w:p>
            <w:pPr>
              <w:spacing w:after="0"/>
            </w:pPr>
            <w:r>
              <w:rPr>
                <w:rFonts w:ascii="Arial" w:hAnsi="Arial"/>
                <w:b w:val="0"/>
                <w:sz w:val="12"/>
              </w:rPr>
              <w:t>45.0</w:t>
            </w:r>
          </w:p>
        </w:tc>
        <w:tc>
          <w:tcPr>
            <w:tcW w:type="dxa" w:w="1461"/>
          </w:tcPr>
          <w:p>
            <w:pPr>
              <w:spacing w:after="0"/>
            </w:pPr>
            <w:r>
              <w:rPr>
                <w:rFonts w:ascii="Arial" w:hAnsi="Arial"/>
                <w:b w:val="0"/>
                <w:sz w:val="12"/>
              </w:rPr>
              <w:t>70.0</w:t>
            </w:r>
          </w:p>
        </w:tc>
        <w:tc>
          <w:tcPr>
            <w:tcW w:type="dxa" w:w="1461"/>
          </w:tcPr>
          <w:p>
            <w:pPr>
              <w:spacing w:after="0"/>
            </w:pPr>
            <w:r>
              <w:rPr>
                <w:rFonts w:ascii="Arial" w:hAnsi="Arial"/>
                <w:b w:val="0"/>
                <w:sz w:val="12"/>
              </w:rPr>
              <w:t>0.40</w:t>
            </w:r>
          </w:p>
        </w:tc>
        <w:tc>
          <w:tcPr>
            <w:tcW w:type="dxa" w:w="1461"/>
          </w:tcPr>
          <w:p>
            <w:pPr>
              <w:spacing w:after="0"/>
            </w:pPr>
            <w:r>
              <w:rPr>
                <w:rFonts w:ascii="Arial" w:hAnsi="Arial"/>
                <w:b w:val="0"/>
                <w:sz w:val="12"/>
              </w:rPr>
              <w:t>0.60</w:t>
            </w:r>
          </w:p>
        </w:tc>
        <w:tc>
          <w:tcPr>
            <w:tcW w:type="dxa" w:w="1461"/>
          </w:tcPr>
          <w:p>
            <w:pPr>
              <w:spacing w:after="0"/>
            </w:pPr>
            <w:r>
              <w:rPr>
                <w:rFonts w:ascii="Arial" w:hAnsi="Arial"/>
                <w:b w:val="0"/>
                <w:sz w:val="12"/>
              </w:rPr>
              <w:t>60.0</w:t>
            </w:r>
          </w:p>
        </w:tc>
        <w:tc>
          <w:tcPr>
            <w:tcW w:type="dxa" w:w="1461"/>
          </w:tcPr>
          <w:p>
            <w:pPr>
              <w:spacing w:after="0"/>
            </w:pPr>
            <w:r>
              <w:rPr>
                <w:rFonts w:ascii="Arial" w:hAnsi="Arial"/>
                <w:b w:val="0"/>
                <w:sz w:val="12"/>
              </w:rPr>
              <w:t>Analytical score; not vendor ranking or certification signal</w:t>
            </w:r>
          </w:p>
        </w:tc>
      </w:tr>
    </w:tbl>
    <w:p>
      <w:pPr>
        <w:spacing w:after="56"/>
      </w:pPr>
      <w:r>
        <w:t>Composite score formula:</w:t>
      </w:r>
    </w:p>
    <w:p>
      <w:pPr>
        <w:spacing w:after="56"/>
      </w:pPr>
      <w:r>
        <w:t>Composite Score = (RCCS Adjusted Score × RCCS Weight) + (ALCS Adjusted Score × ALCS Weight)</w:t>
      </w:r>
    </w:p>
    <w:p>
      <w:pPr>
        <w:spacing w:after="56"/>
      </w:pPr>
      <w:r>
        <w:t>Default weights:</w:t>
      </w:r>
    </w:p>
    <w:p>
      <w:pPr>
        <w:pStyle w:val="ListBullet"/>
        <w:spacing w:after="56"/>
      </w:pPr>
      <w:r>
        <w:t>RCCS Weight: 0.40</w:t>
      </w:r>
    </w:p>
    <w:p>
      <w:pPr>
        <w:pStyle w:val="ListBullet"/>
        <w:spacing w:after="56"/>
      </w:pPr>
      <w:r>
        <w:t>ALCS Weight: 0.60</w:t>
      </w:r>
    </w:p>
    <w:p>
      <w:pPr>
        <w:spacing w:after="56"/>
      </w:pPr>
      <w:r>
        <w:t>Interpretation guidance:</w:t>
      </w:r>
    </w:p>
    <w:p>
      <w:pPr>
        <w:pStyle w:val="ListBullet"/>
        <w:spacing w:after="56"/>
      </w:pPr>
      <w:r>
        <w:t>Composite score 80-100: Strong regulatory compliance coverage and lifecycle responsibility object maturity; does not prove legal compliance</w:t>
      </w:r>
    </w:p>
    <w:p>
      <w:pPr>
        <w:pStyle w:val="ListBullet"/>
        <w:spacing w:after="56"/>
      </w:pPr>
      <w:r>
        <w:t>Composite score 60-79: Moderate regulatory compliance coverage and lifecycle responsibility object maturity; gaps may exist</w:t>
      </w:r>
    </w:p>
    <w:p>
      <w:pPr>
        <w:pStyle w:val="ListBullet"/>
        <w:spacing w:after="56"/>
      </w:pPr>
      <w:r>
        <w:t>Composite score 40-59: Partial regulatory compliance coverage and lifecycle responsibility object maturity; significant gaps may exist</w:t>
      </w:r>
    </w:p>
    <w:p>
      <w:pPr>
        <w:pStyle w:val="ListBullet"/>
        <w:spacing w:after="56"/>
      </w:pPr>
      <w:r>
        <w:t>Composite score 20-39: Weak regulatory compliance coverage and lifecycle responsibility object maturity; major gaps may exist</w:t>
      </w:r>
    </w:p>
    <w:p>
      <w:pPr>
        <w:pStyle w:val="ListBullet"/>
        <w:spacing w:after="56"/>
      </w:pPr>
      <w:r>
        <w:t>Composite score 0-19: Minimal regulatory compliance coverage and lifecycle responsibility object maturity; fundamental gaps may exist</w:t>
      </w:r>
    </w:p>
    <w:p>
      <w:pPr>
        <w:spacing w:after="56"/>
      </w:pPr>
      <w:r>
        <w:t>These bands are analytical interpretation bands only. They are not legal compliance thresholds, deployment readiness thresholds, procurement thresholds, or certification cutoffs.</w:t>
      </w:r>
    </w:p>
    <w:p>
      <w:pPr>
        <w:pStyle w:val="Heading2"/>
      </w:pPr>
      <w:r>
        <w:t>B.4 Score Delta Record Template</w:t>
      </w:r>
    </w:p>
    <w:p>
      <w:pPr>
        <w:spacing w:after="56"/>
      </w:pPr>
      <w:r>
        <w:t>The following template supports tracking score changes over time.</w:t>
      </w:r>
    </w:p>
    <w:p>
      <w:pPr>
        <w:keepNext/>
      </w:pPr>
      <w:r>
        <w:rPr>
          <w:b/>
          <w:sz w:val="16"/>
        </w:rPr>
        <w:t>Table T-B-03: Score Delta Record</w:t>
      </w:r>
    </w:p>
    <w:tbl>
      <w:tblPr>
        <w:tblStyle w:val="TableGrid"/>
        <w:tblW w:type="auto" w:w="0"/>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61"/>
          </w:tcPr>
          <w:p>
            <w:pPr>
              <w:spacing w:after="0"/>
            </w:pPr>
            <w:r>
              <w:rPr>
                <w:rFonts w:ascii="Arial" w:hAnsi="Arial"/>
                <w:b/>
                <w:sz w:val="12"/>
              </w:rPr>
              <w:t>Dimension</w:t>
            </w:r>
          </w:p>
        </w:tc>
        <w:tc>
          <w:tcPr>
            <w:tcW w:type="dxa" w:w="1461"/>
          </w:tcPr>
          <w:p>
            <w:pPr>
              <w:spacing w:after="0"/>
            </w:pPr>
            <w:r>
              <w:rPr>
                <w:rFonts w:ascii="Arial" w:hAnsi="Arial"/>
                <w:b/>
                <w:sz w:val="12"/>
              </w:rPr>
              <w:t>Previous Adjusted Score 0-100</w:t>
            </w:r>
          </w:p>
        </w:tc>
        <w:tc>
          <w:tcPr>
            <w:tcW w:type="dxa" w:w="1461"/>
          </w:tcPr>
          <w:p>
            <w:pPr>
              <w:spacing w:after="0"/>
            </w:pPr>
            <w:r>
              <w:rPr>
                <w:rFonts w:ascii="Arial" w:hAnsi="Arial"/>
                <w:b/>
                <w:sz w:val="12"/>
              </w:rPr>
              <w:t>Updated Adjusted Score 0-100</w:t>
            </w:r>
          </w:p>
        </w:tc>
        <w:tc>
          <w:tcPr>
            <w:tcW w:type="dxa" w:w="1461"/>
          </w:tcPr>
          <w:p>
            <w:pPr>
              <w:spacing w:after="0"/>
            </w:pPr>
            <w:r>
              <w:rPr>
                <w:rFonts w:ascii="Arial" w:hAnsi="Arial"/>
                <w:b/>
                <w:sz w:val="12"/>
              </w:rPr>
              <w:t>Reason for Change</w:t>
            </w:r>
          </w:p>
        </w:tc>
        <w:tc>
          <w:tcPr>
            <w:tcW w:type="dxa" w:w="1461"/>
          </w:tcPr>
          <w:p>
            <w:pPr>
              <w:spacing w:after="0"/>
            </w:pPr>
            <w:r>
              <w:rPr>
                <w:rFonts w:ascii="Arial" w:hAnsi="Arial"/>
                <w:b/>
                <w:sz w:val="12"/>
              </w:rPr>
              <w:t>Evidence Change</w:t>
            </w:r>
          </w:p>
        </w:tc>
        <w:tc>
          <w:tcPr>
            <w:tcW w:type="dxa" w:w="1461"/>
          </w:tcPr>
          <w:p>
            <w:pPr>
              <w:spacing w:after="0"/>
            </w:pPr>
            <w:r>
              <w:rPr>
                <w:rFonts w:ascii="Arial" w:hAnsi="Arial"/>
                <w:b/>
                <w:sz w:val="12"/>
              </w:rPr>
              <w:t>Reviewer</w:t>
            </w:r>
          </w:p>
        </w:tc>
        <w:tc>
          <w:tcPr>
            <w:tcW w:type="dxa" w:w="1461"/>
          </w:tcPr>
          <w:p>
            <w:pPr>
              <w:spacing w:after="0"/>
            </w:pPr>
            <w:r>
              <w:rPr>
                <w:rFonts w:ascii="Arial" w:hAnsi="Arial"/>
                <w:b/>
                <w:sz w:val="12"/>
              </w:rPr>
              <w:t>Date</w:t>
            </w:r>
          </w:p>
        </w:tc>
      </w:tr>
      <w:tr>
        <w:tc>
          <w:tcPr>
            <w:tcW w:type="dxa" w:w="1461"/>
          </w:tcPr>
          <w:p>
            <w:pPr>
              <w:spacing w:after="0"/>
            </w:pPr>
            <w:r>
              <w:rPr>
                <w:rFonts w:ascii="Arial" w:hAnsi="Arial"/>
                <w:b w:val="0"/>
                <w:sz w:val="12"/>
              </w:rPr>
              <w:t>RCCS-04: Record-Keeping</w:t>
            </w:r>
          </w:p>
        </w:tc>
        <w:tc>
          <w:tcPr>
            <w:tcW w:type="dxa" w:w="1461"/>
          </w:tcPr>
          <w:p>
            <w:pPr>
              <w:spacing w:after="0"/>
            </w:pPr>
            <w:r>
              <w:rPr>
                <w:rFonts w:ascii="Arial" w:hAnsi="Arial"/>
                <w:b w:val="0"/>
                <w:sz w:val="12"/>
              </w:rPr>
              <w:t>54.4</w:t>
            </w:r>
          </w:p>
        </w:tc>
        <w:tc>
          <w:tcPr>
            <w:tcW w:type="dxa" w:w="1461"/>
          </w:tcPr>
          <w:p>
            <w:pPr>
              <w:spacing w:after="0"/>
            </w:pPr>
            <w:r>
              <w:rPr>
                <w:rFonts w:ascii="Arial" w:hAnsi="Arial"/>
                <w:b w:val="0"/>
                <w:sz w:val="12"/>
              </w:rPr>
              <w:t>68.0</w:t>
            </w:r>
          </w:p>
        </w:tc>
        <w:tc>
          <w:tcPr>
            <w:tcW w:type="dxa" w:w="1461"/>
          </w:tcPr>
          <w:p>
            <w:pPr>
              <w:spacing w:after="0"/>
            </w:pPr>
            <w:r>
              <w:rPr>
                <w:rFonts w:ascii="Arial" w:hAnsi="Arial"/>
                <w:b w:val="0"/>
                <w:sz w:val="12"/>
              </w:rPr>
              <w:t>System added evidence export API with selective disclosure capability</w:t>
            </w:r>
          </w:p>
        </w:tc>
        <w:tc>
          <w:tcPr>
            <w:tcW w:type="dxa" w:w="1461"/>
          </w:tcPr>
          <w:p>
            <w:pPr>
              <w:spacing w:after="0"/>
            </w:pPr>
            <w:r>
              <w:rPr>
                <w:rFonts w:ascii="Arial" w:hAnsi="Arial"/>
                <w:b w:val="0"/>
                <w:sz w:val="12"/>
              </w:rPr>
              <w:t>L2 product docs updated with new API documentation</w:t>
            </w:r>
          </w:p>
        </w:tc>
        <w:tc>
          <w:tcPr>
            <w:tcW w:type="dxa" w:w="1461"/>
          </w:tcPr>
          <w:p>
            <w:pPr>
              <w:spacing w:after="0"/>
            </w:pPr>
            <w:r>
              <w:rPr>
                <w:rFonts w:ascii="Arial" w:hAnsi="Arial"/>
                <w:b w:val="0"/>
                <w:sz w:val="12"/>
              </w:rPr>
              <w:t>Governance Team</w:t>
            </w:r>
          </w:p>
        </w:tc>
        <w:tc>
          <w:tcPr>
            <w:tcW w:type="dxa" w:w="1461"/>
          </w:tcPr>
          <w:p>
            <w:pPr>
              <w:spacing w:after="0"/>
            </w:pPr>
            <w:r>
              <w:rPr>
                <w:rFonts w:ascii="Arial" w:hAnsi="Arial"/>
                <w:b w:val="0"/>
                <w:sz w:val="12"/>
              </w:rPr>
              <w:t>2026-05-10</w:t>
            </w:r>
          </w:p>
        </w:tc>
      </w:tr>
      <w:tr>
        <w:tc>
          <w:tcPr>
            <w:tcW w:type="dxa" w:w="1461"/>
          </w:tcPr>
          <w:p>
            <w:pPr>
              <w:spacing w:after="0"/>
            </w:pPr>
            <w:r>
              <w:rPr>
                <w:rFonts w:ascii="Arial" w:hAnsi="Arial"/>
                <w:b w:val="0"/>
                <w:sz w:val="12"/>
              </w:rPr>
              <w:t>ALCS-02: Delegated Authority Boundary</w:t>
            </w:r>
          </w:p>
        </w:tc>
        <w:tc>
          <w:tcPr>
            <w:tcW w:type="dxa" w:w="1461"/>
          </w:tcPr>
          <w:p>
            <w:pPr>
              <w:spacing w:after="0"/>
            </w:pPr>
            <w:r>
              <w:rPr>
                <w:rFonts w:ascii="Arial" w:hAnsi="Arial"/>
                <w:b w:val="0"/>
                <w:sz w:val="12"/>
              </w:rPr>
              <w:t>40.5</w:t>
            </w:r>
          </w:p>
        </w:tc>
        <w:tc>
          <w:tcPr>
            <w:tcW w:type="dxa" w:w="1461"/>
          </w:tcPr>
          <w:p>
            <w:pPr>
              <w:spacing w:after="0"/>
            </w:pPr>
            <w:r>
              <w:rPr>
                <w:rFonts w:ascii="Arial" w:hAnsi="Arial"/>
                <w:b w:val="0"/>
                <w:sz w:val="12"/>
              </w:rPr>
              <w:t>52.5</w:t>
            </w:r>
          </w:p>
        </w:tc>
        <w:tc>
          <w:tcPr>
            <w:tcW w:type="dxa" w:w="1461"/>
          </w:tcPr>
          <w:p>
            <w:pPr>
              <w:spacing w:after="0"/>
            </w:pPr>
            <w:r>
              <w:rPr>
                <w:rFonts w:ascii="Arial" w:hAnsi="Arial"/>
                <w:b w:val="0"/>
                <w:sz w:val="12"/>
              </w:rPr>
              <w:t>System added authority drift detection and reauthorization workflow</w:t>
            </w:r>
          </w:p>
        </w:tc>
        <w:tc>
          <w:tcPr>
            <w:tcW w:type="dxa" w:w="1461"/>
          </w:tcPr>
          <w:p>
            <w:pPr>
              <w:spacing w:after="0"/>
            </w:pPr>
            <w:r>
              <w:rPr>
                <w:rFonts w:ascii="Arial" w:hAnsi="Arial"/>
                <w:b w:val="0"/>
                <w:sz w:val="12"/>
              </w:rPr>
              <w:t>L3 audit report recorded new capability</w:t>
            </w:r>
          </w:p>
        </w:tc>
        <w:tc>
          <w:tcPr>
            <w:tcW w:type="dxa" w:w="1461"/>
          </w:tcPr>
          <w:p>
            <w:pPr>
              <w:spacing w:after="0"/>
            </w:pPr>
            <w:r>
              <w:rPr>
                <w:rFonts w:ascii="Arial" w:hAnsi="Arial"/>
                <w:b w:val="0"/>
                <w:sz w:val="12"/>
              </w:rPr>
              <w:t>Compliance Team</w:t>
            </w:r>
          </w:p>
        </w:tc>
        <w:tc>
          <w:tcPr>
            <w:tcW w:type="dxa" w:w="1461"/>
          </w:tcPr>
          <w:p>
            <w:pPr>
              <w:spacing w:after="0"/>
            </w:pPr>
            <w:r>
              <w:rPr>
                <w:rFonts w:ascii="Arial" w:hAnsi="Arial"/>
                <w:b w:val="0"/>
                <w:sz w:val="12"/>
              </w:rPr>
              <w:t>2026-05-10</w:t>
            </w:r>
          </w:p>
        </w:tc>
      </w:tr>
      <w:tr>
        <w:tc>
          <w:tcPr>
            <w:tcW w:type="dxa" w:w="1461"/>
          </w:tcPr>
          <w:p>
            <w:pPr>
              <w:spacing w:after="0"/>
            </w:pPr>
            <w:r>
              <w:rPr>
                <w:rFonts w:ascii="Arial" w:hAnsi="Arial"/>
                <w:b w:val="0"/>
                <w:sz w:val="12"/>
              </w:rPr>
              <w:t>RCCS-06: Human Oversight</w:t>
            </w:r>
          </w:p>
        </w:tc>
        <w:tc>
          <w:tcPr>
            <w:tcW w:type="dxa" w:w="1461"/>
          </w:tcPr>
          <w:p>
            <w:pPr>
              <w:spacing w:after="0"/>
            </w:pPr>
            <w:r>
              <w:rPr>
                <w:rFonts w:ascii="Arial" w:hAnsi="Arial"/>
                <w:b w:val="0"/>
                <w:sz w:val="12"/>
              </w:rPr>
              <w:t>13.2</w:t>
            </w:r>
          </w:p>
        </w:tc>
        <w:tc>
          <w:tcPr>
            <w:tcW w:type="dxa" w:w="1461"/>
          </w:tcPr>
          <w:p>
            <w:pPr>
              <w:spacing w:after="0"/>
            </w:pPr>
            <w:r>
              <w:rPr>
                <w:rFonts w:ascii="Arial" w:hAnsi="Arial"/>
                <w:b w:val="0"/>
                <w:sz w:val="12"/>
              </w:rPr>
              <w:t>34.0</w:t>
            </w:r>
          </w:p>
        </w:tc>
        <w:tc>
          <w:tcPr>
            <w:tcW w:type="dxa" w:w="1461"/>
          </w:tcPr>
          <w:p>
            <w:pPr>
              <w:spacing w:after="0"/>
            </w:pPr>
            <w:r>
              <w:rPr>
                <w:rFonts w:ascii="Arial" w:hAnsi="Arial"/>
                <w:b w:val="0"/>
                <w:sz w:val="12"/>
              </w:rPr>
              <w:t>Vendor published official documentation for human-in-the-loop capability</w:t>
            </w:r>
          </w:p>
        </w:tc>
        <w:tc>
          <w:tcPr>
            <w:tcW w:type="dxa" w:w="1461"/>
          </w:tcPr>
          <w:p>
            <w:pPr>
              <w:spacing w:after="0"/>
            </w:pPr>
            <w:r>
              <w:rPr>
                <w:rFonts w:ascii="Arial" w:hAnsi="Arial"/>
                <w:b w:val="0"/>
                <w:sz w:val="12"/>
              </w:rPr>
              <w:t>Evidence level upgraded from L4 (vendor claim) to L2 (product docs)</w:t>
            </w:r>
          </w:p>
        </w:tc>
        <w:tc>
          <w:tcPr>
            <w:tcW w:type="dxa" w:w="1461"/>
          </w:tcPr>
          <w:p>
            <w:pPr>
              <w:spacing w:after="0"/>
            </w:pPr>
            <w:r>
              <w:rPr>
                <w:rFonts w:ascii="Arial" w:hAnsi="Arial"/>
                <w:b w:val="0"/>
                <w:sz w:val="12"/>
              </w:rPr>
              <w:t>Governance Team</w:t>
            </w:r>
          </w:p>
        </w:tc>
        <w:tc>
          <w:tcPr>
            <w:tcW w:type="dxa" w:w="1461"/>
          </w:tcPr>
          <w:p>
            <w:pPr>
              <w:spacing w:after="0"/>
            </w:pPr>
            <w:r>
              <w:rPr>
                <w:rFonts w:ascii="Arial" w:hAnsi="Arial"/>
                <w:b w:val="0"/>
                <w:sz w:val="12"/>
              </w:rPr>
              <w:t>2026-05-10</w:t>
            </w:r>
          </w:p>
        </w:tc>
      </w:tr>
    </w:tbl>
    <w:p>
      <w:pPr>
        <w:spacing w:after="56"/>
      </w:pPr>
      <w:r>
        <w:t>Score delta policy:</w:t>
      </w:r>
    </w:p>
    <w:p>
      <w:pPr>
        <w:pStyle w:val="ListBullet"/>
        <w:spacing w:after="56"/>
      </w:pPr>
      <w:r>
        <w:t>Track all score changes with reason for change, evidence change, reviewer, and date</w:t>
      </w:r>
    </w:p>
    <w:p>
      <w:pPr>
        <w:pStyle w:val="ListBullet"/>
        <w:spacing w:after="56"/>
      </w:pPr>
      <w:r>
        <w:t>Require reviewer approval for all score changes</w:t>
      </w:r>
    </w:p>
    <w:p>
      <w:pPr>
        <w:pStyle w:val="ListBullet"/>
        <w:spacing w:after="56"/>
      </w:pPr>
      <w:r>
        <w:t>Document evidence change explaining why the score changed (new capability, new evidence, evidence level upgrade, etc.)</w:t>
      </w:r>
    </w:p>
    <w:p>
      <w:pPr>
        <w:pStyle w:val="ListBullet"/>
        <w:spacing w:after="56"/>
      </w:pPr>
      <w:r>
        <w:t>Preserve score history to support audit trail and continuous improvement</w:t>
      </w:r>
    </w:p>
    <w:p>
      <w:pPr>
        <w:pStyle w:val="Heading2"/>
      </w:pPr>
      <w:r>
        <w:t>B.5 Negative Control Template</w:t>
      </w:r>
    </w:p>
    <w:p>
      <w:pPr>
        <w:spacing w:after="56"/>
      </w:pPr>
      <w:r>
        <w:t>The following template supports negative control to prevent overclaim.</w:t>
      </w:r>
    </w:p>
    <w:p>
      <w:pPr>
        <w:keepNext/>
      </w:pPr>
      <w:r>
        <w:rPr>
          <w:b/>
          <w:sz w:val="16"/>
        </w:rPr>
        <w:t>Table T-B-04: Negative Control Checklist</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Claim</w:t>
            </w:r>
          </w:p>
        </w:tc>
        <w:tc>
          <w:tcPr>
            <w:tcW w:type="dxa" w:w="2045"/>
          </w:tcPr>
          <w:p>
            <w:pPr>
              <w:spacing w:after="0"/>
            </w:pPr>
            <w:r>
              <w:rPr>
                <w:rFonts w:ascii="Arial" w:hAnsi="Arial"/>
                <w:b/>
                <w:sz w:val="14"/>
              </w:rPr>
              <w:t>Adjacent Capability</w:t>
            </w:r>
          </w:p>
        </w:tc>
        <w:tc>
          <w:tcPr>
            <w:tcW w:type="dxa" w:w="2045"/>
          </w:tcPr>
          <w:p>
            <w:pPr>
              <w:spacing w:after="0"/>
            </w:pPr>
            <w:r>
              <w:rPr>
                <w:rFonts w:ascii="Arial" w:hAnsi="Arial"/>
                <w:b/>
                <w:sz w:val="14"/>
              </w:rPr>
              <w:t>Why It Does Not Count</w:t>
            </w:r>
          </w:p>
        </w:tc>
        <w:tc>
          <w:tcPr>
            <w:tcW w:type="dxa" w:w="2045"/>
          </w:tcPr>
          <w:p>
            <w:pPr>
              <w:spacing w:after="0"/>
            </w:pPr>
            <w:r>
              <w:rPr>
                <w:rFonts w:ascii="Arial" w:hAnsi="Arial"/>
                <w:b/>
                <w:sz w:val="14"/>
              </w:rPr>
              <w:t>Required Evidence</w:t>
            </w:r>
          </w:p>
        </w:tc>
        <w:tc>
          <w:tcPr>
            <w:tcW w:type="dxa" w:w="2045"/>
          </w:tcPr>
          <w:p>
            <w:pPr>
              <w:spacing w:after="0"/>
            </w:pPr>
            <w:r>
              <w:rPr>
                <w:rFonts w:ascii="Arial" w:hAnsi="Arial"/>
                <w:b/>
                <w:sz w:val="14"/>
              </w:rPr>
              <w:t>Reviewer Note</w:t>
            </w:r>
          </w:p>
        </w:tc>
      </w:tr>
      <w:tr>
        <w:tc>
          <w:tcPr>
            <w:tcW w:type="dxa" w:w="2045"/>
          </w:tcPr>
          <w:p>
            <w:pPr>
              <w:spacing w:after="0"/>
            </w:pPr>
            <w:r>
              <w:rPr>
                <w:rFonts w:ascii="Arial" w:hAnsi="Arial"/>
                <w:b w:val="0"/>
                <w:sz w:val="14"/>
              </w:rPr>
              <w:t>"System provides human oversight"</w:t>
            </w:r>
          </w:p>
        </w:tc>
        <w:tc>
          <w:tcPr>
            <w:tcW w:type="dxa" w:w="2045"/>
          </w:tcPr>
          <w:p>
            <w:pPr>
              <w:spacing w:after="0"/>
            </w:pPr>
            <w:r>
              <w:rPr>
                <w:rFonts w:ascii="Arial" w:hAnsi="Arial"/>
                <w:b w:val="0"/>
                <w:sz w:val="14"/>
              </w:rPr>
              <w:t>System has approval button in UI</w:t>
            </w:r>
          </w:p>
        </w:tc>
        <w:tc>
          <w:tcPr>
            <w:tcW w:type="dxa" w:w="2045"/>
          </w:tcPr>
          <w:p>
            <w:pPr>
              <w:spacing w:after="0"/>
            </w:pPr>
            <w:r>
              <w:rPr>
                <w:rFonts w:ascii="Arial" w:hAnsi="Arial"/>
                <w:b w:val="0"/>
                <w:sz w:val="14"/>
              </w:rPr>
              <w:t>Approval button ≠ human-role-to-MAS responsibility mapping; no role assignment records; no acceptance records; no escalation workflow</w:t>
            </w:r>
          </w:p>
        </w:tc>
        <w:tc>
          <w:tcPr>
            <w:tcW w:type="dxa" w:w="2045"/>
          </w:tcPr>
          <w:p>
            <w:pPr>
              <w:spacing w:after="0"/>
            </w:pPr>
            <w:r>
              <w:rPr>
                <w:rFonts w:ascii="Arial" w:hAnsi="Arial"/>
                <w:b w:val="0"/>
                <w:sz w:val="14"/>
              </w:rPr>
              <w:t>Human-role-to-MAS responsibility mapping (MRO-01); acceptance records (MRO-04); escalation workflow</w:t>
            </w:r>
          </w:p>
        </w:tc>
        <w:tc>
          <w:tcPr>
            <w:tcW w:type="dxa" w:w="2045"/>
          </w:tcPr>
          <w:p>
            <w:pPr>
              <w:spacing w:after="0"/>
            </w:pPr>
            <w:r>
              <w:rPr>
                <w:rFonts w:ascii="Arial" w:hAnsi="Arial"/>
                <w:b w:val="0"/>
                <w:sz w:val="14"/>
              </w:rPr>
              <w:t>Approval button is UI feature, not lifecycle governance object</w:t>
            </w:r>
          </w:p>
        </w:tc>
      </w:tr>
      <w:tr>
        <w:tc>
          <w:tcPr>
            <w:tcW w:type="dxa" w:w="2045"/>
          </w:tcPr>
          <w:p>
            <w:pPr>
              <w:spacing w:after="0"/>
            </w:pPr>
            <w:r>
              <w:rPr>
                <w:rFonts w:ascii="Arial" w:hAnsi="Arial"/>
                <w:b w:val="0"/>
                <w:sz w:val="14"/>
              </w:rPr>
              <w:t>"System provides evidence chain"</w:t>
            </w:r>
          </w:p>
        </w:tc>
        <w:tc>
          <w:tcPr>
            <w:tcW w:type="dxa" w:w="2045"/>
          </w:tcPr>
          <w:p>
            <w:pPr>
              <w:spacing w:after="0"/>
            </w:pPr>
            <w:r>
              <w:rPr>
                <w:rFonts w:ascii="Arial" w:hAnsi="Arial"/>
                <w:b w:val="0"/>
                <w:sz w:val="14"/>
              </w:rPr>
              <w:t>System has logs</w:t>
            </w:r>
          </w:p>
        </w:tc>
        <w:tc>
          <w:tcPr>
            <w:tcW w:type="dxa" w:w="2045"/>
          </w:tcPr>
          <w:p>
            <w:pPr>
              <w:spacing w:after="0"/>
            </w:pPr>
            <w:r>
              <w:rPr>
                <w:rFonts w:ascii="Arial" w:hAnsi="Arial"/>
                <w:b w:val="0"/>
                <w:sz w:val="14"/>
              </w:rPr>
              <w:t>Logs ≠ partitioned evidence chain; no evidence export capability; no selective disclosure; no evidence integrity validation</w:t>
            </w:r>
          </w:p>
        </w:tc>
        <w:tc>
          <w:tcPr>
            <w:tcW w:type="dxa" w:w="2045"/>
          </w:tcPr>
          <w:p>
            <w:pPr>
              <w:spacing w:after="0"/>
            </w:pPr>
            <w:r>
              <w:rPr>
                <w:rFonts w:ascii="Arial" w:hAnsi="Arial"/>
                <w:b w:val="0"/>
                <w:sz w:val="14"/>
              </w:rPr>
              <w:t>MAS evidence partitioning (MRO-08); evidence export capability; selective disclosure; evidence integrity validation</w:t>
            </w:r>
          </w:p>
        </w:tc>
        <w:tc>
          <w:tcPr>
            <w:tcW w:type="dxa" w:w="2045"/>
          </w:tcPr>
          <w:p>
            <w:pPr>
              <w:spacing w:after="0"/>
            </w:pPr>
            <w:r>
              <w:rPr>
                <w:rFonts w:ascii="Arial" w:hAnsi="Arial"/>
                <w:b w:val="0"/>
                <w:sz w:val="14"/>
              </w:rPr>
              <w:t>Logs are execution records, not lifecycle responsibility evidence</w:t>
            </w:r>
          </w:p>
        </w:tc>
      </w:tr>
      <w:tr>
        <w:tc>
          <w:tcPr>
            <w:tcW w:type="dxa" w:w="2045"/>
          </w:tcPr>
          <w:p>
            <w:pPr>
              <w:spacing w:after="0"/>
            </w:pPr>
            <w:r>
              <w:rPr>
                <w:rFonts w:ascii="Arial" w:hAnsi="Arial"/>
                <w:b w:val="0"/>
                <w:sz w:val="14"/>
              </w:rPr>
              <w:t>"System provides authority boundary"</w:t>
            </w:r>
          </w:p>
        </w:tc>
        <w:tc>
          <w:tcPr>
            <w:tcW w:type="dxa" w:w="2045"/>
          </w:tcPr>
          <w:p>
            <w:pPr>
              <w:spacing w:after="0"/>
            </w:pPr>
            <w:r>
              <w:rPr>
                <w:rFonts w:ascii="Arial" w:hAnsi="Arial"/>
                <w:b w:val="0"/>
                <w:sz w:val="14"/>
              </w:rPr>
              <w:t>System has access control</w:t>
            </w:r>
          </w:p>
        </w:tc>
        <w:tc>
          <w:tcPr>
            <w:tcW w:type="dxa" w:w="2045"/>
          </w:tcPr>
          <w:p>
            <w:pPr>
              <w:spacing w:after="0"/>
            </w:pPr>
            <w:r>
              <w:rPr>
                <w:rFonts w:ascii="Arial" w:hAnsi="Arial"/>
                <w:b w:val="0"/>
                <w:sz w:val="14"/>
              </w:rPr>
              <w:t>Access control ≠ delegated authority boundary; no authority grant records; no boundary violation alerts; no drift detection</w:t>
            </w:r>
          </w:p>
        </w:tc>
        <w:tc>
          <w:tcPr>
            <w:tcW w:type="dxa" w:w="2045"/>
          </w:tcPr>
          <w:p>
            <w:pPr>
              <w:spacing w:after="0"/>
            </w:pPr>
            <w:r>
              <w:rPr>
                <w:rFonts w:ascii="Arial" w:hAnsi="Arial"/>
                <w:b w:val="0"/>
                <w:sz w:val="14"/>
              </w:rPr>
              <w:t>Delegated authority boundary (MRO-02); authority grant records; boundary violation alerts; drift detection</w:t>
            </w:r>
          </w:p>
        </w:tc>
        <w:tc>
          <w:tcPr>
            <w:tcW w:type="dxa" w:w="2045"/>
          </w:tcPr>
          <w:p>
            <w:pPr>
              <w:spacing w:after="0"/>
            </w:pPr>
            <w:r>
              <w:rPr>
                <w:rFonts w:ascii="Arial" w:hAnsi="Arial"/>
                <w:b w:val="0"/>
                <w:sz w:val="14"/>
              </w:rPr>
              <w:t>Access control is security feature, not lifecycle governance object</w:t>
            </w:r>
          </w:p>
        </w:tc>
      </w:tr>
      <w:tr>
        <w:tc>
          <w:tcPr>
            <w:tcW w:type="dxa" w:w="2045"/>
          </w:tcPr>
          <w:p>
            <w:pPr>
              <w:spacing w:after="0"/>
            </w:pPr>
            <w:r>
              <w:rPr>
                <w:rFonts w:ascii="Arial" w:hAnsi="Arial"/>
                <w:b w:val="0"/>
                <w:sz w:val="14"/>
              </w:rPr>
              <w:t>"System provides accepted outcome compliance"</w:t>
            </w:r>
          </w:p>
        </w:tc>
        <w:tc>
          <w:tcPr>
            <w:tcW w:type="dxa" w:w="2045"/>
          </w:tcPr>
          <w:p>
            <w:pPr>
              <w:spacing w:after="0"/>
            </w:pPr>
            <w:r>
              <w:rPr>
                <w:rFonts w:ascii="Arial" w:hAnsi="Arial"/>
                <w:b w:val="0"/>
                <w:sz w:val="14"/>
              </w:rPr>
              <w:t>Orchestrator marks task complete</w:t>
            </w:r>
          </w:p>
        </w:tc>
        <w:tc>
          <w:tcPr>
            <w:tcW w:type="dxa" w:w="2045"/>
          </w:tcPr>
          <w:p>
            <w:pPr>
              <w:spacing w:after="0"/>
            </w:pPr>
            <w:r>
              <w:rPr>
                <w:rFonts w:ascii="Arial" w:hAnsi="Arial"/>
                <w:b w:val="0"/>
                <w:sz w:val="14"/>
              </w:rPr>
              <w:t>Task completion ≠ accepted outcome; no accountable human role; no acceptance records; no review workflow</w:t>
            </w:r>
          </w:p>
        </w:tc>
        <w:tc>
          <w:tcPr>
            <w:tcW w:type="dxa" w:w="2045"/>
          </w:tcPr>
          <w:p>
            <w:pPr>
              <w:spacing w:after="0"/>
            </w:pPr>
            <w:r>
              <w:rPr>
                <w:rFonts w:ascii="Arial" w:hAnsi="Arial"/>
                <w:b w:val="0"/>
                <w:sz w:val="14"/>
              </w:rPr>
              <w:t>Accepted outcome compliance (MRO-04); human-role-to-MAS responsibility mapping (MRO-01); acceptance records; review workflow</w:t>
            </w:r>
          </w:p>
        </w:tc>
        <w:tc>
          <w:tcPr>
            <w:tcW w:type="dxa" w:w="2045"/>
          </w:tcPr>
          <w:p>
            <w:pPr>
              <w:spacing w:after="0"/>
            </w:pPr>
            <w:r>
              <w:rPr>
                <w:rFonts w:ascii="Arial" w:hAnsi="Arial"/>
                <w:b w:val="0"/>
                <w:sz w:val="14"/>
              </w:rPr>
              <w:t>Execution completion ≠ accepted outcome</w:t>
            </w:r>
          </w:p>
        </w:tc>
      </w:tr>
      <w:tr>
        <w:tc>
          <w:tcPr>
            <w:tcW w:type="dxa" w:w="2045"/>
          </w:tcPr>
          <w:p>
            <w:pPr>
              <w:spacing w:after="0"/>
            </w:pPr>
            <w:r>
              <w:rPr>
                <w:rFonts w:ascii="Arial" w:hAnsi="Arial"/>
                <w:b w:val="0"/>
                <w:sz w:val="14"/>
              </w:rPr>
              <w:t>"System provides privacy-preserving validation"</w:t>
            </w:r>
          </w:p>
        </w:tc>
        <w:tc>
          <w:tcPr>
            <w:tcW w:type="dxa" w:w="2045"/>
          </w:tcPr>
          <w:p>
            <w:pPr>
              <w:spacing w:after="0"/>
            </w:pPr>
            <w:r>
              <w:rPr>
                <w:rFonts w:ascii="Arial" w:hAnsi="Arial"/>
                <w:b w:val="0"/>
                <w:sz w:val="14"/>
              </w:rPr>
              <w:t>System has data export</w:t>
            </w:r>
          </w:p>
        </w:tc>
        <w:tc>
          <w:tcPr>
            <w:tcW w:type="dxa" w:w="2045"/>
          </w:tcPr>
          <w:p>
            <w:pPr>
              <w:spacing w:after="0"/>
            </w:pPr>
            <w:r>
              <w:rPr>
                <w:rFonts w:ascii="Arial" w:hAnsi="Arial"/>
                <w:b w:val="0"/>
                <w:sz w:val="14"/>
              </w:rPr>
              <w:t>Data export ≠ privacy-preserving validation; no disclosure profile; no redaction profile; no hash manifests; no verdict hashes</w:t>
            </w:r>
          </w:p>
        </w:tc>
        <w:tc>
          <w:tcPr>
            <w:tcW w:type="dxa" w:w="2045"/>
          </w:tcPr>
          <w:p>
            <w:pPr>
              <w:spacing w:after="0"/>
            </w:pPr>
            <w:r>
              <w:rPr>
                <w:rFonts w:ascii="Arial" w:hAnsi="Arial"/>
                <w:b w:val="0"/>
                <w:sz w:val="14"/>
              </w:rPr>
              <w:t>Privacy-preserving third-party validation (MRO-11); disclosure profile; redaction profile; hash manifests; verdict hashes</w:t>
            </w:r>
          </w:p>
        </w:tc>
        <w:tc>
          <w:tcPr>
            <w:tcW w:type="dxa" w:w="2045"/>
          </w:tcPr>
          <w:p>
            <w:pPr>
              <w:spacing w:after="0"/>
            </w:pPr>
            <w:r>
              <w:rPr>
                <w:rFonts w:ascii="Arial" w:hAnsi="Arial"/>
                <w:b w:val="0"/>
                <w:sz w:val="14"/>
              </w:rPr>
              <w:t>Data export is data management feature, not privacy-preserving validation protocol</w:t>
            </w:r>
          </w:p>
        </w:tc>
      </w:tr>
    </w:tbl>
    <w:p>
      <w:pPr>
        <w:spacing w:after="56"/>
      </w:pPr>
      <w:r>
        <w:t>Negative control policy:</w:t>
      </w:r>
    </w:p>
    <w:p>
      <w:pPr>
        <w:pStyle w:val="ListBullet"/>
        <w:spacing w:after="56"/>
      </w:pPr>
      <w:r>
        <w:t>Distinguish adjacent capabilities from lifecycle responsibility objects. Many systems have features that are adjacent to lifecycle governance but do not constitute lifecycle responsibility objects.</w:t>
      </w:r>
    </w:p>
    <w:p>
      <w:pPr>
        <w:pStyle w:val="ListBullet"/>
        <w:spacing w:after="56"/>
      </w:pPr>
      <w:r>
        <w:t>Require explicit evidence for lifecycle responsibility objects. Approval buttons, logs, access control, task completion, and data export are not lifecycle responsibility objects unless they include the required fields and workflows.</w:t>
      </w:r>
    </w:p>
    <w:p>
      <w:pPr>
        <w:pStyle w:val="ListBullet"/>
        <w:spacing w:after="56"/>
      </w:pPr>
      <w:r>
        <w:t>Prevent overclaim. Negative control prevents scoring systems for adjacent capabilities that do not meet lifecycle responsibility object requirements.</w:t>
      </w:r>
    </w:p>
    <w:p>
      <w:pPr>
        <w:pStyle w:val="ListBullet"/>
        <w:spacing w:after="56"/>
      </w:pPr>
      <w:r>
        <w:t>Document why adjacent capabilities do not count. Negative control checklist explains why specific capabilities do not count toward RCCS/ALCS scores.</w:t>
      </w:r>
    </w:p>
    <w:p>
      <w:pPr>
        <w:pStyle w:val="Heading1"/>
      </w:pPr>
      <w:r>
        <w:t>Appendix C — References and Source Notes</w:t>
      </w:r>
    </w:p>
    <w:p>
      <w:pPr>
        <w:spacing w:after="56"/>
      </w:pPr>
      <w:r>
        <w:t>Version: v0.3.2-FRC-R3</w:t>
      </w:r>
    </w:p>
    <w:p>
      <w:pPr>
        <w:pStyle w:val="Heading2"/>
      </w:pPr>
      <w:r>
        <w:t>C.0 Source Boundary</w:t>
      </w:r>
    </w:p>
    <w:p>
      <w:pPr>
        <w:spacing w:after="56"/>
      </w:pPr>
      <w:r>
        <w:t>This appendix provides a source register and citation guidance for the Global AI Compliance White Paper 2026. Phase 1C follow-up located official source entry points and created a claim evidence register for high-risk L2 product/protocol claims. This appendix does not claim final publication-candidate citation rendering or page-level source pinning is complete.</w:t>
      </w:r>
    </w:p>
    <w:p>
      <w:pPr>
        <w:spacing w:after="56"/>
      </w:pPr>
      <w:r>
        <w:t>Boundary statement:</w:t>
      </w:r>
    </w:p>
    <w:p>
      <w:pPr>
        <w:pStyle w:val="ListBullet"/>
        <w:spacing w:after="56"/>
      </w:pPr>
      <w:r>
        <w:t>This appendix is a source register and claim-binding pointer, not a final bibliography. The source register lists sources used in the white paper and their current validation status. Phase 1C follow-up completed source-entry and claim-disposition review; final page-level citation pinning remains a publication-candidate QA task.</w:t>
      </w:r>
    </w:p>
    <w:p>
      <w:pPr>
        <w:pStyle w:val="ListBullet"/>
        <w:spacing w:after="56"/>
      </w:pPr>
      <w:r>
        <w:t>Citation source pointers require final page-level pinning. Many L2 product documentation sources are referenced via source IDs (e.g., [IBM-WATSONX-GOVERNANCE-DOCS], [MPLP-DOCS]). Phase 1C follow-up located official entry points; publication-candidate QA should pin exact page URLs and publication/access details where needed.</w:t>
      </w:r>
    </w:p>
    <w:p>
      <w:pPr>
        <w:pStyle w:val="ListBullet"/>
        <w:spacing w:after="56"/>
      </w:pPr>
      <w:r>
        <w:t>Evidence levels affect confidence. L1 sources (binding legal text, formal standards) establish baseline obligations but do not prove implementation. L2 sources (official product/protocol documentation) support documented capability surfaces but do not prove deployment practice, audit success, legal compliance, or lifecycle responsibility-object implementation. L3-L5 sources have lower or different confidence and must be marked appropriately.</w:t>
      </w:r>
    </w:p>
    <w:p>
      <w:pPr>
        <w:pStyle w:val="ListBullet"/>
        <w:spacing w:after="56"/>
      </w:pPr>
      <w:r>
        <w:t>Source validation is not legal compliance proof. Validated sources support the white paper's analytical framework. They do not prove legal compliance, regulatory approval, or certification.</w:t>
      </w:r>
    </w:p>
    <w:p>
      <w:pPr>
        <w:pStyle w:val="Heading2"/>
      </w:pPr>
      <w:r>
        <w:t>C.1 Evidence Level Policy</w:t>
      </w:r>
    </w:p>
    <w:p>
      <w:pPr>
        <w:spacing w:after="56"/>
      </w:pPr>
      <w:r>
        <w:t>The following table defines evidence levels and their permitted use.</w:t>
      </w:r>
    </w:p>
    <w:p>
      <w:pPr>
        <w:keepNext/>
      </w:pPr>
      <w:r>
        <w:rPr>
          <w:b/>
          <w:sz w:val="16"/>
        </w:rPr>
        <w:t>Table T-C-01: Evidence Level Policy</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Level</w:t>
            </w:r>
          </w:p>
        </w:tc>
        <w:tc>
          <w:tcPr>
            <w:tcW w:type="dxa" w:w="2045"/>
          </w:tcPr>
          <w:p>
            <w:pPr>
              <w:spacing w:after="0"/>
            </w:pPr>
            <w:r>
              <w:rPr>
                <w:rFonts w:ascii="Arial" w:hAnsi="Arial"/>
                <w:b/>
                <w:sz w:val="14"/>
              </w:rPr>
              <w:t>Source Type</w:t>
            </w:r>
          </w:p>
        </w:tc>
        <w:tc>
          <w:tcPr>
            <w:tcW w:type="dxa" w:w="2045"/>
          </w:tcPr>
          <w:p>
            <w:pPr>
              <w:spacing w:after="0"/>
            </w:pPr>
            <w:r>
              <w:rPr>
                <w:rFonts w:ascii="Arial" w:hAnsi="Arial"/>
                <w:b/>
                <w:sz w:val="14"/>
              </w:rPr>
              <w:t>Permitted Use</w:t>
            </w:r>
          </w:p>
        </w:tc>
        <w:tc>
          <w:tcPr>
            <w:tcW w:type="dxa" w:w="2045"/>
          </w:tcPr>
          <w:p>
            <w:pPr>
              <w:spacing w:after="0"/>
            </w:pPr>
            <w:r>
              <w:rPr>
                <w:rFonts w:ascii="Arial" w:hAnsi="Arial"/>
                <w:b/>
                <w:sz w:val="14"/>
              </w:rPr>
              <w:t>Confidence</w:t>
            </w:r>
          </w:p>
        </w:tc>
        <w:tc>
          <w:tcPr>
            <w:tcW w:type="dxa" w:w="2045"/>
          </w:tcPr>
          <w:p>
            <w:pPr>
              <w:spacing w:after="0"/>
            </w:pPr>
            <w:r>
              <w:rPr>
                <w:rFonts w:ascii="Arial" w:hAnsi="Arial"/>
                <w:b/>
                <w:sz w:val="14"/>
              </w:rPr>
              <w:t>Limitation</w:t>
            </w:r>
          </w:p>
        </w:tc>
      </w:tr>
      <w:tr>
        <w:tc>
          <w:tcPr>
            <w:tcW w:type="dxa" w:w="2045"/>
          </w:tcPr>
          <w:p>
            <w:pPr>
              <w:spacing w:after="0"/>
            </w:pPr>
            <w:r>
              <w:rPr>
                <w:rFonts w:ascii="Arial" w:hAnsi="Arial"/>
                <w:b w:val="0"/>
                <w:sz w:val="14"/>
              </w:rPr>
              <w:t>L1</w:t>
            </w:r>
          </w:p>
        </w:tc>
        <w:tc>
          <w:tcPr>
            <w:tcW w:type="dxa" w:w="2045"/>
          </w:tcPr>
          <w:p>
            <w:pPr>
              <w:spacing w:after="0"/>
            </w:pPr>
            <w:r>
              <w:rPr>
                <w:rFonts w:ascii="Arial" w:hAnsi="Arial"/>
                <w:b w:val="0"/>
                <w:sz w:val="14"/>
              </w:rPr>
              <w:t>Binding legal text (EU AI Act, GDPR, Colorado AI Act, etc.)</w:t>
            </w:r>
          </w:p>
        </w:tc>
        <w:tc>
          <w:tcPr>
            <w:tcW w:type="dxa" w:w="2045"/>
          </w:tcPr>
          <w:p>
            <w:pPr>
              <w:spacing w:after="0"/>
            </w:pPr>
            <w:r>
              <w:rPr>
                <w:rFonts w:ascii="Arial" w:hAnsi="Arial"/>
                <w:b w:val="0"/>
                <w:sz w:val="14"/>
              </w:rPr>
              <w:t>Regulatory baseline; legal obligation statements</w:t>
            </w:r>
          </w:p>
        </w:tc>
        <w:tc>
          <w:tcPr>
            <w:tcW w:type="dxa" w:w="2045"/>
          </w:tcPr>
          <w:p>
            <w:pPr>
              <w:spacing w:after="0"/>
            </w:pPr>
            <w:r>
              <w:rPr>
                <w:rFonts w:ascii="Arial" w:hAnsi="Arial"/>
                <w:b w:val="0"/>
                <w:sz w:val="14"/>
              </w:rPr>
              <w:t>Highest</w:t>
            </w:r>
          </w:p>
        </w:tc>
        <w:tc>
          <w:tcPr>
            <w:tcW w:type="dxa" w:w="2045"/>
          </w:tcPr>
          <w:p>
            <w:pPr>
              <w:spacing w:after="0"/>
            </w:pPr>
            <w:r>
              <w:rPr>
                <w:rFonts w:ascii="Arial" w:hAnsi="Arial"/>
                <w:b w:val="0"/>
                <w:sz w:val="14"/>
              </w:rPr>
              <w:t>Legal text requires legal interpretation; does not prove organizational compliance</w:t>
            </w:r>
          </w:p>
        </w:tc>
      </w:tr>
      <w:tr>
        <w:tc>
          <w:tcPr>
            <w:tcW w:type="dxa" w:w="2045"/>
          </w:tcPr>
          <w:p>
            <w:pPr>
              <w:spacing w:after="0"/>
            </w:pPr>
            <w:r>
              <w:rPr>
                <w:rFonts w:ascii="Arial" w:hAnsi="Arial"/>
                <w:b w:val="0"/>
                <w:sz w:val="14"/>
              </w:rPr>
              <w:t>L1</w:t>
            </w:r>
          </w:p>
        </w:tc>
        <w:tc>
          <w:tcPr>
            <w:tcW w:type="dxa" w:w="2045"/>
          </w:tcPr>
          <w:p>
            <w:pPr>
              <w:spacing w:after="0"/>
            </w:pPr>
            <w:r>
              <w:rPr>
                <w:rFonts w:ascii="Arial" w:hAnsi="Arial"/>
                <w:b w:val="0"/>
                <w:sz w:val="14"/>
              </w:rPr>
              <w:t>Formal standards (NIST AI RMF, ISO/IEC 42001, Singapore IMDA, W3C PROV, W3C VC)</w:t>
            </w:r>
          </w:p>
        </w:tc>
        <w:tc>
          <w:tcPr>
            <w:tcW w:type="dxa" w:w="2045"/>
          </w:tcPr>
          <w:p>
            <w:pPr>
              <w:spacing w:after="0"/>
            </w:pPr>
            <w:r>
              <w:rPr>
                <w:rFonts w:ascii="Arial" w:hAnsi="Arial"/>
                <w:b w:val="0"/>
                <w:sz w:val="14"/>
              </w:rPr>
              <w:t>Framework baseline; standard requirements</w:t>
            </w:r>
          </w:p>
        </w:tc>
        <w:tc>
          <w:tcPr>
            <w:tcW w:type="dxa" w:w="2045"/>
          </w:tcPr>
          <w:p>
            <w:pPr>
              <w:spacing w:after="0"/>
            </w:pPr>
            <w:r>
              <w:rPr>
                <w:rFonts w:ascii="Arial" w:hAnsi="Arial"/>
                <w:b w:val="0"/>
                <w:sz w:val="14"/>
              </w:rPr>
              <w:t>Highest</w:t>
            </w:r>
          </w:p>
        </w:tc>
        <w:tc>
          <w:tcPr>
            <w:tcW w:type="dxa" w:w="2045"/>
          </w:tcPr>
          <w:p>
            <w:pPr>
              <w:spacing w:after="0"/>
            </w:pPr>
            <w:r>
              <w:rPr>
                <w:rFonts w:ascii="Arial" w:hAnsi="Arial"/>
                <w:b w:val="0"/>
                <w:sz w:val="14"/>
              </w:rPr>
              <w:t>Standards are voluntary unless mandated by regulation; adoption does not prove compliance</w:t>
            </w:r>
          </w:p>
        </w:tc>
      </w:tr>
      <w:tr>
        <w:tc>
          <w:tcPr>
            <w:tcW w:type="dxa" w:w="2045"/>
          </w:tcPr>
          <w:p>
            <w:pPr>
              <w:spacing w:after="0"/>
            </w:pPr>
            <w:r>
              <w:rPr>
                <w:rFonts w:ascii="Arial" w:hAnsi="Arial"/>
                <w:b w:val="0"/>
                <w:sz w:val="14"/>
              </w:rPr>
              <w:t>L2</w:t>
            </w:r>
          </w:p>
        </w:tc>
        <w:tc>
          <w:tcPr>
            <w:tcW w:type="dxa" w:w="2045"/>
          </w:tcPr>
          <w:p>
            <w:pPr>
              <w:spacing w:after="0"/>
            </w:pPr>
            <w:r>
              <w:rPr>
                <w:rFonts w:ascii="Arial" w:hAnsi="Arial"/>
                <w:b w:val="0"/>
                <w:sz w:val="14"/>
              </w:rPr>
              <w:t>Official product documentation (vendor docs, protocol specs, GitHub repos)</w:t>
            </w:r>
          </w:p>
        </w:tc>
        <w:tc>
          <w:tcPr>
            <w:tcW w:type="dxa" w:w="2045"/>
          </w:tcPr>
          <w:p>
            <w:pPr>
              <w:spacing w:after="0"/>
            </w:pPr>
            <w:r>
              <w:rPr>
                <w:rFonts w:ascii="Arial" w:hAnsi="Arial"/>
                <w:b w:val="0"/>
                <w:sz w:val="14"/>
              </w:rPr>
              <w:t>System capability claims; feature descriptions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Product docs describe capability, not operational effectiveness; require validation; may change without notice</w:t>
            </w:r>
          </w:p>
        </w:tc>
      </w:tr>
      <w:tr>
        <w:tc>
          <w:tcPr>
            <w:tcW w:type="dxa" w:w="2045"/>
          </w:tcPr>
          <w:p>
            <w:pPr>
              <w:spacing w:after="0"/>
            </w:pPr>
            <w:r>
              <w:rPr>
                <w:rFonts w:ascii="Arial" w:hAnsi="Arial"/>
                <w:b w:val="0"/>
                <w:sz w:val="14"/>
              </w:rPr>
              <w:t>L3</w:t>
            </w:r>
          </w:p>
        </w:tc>
        <w:tc>
          <w:tcPr>
            <w:tcW w:type="dxa" w:w="2045"/>
          </w:tcPr>
          <w:p>
            <w:pPr>
              <w:spacing w:after="0"/>
            </w:pPr>
            <w:r>
              <w:rPr>
                <w:rFonts w:ascii="Arial" w:hAnsi="Arial"/>
                <w:b w:val="0"/>
                <w:sz w:val="14"/>
              </w:rPr>
              <w:t>Third-party audit reports, academic papers, industry reports</w:t>
            </w:r>
          </w:p>
        </w:tc>
        <w:tc>
          <w:tcPr>
            <w:tcW w:type="dxa" w:w="2045"/>
          </w:tcPr>
          <w:p>
            <w:pPr>
              <w:spacing w:after="0"/>
            </w:pPr>
            <w:r>
              <w:rPr>
                <w:rFonts w:ascii="Arial" w:hAnsi="Arial"/>
                <w:b w:val="0"/>
                <w:sz w:val="14"/>
              </w:rPr>
              <w:t>Supplemental confidence; independent assessment</w:t>
            </w:r>
          </w:p>
        </w:tc>
        <w:tc>
          <w:tcPr>
            <w:tcW w:type="dxa" w:w="2045"/>
          </w:tcPr>
          <w:p>
            <w:pPr>
              <w:spacing w:after="0"/>
            </w:pPr>
            <w:r>
              <w:rPr>
                <w:rFonts w:ascii="Arial" w:hAnsi="Arial"/>
                <w:b w:val="0"/>
                <w:sz w:val="14"/>
              </w:rPr>
              <w:t>Medium</w:t>
            </w:r>
          </w:p>
        </w:tc>
        <w:tc>
          <w:tcPr>
            <w:tcW w:type="dxa" w:w="2045"/>
          </w:tcPr>
          <w:p>
            <w:pPr>
              <w:spacing w:after="0"/>
            </w:pPr>
            <w:r>
              <w:rPr>
                <w:rFonts w:ascii="Arial" w:hAnsi="Arial"/>
                <w:b w:val="0"/>
                <w:sz w:val="14"/>
              </w:rPr>
              <w:t>Audit reports are point-in-time assessments; academic papers may not reflect current state; industry reports may have bias</w:t>
            </w:r>
          </w:p>
        </w:tc>
      </w:tr>
      <w:tr>
        <w:tc>
          <w:tcPr>
            <w:tcW w:type="dxa" w:w="2045"/>
          </w:tcPr>
          <w:p>
            <w:pPr>
              <w:spacing w:after="0"/>
            </w:pPr>
            <w:r>
              <w:rPr>
                <w:rFonts w:ascii="Arial" w:hAnsi="Arial"/>
                <w:b w:val="0"/>
                <w:sz w:val="14"/>
              </w:rPr>
              <w:t>L4</w:t>
            </w:r>
          </w:p>
        </w:tc>
        <w:tc>
          <w:tcPr>
            <w:tcW w:type="dxa" w:w="2045"/>
          </w:tcPr>
          <w:p>
            <w:pPr>
              <w:spacing w:after="0"/>
            </w:pPr>
            <w:r>
              <w:rPr>
                <w:rFonts w:ascii="Arial" w:hAnsi="Arial"/>
                <w:b w:val="0"/>
                <w:sz w:val="14"/>
              </w:rPr>
              <w:t>Vendor claims, marketing materials, blog posts</w:t>
            </w:r>
          </w:p>
        </w:tc>
        <w:tc>
          <w:tcPr>
            <w:tcW w:type="dxa" w:w="2045"/>
          </w:tcPr>
          <w:p>
            <w:pPr>
              <w:spacing w:after="0"/>
            </w:pPr>
            <w:r>
              <w:rPr>
                <w:rFonts w:ascii="Arial" w:hAnsi="Arial"/>
                <w:b w:val="0"/>
                <w:sz w:val="14"/>
              </w:rPr>
              <w:t>Positioning only; not capability claims</w:t>
            </w:r>
          </w:p>
        </w:tc>
        <w:tc>
          <w:tcPr>
            <w:tcW w:type="dxa" w:w="2045"/>
          </w:tcPr>
          <w:p>
            <w:pPr>
              <w:spacing w:after="0"/>
            </w:pPr>
            <w:r>
              <w:rPr>
                <w:rFonts w:ascii="Arial" w:hAnsi="Arial"/>
                <w:b w:val="0"/>
                <w:sz w:val="14"/>
              </w:rPr>
              <w:t>Low</w:t>
            </w:r>
          </w:p>
        </w:tc>
        <w:tc>
          <w:tcPr>
            <w:tcW w:type="dxa" w:w="2045"/>
          </w:tcPr>
          <w:p>
            <w:pPr>
              <w:spacing w:after="0"/>
            </w:pPr>
            <w:r>
              <w:rPr>
                <w:rFonts w:ascii="Arial" w:hAnsi="Arial"/>
                <w:b w:val="0"/>
                <w:sz w:val="14"/>
              </w:rPr>
              <w:t>Vendor claims require validation; marketing materials may overstate capability; blog posts are not authoritative</w:t>
            </w:r>
          </w:p>
        </w:tc>
      </w:tr>
      <w:tr>
        <w:tc>
          <w:tcPr>
            <w:tcW w:type="dxa" w:w="2045"/>
          </w:tcPr>
          <w:p>
            <w:pPr>
              <w:spacing w:after="0"/>
            </w:pPr>
            <w:r>
              <w:rPr>
                <w:rFonts w:ascii="Arial" w:hAnsi="Arial"/>
                <w:b w:val="0"/>
                <w:sz w:val="14"/>
              </w:rPr>
              <w:t>L5</w:t>
            </w:r>
          </w:p>
        </w:tc>
        <w:tc>
          <w:tcPr>
            <w:tcW w:type="dxa" w:w="2045"/>
          </w:tcPr>
          <w:p>
            <w:pPr>
              <w:spacing w:after="0"/>
            </w:pPr>
            <w:r>
              <w:rPr>
                <w:rFonts w:ascii="Arial" w:hAnsi="Arial"/>
                <w:b w:val="0"/>
                <w:sz w:val="14"/>
              </w:rPr>
              <w:t>Author inference, analytical framework, logical derivation</w:t>
            </w:r>
          </w:p>
        </w:tc>
        <w:tc>
          <w:tcPr>
            <w:tcW w:type="dxa" w:w="2045"/>
          </w:tcPr>
          <w:p>
            <w:pPr>
              <w:spacing w:after="0"/>
            </w:pPr>
            <w:r>
              <w:rPr>
                <w:rFonts w:ascii="Arial" w:hAnsi="Arial"/>
                <w:b w:val="0"/>
                <w:sz w:val="14"/>
              </w:rPr>
              <w:t>Framework design; gap analysis; analytical tools</w:t>
            </w:r>
          </w:p>
        </w:tc>
        <w:tc>
          <w:tcPr>
            <w:tcW w:type="dxa" w:w="2045"/>
          </w:tcPr>
          <w:p>
            <w:pPr>
              <w:spacing w:after="0"/>
            </w:pPr>
            <w:r>
              <w:rPr>
                <w:rFonts w:ascii="Arial" w:hAnsi="Arial"/>
                <w:b w:val="0"/>
                <w:sz w:val="14"/>
              </w:rPr>
              <w:t>Lowest</w:t>
            </w:r>
          </w:p>
        </w:tc>
        <w:tc>
          <w:tcPr>
            <w:tcW w:type="dxa" w:w="2045"/>
          </w:tcPr>
          <w:p>
            <w:pPr>
              <w:spacing w:after="0"/>
            </w:pPr>
            <w:r>
              <w:rPr>
                <w:rFonts w:ascii="Arial" w:hAnsi="Arial"/>
                <w:b w:val="0"/>
                <w:sz w:val="14"/>
              </w:rPr>
              <w:t>Author inference must be marked clearly; does not replace evidence; requires organizational interpretation</w:t>
            </w:r>
          </w:p>
        </w:tc>
      </w:tr>
    </w:tbl>
    <w:p>
      <w:pPr>
        <w:spacing w:after="56"/>
      </w:pPr>
      <w:r>
        <w:t>Evidence level multipliers for RCCS/ALCS scoring:</w:t>
      </w:r>
    </w:p>
    <w:p>
      <w:pPr>
        <w:pStyle w:val="ListBullet"/>
        <w:spacing w:after="56"/>
      </w:pPr>
      <w:r>
        <w:t>L1: 1.00</w:t>
      </w:r>
    </w:p>
    <w:p>
      <w:pPr>
        <w:pStyle w:val="ListBullet"/>
        <w:spacing w:after="56"/>
      </w:pPr>
      <w:r>
        <w:t>L2: 0.85</w:t>
      </w:r>
    </w:p>
    <w:p>
      <w:pPr>
        <w:pStyle w:val="ListBullet"/>
        <w:spacing w:after="56"/>
      </w:pPr>
      <w:r>
        <w:t>L3: 0.75</w:t>
      </w:r>
    </w:p>
    <w:p>
      <w:pPr>
        <w:pStyle w:val="ListBullet"/>
        <w:spacing w:after="56"/>
      </w:pPr>
      <w:r>
        <w:t>L4: 0.55</w:t>
      </w:r>
    </w:p>
    <w:p>
      <w:pPr>
        <w:pStyle w:val="ListBullet"/>
        <w:spacing w:after="56"/>
      </w:pPr>
      <w:r>
        <w:t>L5: 0.35</w:t>
      </w:r>
    </w:p>
    <w:p>
      <w:pPr>
        <w:pStyle w:val="Heading2"/>
      </w:pPr>
      <w:r>
        <w:t>C.2 Required Source Groups</w:t>
      </w:r>
    </w:p>
    <w:p>
      <w:pPr>
        <w:spacing w:after="56"/>
      </w:pPr>
      <w:r>
        <w:t>The white paper uses five source groups: L1 Binding Legal/Regulatory Sources, L1 Formal Standards, L2 Official Product Documentation, L3 Third-Party Reports, and L5 Author Inference.</w:t>
      </w:r>
    </w:p>
    <w:p>
      <w:pPr>
        <w:pStyle w:val="Heading3"/>
      </w:pPr>
      <w:r>
        <w:t>L1: Binding Legal/Regulatory Sources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Source Name</w:t>
            </w:r>
          </w:p>
        </w:tc>
        <w:tc>
          <w:tcPr>
            <w:tcW w:type="dxa" w:w="2045"/>
          </w:tcPr>
          <w:p>
            <w:pPr>
              <w:spacing w:after="0"/>
            </w:pPr>
            <w:r>
              <w:rPr>
                <w:rFonts w:ascii="Arial" w:hAnsi="Arial"/>
                <w:b/>
                <w:sz w:val="14"/>
              </w:rPr>
              <w:t>Type</w:t>
            </w:r>
          </w:p>
        </w:tc>
        <w:tc>
          <w:tcPr>
            <w:tcW w:type="dxa" w:w="2045"/>
          </w:tcPr>
          <w:p>
            <w:pPr>
              <w:spacing w:after="0"/>
            </w:pPr>
            <w:r>
              <w:rPr>
                <w:rFonts w:ascii="Arial" w:hAnsi="Arial"/>
                <w:b/>
                <w:sz w:val="14"/>
              </w:rPr>
              <w:t>Used In</w:t>
            </w:r>
          </w:p>
        </w:tc>
        <w:tc>
          <w:tcPr>
            <w:tcW w:type="dxa" w:w="2045"/>
          </w:tcPr>
          <w:p>
            <w:pPr>
              <w:spacing w:after="0"/>
            </w:pPr>
            <w:r>
              <w:rPr>
                <w:rFonts w:ascii="Arial" w:hAnsi="Arial"/>
                <w:b/>
                <w:sz w:val="14"/>
              </w:rPr>
              <w:t>Current Status</w:t>
            </w:r>
          </w:p>
        </w:tc>
      </w:tr>
      <w:tr>
        <w:tc>
          <w:tcPr>
            <w:tcW w:type="dxa" w:w="2045"/>
          </w:tcPr>
          <w:p>
            <w:pPr>
              <w:spacing w:after="0"/>
            </w:pPr>
            <w:r>
              <w:rPr>
                <w:rFonts w:ascii="Arial" w:hAnsi="Arial"/>
                <w:b w:val="0"/>
                <w:sz w:val="14"/>
              </w:rPr>
              <w:t>EU-AI-ACT</w:t>
            </w:r>
          </w:p>
        </w:tc>
        <w:tc>
          <w:tcPr>
            <w:tcW w:type="dxa" w:w="2045"/>
          </w:tcPr>
          <w:p>
            <w:pPr>
              <w:spacing w:after="0"/>
            </w:pPr>
            <w:r>
              <w:rPr>
                <w:rFonts w:ascii="Arial" w:hAnsi="Arial"/>
                <w:b w:val="0"/>
                <w:sz w:val="14"/>
              </w:rPr>
              <w:t>EU AI Act (Regulation (EU) 2024/1689) Articles 9, 10, 11, 12, 13, 14, 15, 72</w:t>
            </w:r>
          </w:p>
        </w:tc>
        <w:tc>
          <w:tcPr>
            <w:tcW w:type="dxa" w:w="2045"/>
          </w:tcPr>
          <w:p>
            <w:pPr>
              <w:spacing w:after="0"/>
            </w:pPr>
            <w:r>
              <w:rPr>
                <w:rFonts w:ascii="Arial" w:hAnsi="Arial"/>
                <w:b w:val="0"/>
                <w:sz w:val="14"/>
              </w:rPr>
              <w:t>Legal text</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GDPR</w:t>
            </w:r>
          </w:p>
        </w:tc>
        <w:tc>
          <w:tcPr>
            <w:tcW w:type="dxa" w:w="2045"/>
          </w:tcPr>
          <w:p>
            <w:pPr>
              <w:spacing w:after="0"/>
            </w:pPr>
            <w:r>
              <w:rPr>
                <w:rFonts w:ascii="Arial" w:hAnsi="Arial"/>
                <w:b w:val="0"/>
                <w:sz w:val="14"/>
              </w:rPr>
              <w:t>GDPR (Regulation (EU) 2016/679) Article 5, Article 17, Article 28</w:t>
            </w:r>
          </w:p>
        </w:tc>
        <w:tc>
          <w:tcPr>
            <w:tcW w:type="dxa" w:w="2045"/>
          </w:tcPr>
          <w:p>
            <w:pPr>
              <w:spacing w:after="0"/>
            </w:pPr>
            <w:r>
              <w:rPr>
                <w:rFonts w:ascii="Arial" w:hAnsi="Arial"/>
                <w:b w:val="0"/>
                <w:sz w:val="14"/>
              </w:rPr>
              <w:t>Legal text</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COLORADO-AI-ACT</w:t>
            </w:r>
          </w:p>
        </w:tc>
        <w:tc>
          <w:tcPr>
            <w:tcW w:type="dxa" w:w="2045"/>
          </w:tcPr>
          <w:p>
            <w:pPr>
              <w:spacing w:after="0"/>
            </w:pPr>
            <w:r>
              <w:rPr>
                <w:rFonts w:ascii="Arial" w:hAnsi="Arial"/>
                <w:b w:val="0"/>
                <w:sz w:val="14"/>
              </w:rPr>
              <w:t>Colorado AI Act (SB25B-004)</w:t>
            </w:r>
          </w:p>
        </w:tc>
        <w:tc>
          <w:tcPr>
            <w:tcW w:type="dxa" w:w="2045"/>
          </w:tcPr>
          <w:p>
            <w:pPr>
              <w:spacing w:after="0"/>
            </w:pPr>
            <w:r>
              <w:rPr>
                <w:rFonts w:ascii="Arial" w:hAnsi="Arial"/>
                <w:b w:val="0"/>
                <w:sz w:val="14"/>
              </w:rPr>
              <w:t>Legal text</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bl>
    <w:p>
      <w:pPr>
        <w:pStyle w:val="Heading3"/>
      </w:pPr>
      <w:r>
        <w:t>L1: Formal Standards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Source Name</w:t>
            </w:r>
          </w:p>
        </w:tc>
        <w:tc>
          <w:tcPr>
            <w:tcW w:type="dxa" w:w="2045"/>
          </w:tcPr>
          <w:p>
            <w:pPr>
              <w:spacing w:after="0"/>
            </w:pPr>
            <w:r>
              <w:rPr>
                <w:rFonts w:ascii="Arial" w:hAnsi="Arial"/>
                <w:b/>
                <w:sz w:val="14"/>
              </w:rPr>
              <w:t>Type</w:t>
            </w:r>
          </w:p>
        </w:tc>
        <w:tc>
          <w:tcPr>
            <w:tcW w:type="dxa" w:w="2045"/>
          </w:tcPr>
          <w:p>
            <w:pPr>
              <w:spacing w:after="0"/>
            </w:pPr>
            <w:r>
              <w:rPr>
                <w:rFonts w:ascii="Arial" w:hAnsi="Arial"/>
                <w:b/>
                <w:sz w:val="14"/>
              </w:rPr>
              <w:t>Used In</w:t>
            </w:r>
          </w:p>
        </w:tc>
        <w:tc>
          <w:tcPr>
            <w:tcW w:type="dxa" w:w="2045"/>
          </w:tcPr>
          <w:p>
            <w:pPr>
              <w:spacing w:after="0"/>
            </w:pPr>
            <w:r>
              <w:rPr>
                <w:rFonts w:ascii="Arial" w:hAnsi="Arial"/>
                <w:b/>
                <w:sz w:val="14"/>
              </w:rPr>
              <w:t>Current Status</w:t>
            </w:r>
          </w:p>
        </w:tc>
      </w:tr>
      <w:tr>
        <w:tc>
          <w:tcPr>
            <w:tcW w:type="dxa" w:w="2045"/>
          </w:tcPr>
          <w:p>
            <w:pPr>
              <w:spacing w:after="0"/>
            </w:pPr>
            <w:r>
              <w:rPr>
                <w:rFonts w:ascii="Arial" w:hAnsi="Arial"/>
                <w:b w:val="0"/>
                <w:sz w:val="14"/>
              </w:rPr>
              <w:t>NIST-AI-RMF</w:t>
            </w:r>
          </w:p>
        </w:tc>
        <w:tc>
          <w:tcPr>
            <w:tcW w:type="dxa" w:w="2045"/>
          </w:tcPr>
          <w:p>
            <w:pPr>
              <w:spacing w:after="0"/>
            </w:pPr>
            <w:r>
              <w:rPr>
                <w:rFonts w:ascii="Arial" w:hAnsi="Arial"/>
                <w:b w:val="0"/>
                <w:sz w:val="14"/>
              </w:rPr>
              <w:t>NIST AI Risk Management Framework 1.0</w:t>
            </w:r>
          </w:p>
        </w:tc>
        <w:tc>
          <w:tcPr>
            <w:tcW w:type="dxa" w:w="2045"/>
          </w:tcPr>
          <w:p>
            <w:pPr>
              <w:spacing w:after="0"/>
            </w:pPr>
            <w:r>
              <w:rPr>
                <w:rFonts w:ascii="Arial" w:hAnsi="Arial"/>
                <w:b w:val="0"/>
                <w:sz w:val="14"/>
              </w:rPr>
              <w:t>Standard</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ISO-42001</w:t>
            </w:r>
          </w:p>
        </w:tc>
        <w:tc>
          <w:tcPr>
            <w:tcW w:type="dxa" w:w="2045"/>
          </w:tcPr>
          <w:p>
            <w:pPr>
              <w:spacing w:after="0"/>
            </w:pPr>
            <w:r>
              <w:rPr>
                <w:rFonts w:ascii="Arial" w:hAnsi="Arial"/>
                <w:b w:val="0"/>
                <w:sz w:val="14"/>
              </w:rPr>
              <w:t>ISO/IEC 42001:2023 AI Management System</w:t>
            </w:r>
          </w:p>
        </w:tc>
        <w:tc>
          <w:tcPr>
            <w:tcW w:type="dxa" w:w="2045"/>
          </w:tcPr>
          <w:p>
            <w:pPr>
              <w:spacing w:after="0"/>
            </w:pPr>
            <w:r>
              <w:rPr>
                <w:rFonts w:ascii="Arial" w:hAnsi="Arial"/>
                <w:b w:val="0"/>
                <w:sz w:val="14"/>
              </w:rPr>
              <w:t>Standard</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SINGAPORE-IMDA</w:t>
            </w:r>
          </w:p>
        </w:tc>
        <w:tc>
          <w:tcPr>
            <w:tcW w:type="dxa" w:w="2045"/>
          </w:tcPr>
          <w:p>
            <w:pPr>
              <w:spacing w:after="0"/>
            </w:pPr>
            <w:r>
              <w:rPr>
                <w:rFonts w:ascii="Arial" w:hAnsi="Arial"/>
                <w:b w:val="0"/>
                <w:sz w:val="14"/>
              </w:rPr>
              <w:t>Singapore IMDA Model AI Governance Framework for Agentic AI</w:t>
            </w:r>
          </w:p>
        </w:tc>
        <w:tc>
          <w:tcPr>
            <w:tcW w:type="dxa" w:w="2045"/>
          </w:tcPr>
          <w:p>
            <w:pPr>
              <w:spacing w:after="0"/>
            </w:pPr>
            <w:r>
              <w:rPr>
                <w:rFonts w:ascii="Arial" w:hAnsi="Arial"/>
                <w:b w:val="0"/>
                <w:sz w:val="14"/>
              </w:rPr>
              <w:t>Standard</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W3C-PROV</w:t>
            </w:r>
          </w:p>
        </w:tc>
        <w:tc>
          <w:tcPr>
            <w:tcW w:type="dxa" w:w="2045"/>
          </w:tcPr>
          <w:p>
            <w:pPr>
              <w:spacing w:after="0"/>
            </w:pPr>
            <w:r>
              <w:rPr>
                <w:rFonts w:ascii="Arial" w:hAnsi="Arial"/>
                <w:b w:val="0"/>
                <w:sz w:val="14"/>
              </w:rPr>
              <w:t>W3C PROV-DM: The PROV Data Model</w:t>
            </w:r>
          </w:p>
        </w:tc>
        <w:tc>
          <w:tcPr>
            <w:tcW w:type="dxa" w:w="2045"/>
          </w:tcPr>
          <w:p>
            <w:pPr>
              <w:spacing w:after="0"/>
            </w:pPr>
            <w:r>
              <w:rPr>
                <w:rFonts w:ascii="Arial" w:hAnsi="Arial"/>
                <w:b w:val="0"/>
                <w:sz w:val="14"/>
              </w:rPr>
              <w:t>Protocol spec</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W3C-VC</w:t>
            </w:r>
          </w:p>
        </w:tc>
        <w:tc>
          <w:tcPr>
            <w:tcW w:type="dxa" w:w="2045"/>
          </w:tcPr>
          <w:p>
            <w:pPr>
              <w:spacing w:after="0"/>
            </w:pPr>
            <w:r>
              <w:rPr>
                <w:rFonts w:ascii="Arial" w:hAnsi="Arial"/>
                <w:b w:val="0"/>
                <w:sz w:val="14"/>
              </w:rPr>
              <w:t>W3C Verifiable Credentials Data Model</w:t>
            </w:r>
          </w:p>
        </w:tc>
        <w:tc>
          <w:tcPr>
            <w:tcW w:type="dxa" w:w="2045"/>
          </w:tcPr>
          <w:p>
            <w:pPr>
              <w:spacing w:after="0"/>
            </w:pPr>
            <w:r>
              <w:rPr>
                <w:rFonts w:ascii="Arial" w:hAnsi="Arial"/>
                <w:b w:val="0"/>
                <w:sz w:val="14"/>
              </w:rPr>
              <w:t>Protocol spec</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bl>
    <w:p>
      <w:pPr>
        <w:pStyle w:val="Heading3"/>
      </w:pPr>
      <w:r>
        <w:t>L2: Official Product Documentation (Claim-Level Reviewed)</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Source Name</w:t>
            </w:r>
          </w:p>
        </w:tc>
        <w:tc>
          <w:tcPr>
            <w:tcW w:type="dxa" w:w="2045"/>
          </w:tcPr>
          <w:p>
            <w:pPr>
              <w:spacing w:after="0"/>
            </w:pPr>
            <w:r>
              <w:rPr>
                <w:rFonts w:ascii="Arial" w:hAnsi="Arial"/>
                <w:b/>
                <w:sz w:val="14"/>
              </w:rPr>
              <w:t>Type</w:t>
            </w:r>
          </w:p>
        </w:tc>
        <w:tc>
          <w:tcPr>
            <w:tcW w:type="dxa" w:w="2045"/>
          </w:tcPr>
          <w:p>
            <w:pPr>
              <w:spacing w:after="0"/>
            </w:pPr>
            <w:r>
              <w:rPr>
                <w:rFonts w:ascii="Arial" w:hAnsi="Arial"/>
                <w:b/>
                <w:sz w:val="14"/>
              </w:rPr>
              <w:t>Used In</w:t>
            </w:r>
          </w:p>
        </w:tc>
        <w:tc>
          <w:tcPr>
            <w:tcW w:type="dxa" w:w="2045"/>
          </w:tcPr>
          <w:p>
            <w:pPr>
              <w:spacing w:after="0"/>
            </w:pPr>
            <w:r>
              <w:rPr>
                <w:rFonts w:ascii="Arial" w:hAnsi="Arial"/>
                <w:b/>
                <w:sz w:val="14"/>
              </w:rPr>
              <w:t>Current Status</w:t>
            </w:r>
          </w:p>
        </w:tc>
      </w:tr>
      <w:tr>
        <w:tc>
          <w:tcPr>
            <w:tcW w:type="dxa" w:w="2045"/>
          </w:tcPr>
          <w:p>
            <w:pPr>
              <w:spacing w:after="0"/>
            </w:pPr>
            <w:r>
              <w:rPr>
                <w:rFonts w:ascii="Arial" w:hAnsi="Arial"/>
                <w:b w:val="0"/>
                <w:sz w:val="14"/>
              </w:rPr>
              <w:t>IBM-WATSONX-GOVERNANCE-DOCS</w:t>
            </w:r>
          </w:p>
        </w:tc>
        <w:tc>
          <w:tcPr>
            <w:tcW w:type="dxa" w:w="2045"/>
          </w:tcPr>
          <w:p>
            <w:pPr>
              <w:spacing w:after="0"/>
            </w:pPr>
            <w:r>
              <w:rPr>
                <w:rFonts w:ascii="Arial" w:hAnsi="Arial"/>
                <w:b w:val="0"/>
                <w:sz w:val="14"/>
              </w:rPr>
              <w:t>IBM watsonx.governance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ALCS object mappings remain L5 unless exact docs support them</w:t>
            </w:r>
          </w:p>
        </w:tc>
      </w:tr>
      <w:tr>
        <w:tc>
          <w:tcPr>
            <w:tcW w:type="dxa" w:w="2045"/>
          </w:tcPr>
          <w:p>
            <w:pPr>
              <w:spacing w:after="0"/>
            </w:pPr>
            <w:r>
              <w:rPr>
                <w:rFonts w:ascii="Arial" w:hAnsi="Arial"/>
                <w:b w:val="0"/>
                <w:sz w:val="14"/>
              </w:rPr>
              <w:t>MICROSOFT-AZURE-AI-FOUNDRY-DOCS</w:t>
            </w:r>
          </w:p>
        </w:tc>
        <w:tc>
          <w:tcPr>
            <w:tcW w:type="dxa" w:w="2045"/>
          </w:tcPr>
          <w:p>
            <w:pPr>
              <w:spacing w:after="0"/>
            </w:pPr>
            <w:r>
              <w:rPr>
                <w:rFonts w:ascii="Arial" w:hAnsi="Arial"/>
                <w:b w:val="0"/>
                <w:sz w:val="14"/>
              </w:rPr>
              <w:t>Microsoft Azure AI Foundry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ALCS object mappings remain L5 unless exact docs support them</w:t>
            </w:r>
          </w:p>
        </w:tc>
      </w:tr>
      <w:tr>
        <w:tc>
          <w:tcPr>
            <w:tcW w:type="dxa" w:w="2045"/>
          </w:tcPr>
          <w:p>
            <w:pPr>
              <w:spacing w:after="0"/>
            </w:pPr>
            <w:r>
              <w:rPr>
                <w:rFonts w:ascii="Arial" w:hAnsi="Arial"/>
                <w:b w:val="0"/>
                <w:sz w:val="14"/>
              </w:rPr>
              <w:t>MICROSOFT-RESPONSIBLE-AI-DOCS</w:t>
            </w:r>
          </w:p>
        </w:tc>
        <w:tc>
          <w:tcPr>
            <w:tcW w:type="dxa" w:w="2045"/>
          </w:tcPr>
          <w:p>
            <w:pPr>
              <w:spacing w:after="0"/>
            </w:pPr>
            <w:r>
              <w:rPr>
                <w:rFonts w:ascii="Arial" w:hAnsi="Arial"/>
                <w:b w:val="0"/>
                <w:sz w:val="14"/>
              </w:rPr>
              <w:t>Microsoft Responsible AI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point/source family located; exact responsible-AI page pinning remains</w:t>
            </w:r>
          </w:p>
        </w:tc>
      </w:tr>
      <w:tr>
        <w:tc>
          <w:tcPr>
            <w:tcW w:type="dxa" w:w="2045"/>
          </w:tcPr>
          <w:p>
            <w:pPr>
              <w:spacing w:after="0"/>
            </w:pPr>
            <w:r>
              <w:rPr>
                <w:rFonts w:ascii="Arial" w:hAnsi="Arial"/>
                <w:b w:val="0"/>
                <w:sz w:val="14"/>
              </w:rPr>
              <w:t>AWS-BEDROCK-DOCS</w:t>
            </w:r>
          </w:p>
        </w:tc>
        <w:tc>
          <w:tcPr>
            <w:tcW w:type="dxa" w:w="2045"/>
          </w:tcPr>
          <w:p>
            <w:pPr>
              <w:spacing w:after="0"/>
            </w:pPr>
            <w:r>
              <w:rPr>
                <w:rFonts w:ascii="Arial" w:hAnsi="Arial"/>
                <w:b w:val="0"/>
                <w:sz w:val="14"/>
              </w:rPr>
              <w:t>AWS Bedrock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lifecycle-object mappings remain L5 unless exact docs support them</w:t>
            </w:r>
          </w:p>
        </w:tc>
      </w:tr>
      <w:tr>
        <w:tc>
          <w:tcPr>
            <w:tcW w:type="dxa" w:w="2045"/>
          </w:tcPr>
          <w:p>
            <w:pPr>
              <w:spacing w:after="0"/>
            </w:pPr>
            <w:r>
              <w:rPr>
                <w:rFonts w:ascii="Arial" w:hAnsi="Arial"/>
                <w:b w:val="0"/>
                <w:sz w:val="14"/>
              </w:rPr>
              <w:t>AWS-BEDROCK-GUARDRAILS-DOCS</w:t>
            </w:r>
          </w:p>
        </w:tc>
        <w:tc>
          <w:tcPr>
            <w:tcW w:type="dxa" w:w="2045"/>
          </w:tcPr>
          <w:p>
            <w:pPr>
              <w:spacing w:after="0"/>
            </w:pPr>
            <w:r>
              <w:rPr>
                <w:rFonts w:ascii="Arial" w:hAnsi="Arial"/>
                <w:b w:val="0"/>
                <w:sz w:val="14"/>
              </w:rPr>
              <w:t>AWS Bedrock Guardrails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guardrails are not delegated-authority proof</w:t>
            </w:r>
          </w:p>
        </w:tc>
      </w:tr>
      <w:tr>
        <w:tc>
          <w:tcPr>
            <w:tcW w:type="dxa" w:w="2045"/>
          </w:tcPr>
          <w:p>
            <w:pPr>
              <w:spacing w:after="0"/>
            </w:pPr>
            <w:r>
              <w:rPr>
                <w:rFonts w:ascii="Arial" w:hAnsi="Arial"/>
                <w:b w:val="0"/>
                <w:sz w:val="14"/>
              </w:rPr>
              <w:t>AWS-AGENTCORE-DOCS</w:t>
            </w:r>
          </w:p>
        </w:tc>
        <w:tc>
          <w:tcPr>
            <w:tcW w:type="dxa" w:w="2045"/>
          </w:tcPr>
          <w:p>
            <w:pPr>
              <w:spacing w:after="0"/>
            </w:pPr>
            <w:r>
              <w:rPr>
                <w:rFonts w:ascii="Arial" w:hAnsi="Arial"/>
                <w:b w:val="0"/>
                <w:sz w:val="14"/>
              </w:rPr>
              <w:t>AWS AgentCore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ALCS object mappings remain analytical</w:t>
            </w:r>
          </w:p>
        </w:tc>
      </w:tr>
      <w:tr>
        <w:tc>
          <w:tcPr>
            <w:tcW w:type="dxa" w:w="2045"/>
          </w:tcPr>
          <w:p>
            <w:pPr>
              <w:spacing w:after="0"/>
            </w:pPr>
            <w:r>
              <w:rPr>
                <w:rFonts w:ascii="Arial" w:hAnsi="Arial"/>
                <w:b w:val="0"/>
                <w:sz w:val="14"/>
              </w:rPr>
              <w:t>GOOGLE-VERTEX-AI-DOCS</w:t>
            </w:r>
          </w:p>
        </w:tc>
        <w:tc>
          <w:tcPr>
            <w:tcW w:type="dxa" w:w="2045"/>
          </w:tcPr>
          <w:p>
            <w:pPr>
              <w:spacing w:after="0"/>
            </w:pPr>
            <w:r>
              <w:rPr>
                <w:rFonts w:ascii="Arial" w:hAnsi="Arial"/>
                <w:b w:val="0"/>
                <w:sz w:val="14"/>
              </w:rPr>
              <w:t>Google Vertex AI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lifecycle-object mappings remain L5 unless exact docs support them</w:t>
            </w:r>
          </w:p>
        </w:tc>
      </w:tr>
      <w:tr>
        <w:tc>
          <w:tcPr>
            <w:tcW w:type="dxa" w:w="2045"/>
          </w:tcPr>
          <w:p>
            <w:pPr>
              <w:spacing w:after="0"/>
            </w:pPr>
            <w:r>
              <w:rPr>
                <w:rFonts w:ascii="Arial" w:hAnsi="Arial"/>
                <w:b w:val="0"/>
                <w:sz w:val="14"/>
              </w:rPr>
              <w:t>GOOGLE-ADK-DOCS</w:t>
            </w:r>
          </w:p>
        </w:tc>
        <w:tc>
          <w:tcPr>
            <w:tcW w:type="dxa" w:w="2045"/>
          </w:tcPr>
          <w:p>
            <w:pPr>
              <w:spacing w:after="0"/>
            </w:pPr>
            <w:r>
              <w:rPr>
                <w:rFonts w:ascii="Arial" w:hAnsi="Arial"/>
                <w:b w:val="0"/>
                <w:sz w:val="14"/>
              </w:rPr>
              <w:t>Google Agent Development Kit (ADK)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ADK primitives are not governance objects by default</w:t>
            </w:r>
          </w:p>
        </w:tc>
      </w:tr>
      <w:tr>
        <w:tc>
          <w:tcPr>
            <w:tcW w:type="dxa" w:w="2045"/>
          </w:tcPr>
          <w:p>
            <w:pPr>
              <w:spacing w:after="0"/>
            </w:pPr>
            <w:r>
              <w:rPr>
                <w:rFonts w:ascii="Arial" w:hAnsi="Arial"/>
                <w:b w:val="0"/>
                <w:sz w:val="14"/>
              </w:rPr>
              <w:t>GOOGLE-MODEL-ARMOR-DOCS</w:t>
            </w:r>
          </w:p>
        </w:tc>
        <w:tc>
          <w:tcPr>
            <w:tcW w:type="dxa" w:w="2045"/>
          </w:tcPr>
          <w:p>
            <w:pPr>
              <w:spacing w:after="0"/>
            </w:pPr>
            <w:r>
              <w:rPr>
                <w:rFonts w:ascii="Arial" w:hAnsi="Arial"/>
                <w:b w:val="0"/>
                <w:sz w:val="14"/>
              </w:rPr>
              <w:t>Google Model Armor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safety inspection is not lifecycle responsibility proof</w:t>
            </w:r>
          </w:p>
        </w:tc>
      </w:tr>
      <w:tr>
        <w:tc>
          <w:tcPr>
            <w:tcW w:type="dxa" w:w="2045"/>
          </w:tcPr>
          <w:p>
            <w:pPr>
              <w:spacing w:after="0"/>
            </w:pPr>
            <w:r>
              <w:rPr>
                <w:rFonts w:ascii="Arial" w:hAnsi="Arial"/>
                <w:b w:val="0"/>
                <w:sz w:val="14"/>
              </w:rPr>
              <w:t>LANGGRAPH-DOCS</w:t>
            </w:r>
          </w:p>
        </w:tc>
        <w:tc>
          <w:tcPr>
            <w:tcW w:type="dxa" w:w="2045"/>
          </w:tcPr>
          <w:p>
            <w:pPr>
              <w:spacing w:after="0"/>
            </w:pPr>
            <w:r>
              <w:rPr>
                <w:rFonts w:ascii="Arial" w:hAnsi="Arial"/>
                <w:b w:val="0"/>
                <w:sz w:val="14"/>
              </w:rPr>
              <w:t>LangGraph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orchestration mappings remain analytical</w:t>
            </w:r>
          </w:p>
        </w:tc>
      </w:tr>
      <w:tr>
        <w:tc>
          <w:tcPr>
            <w:tcW w:type="dxa" w:w="2045"/>
          </w:tcPr>
          <w:p>
            <w:pPr>
              <w:spacing w:after="0"/>
            </w:pPr>
            <w:r>
              <w:rPr>
                <w:rFonts w:ascii="Arial" w:hAnsi="Arial"/>
                <w:b w:val="0"/>
                <w:sz w:val="14"/>
              </w:rPr>
              <w:t>LANGSMITH-DOCS</w:t>
            </w:r>
          </w:p>
        </w:tc>
        <w:tc>
          <w:tcPr>
            <w:tcW w:type="dxa" w:w="2045"/>
          </w:tcPr>
          <w:p>
            <w:pPr>
              <w:spacing w:after="0"/>
            </w:pPr>
            <w:r>
              <w:rPr>
                <w:rFonts w:ascii="Arial" w:hAnsi="Arial"/>
                <w:b w:val="0"/>
                <w:sz w:val="14"/>
              </w:rPr>
              <w:t>LangSmith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observability mappings remain analytical</w:t>
            </w:r>
          </w:p>
        </w:tc>
      </w:tr>
      <w:tr>
        <w:tc>
          <w:tcPr>
            <w:tcW w:type="dxa" w:w="2045"/>
          </w:tcPr>
          <w:p>
            <w:pPr>
              <w:spacing w:after="0"/>
            </w:pPr>
            <w:r>
              <w:rPr>
                <w:rFonts w:ascii="Arial" w:hAnsi="Arial"/>
                <w:b w:val="0"/>
                <w:sz w:val="14"/>
              </w:rPr>
              <w:t>OPENAI-AGENTS-SDK-DOCS</w:t>
            </w:r>
          </w:p>
        </w:tc>
        <w:tc>
          <w:tcPr>
            <w:tcW w:type="dxa" w:w="2045"/>
          </w:tcPr>
          <w:p>
            <w:pPr>
              <w:spacing w:after="0"/>
            </w:pPr>
            <w:r>
              <w:rPr>
                <w:rFonts w:ascii="Arial" w:hAnsi="Arial"/>
                <w:b w:val="0"/>
                <w:sz w:val="14"/>
              </w:rPr>
              <w:t>OpenAI Agents SDK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SDK entry point located; OpenAI platform guide returned HTTP 403 by curl and needs final access/rendering check</w:t>
            </w:r>
          </w:p>
        </w:tc>
      </w:tr>
      <w:tr>
        <w:tc>
          <w:tcPr>
            <w:tcW w:type="dxa" w:w="2045"/>
          </w:tcPr>
          <w:p>
            <w:pPr>
              <w:spacing w:after="0"/>
            </w:pPr>
            <w:r>
              <w:rPr>
                <w:rFonts w:ascii="Arial" w:hAnsi="Arial"/>
                <w:b w:val="0"/>
                <w:sz w:val="14"/>
              </w:rPr>
              <w:t>OPENAI-TOOLS-DOCS</w:t>
            </w:r>
          </w:p>
        </w:tc>
        <w:tc>
          <w:tcPr>
            <w:tcW w:type="dxa" w:w="2045"/>
          </w:tcPr>
          <w:p>
            <w:pPr>
              <w:spacing w:after="0"/>
            </w:pPr>
            <w:r>
              <w:rPr>
                <w:rFonts w:ascii="Arial" w:hAnsi="Arial"/>
                <w:b w:val="0"/>
                <w:sz w:val="14"/>
              </w:rPr>
              <w:t>OpenAI Tools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Official source family located; exact tools page pinning remains</w:t>
            </w:r>
          </w:p>
        </w:tc>
      </w:tr>
      <w:tr>
        <w:tc>
          <w:tcPr>
            <w:tcW w:type="dxa" w:w="2045"/>
          </w:tcPr>
          <w:p>
            <w:pPr>
              <w:spacing w:after="0"/>
            </w:pPr>
            <w:r>
              <w:rPr>
                <w:rFonts w:ascii="Arial" w:hAnsi="Arial"/>
                <w:b w:val="0"/>
                <w:sz w:val="14"/>
              </w:rPr>
              <w:t>CREWAI-DOCS</w:t>
            </w:r>
          </w:p>
        </w:tc>
        <w:tc>
          <w:tcPr>
            <w:tcW w:type="dxa" w:w="2045"/>
          </w:tcPr>
          <w:p>
            <w:pPr>
              <w:spacing w:after="0"/>
            </w:pPr>
            <w:r>
              <w:rPr>
                <w:rFonts w:ascii="Arial" w:hAnsi="Arial"/>
                <w:b w:val="0"/>
                <w:sz w:val="14"/>
              </w:rPr>
              <w:t>CrewAI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agent role labels are not human accountability roles</w:t>
            </w:r>
          </w:p>
        </w:tc>
      </w:tr>
      <w:tr>
        <w:tc>
          <w:tcPr>
            <w:tcW w:type="dxa" w:w="2045"/>
          </w:tcPr>
          <w:p>
            <w:pPr>
              <w:spacing w:after="0"/>
            </w:pPr>
            <w:r>
              <w:rPr>
                <w:rFonts w:ascii="Arial" w:hAnsi="Arial"/>
                <w:b w:val="0"/>
                <w:sz w:val="14"/>
              </w:rPr>
              <w:t>CREWAI-GITHUB</w:t>
            </w:r>
          </w:p>
        </w:tc>
        <w:tc>
          <w:tcPr>
            <w:tcW w:type="dxa" w:w="2045"/>
          </w:tcPr>
          <w:p>
            <w:pPr>
              <w:spacing w:after="0"/>
            </w:pPr>
            <w:r>
              <w:rPr>
                <w:rFonts w:ascii="Arial" w:hAnsi="Arial"/>
                <w:b w:val="0"/>
                <w:sz w:val="14"/>
              </w:rPr>
              <w:t>CrewAI GitHub Repository</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Repository entry point located; exact code/API claims require page-level pinning</w:t>
            </w:r>
          </w:p>
        </w:tc>
      </w:tr>
      <w:tr>
        <w:tc>
          <w:tcPr>
            <w:tcW w:type="dxa" w:w="2045"/>
          </w:tcPr>
          <w:p>
            <w:pPr>
              <w:spacing w:after="0"/>
            </w:pPr>
            <w:r>
              <w:rPr>
                <w:rFonts w:ascii="Arial" w:hAnsi="Arial"/>
                <w:b w:val="0"/>
                <w:sz w:val="14"/>
              </w:rPr>
              <w:t>MPLP-DOCS</w:t>
            </w:r>
          </w:p>
        </w:tc>
        <w:tc>
          <w:tcPr>
            <w:tcW w:type="dxa" w:w="2045"/>
          </w:tcPr>
          <w:p>
            <w:pPr>
              <w:spacing w:after="0"/>
            </w:pPr>
            <w:r>
              <w:rPr>
                <w:rFonts w:ascii="Arial" w:hAnsi="Arial"/>
                <w:b w:val="0"/>
                <w:sz w:val="14"/>
              </w:rPr>
              <w:t>MPLP (Multi-Agent Lifecycle Protocol) Official Documentation</w:t>
            </w:r>
          </w:p>
        </w:tc>
        <w:tc>
          <w:tcPr>
            <w:tcW w:type="dxa" w:w="2045"/>
          </w:tcPr>
          <w:p>
            <w:pPr>
              <w:spacing w:after="0"/>
            </w:pPr>
            <w:r>
              <w:rPr>
                <w:rFonts w:ascii="Arial" w:hAnsi="Arial"/>
                <w:b w:val="0"/>
                <w:sz w:val="14"/>
              </w:rPr>
              <w:t>Protocol docs</w:t>
            </w:r>
          </w:p>
        </w:tc>
        <w:tc>
          <w:tcPr>
            <w:tcW w:type="dxa" w:w="2045"/>
          </w:tcPr>
          <w:p>
            <w:pPr>
              <w:spacing w:after="0"/>
            </w:pPr>
            <w:r>
              <w:rPr>
                <w:rFonts w:ascii="Arial" w:hAnsi="Arial"/>
                <w:b w:val="0"/>
                <w:sz w:val="14"/>
              </w:rPr>
              <w:t>Chapters 12, 13</w:t>
            </w:r>
          </w:p>
        </w:tc>
        <w:tc>
          <w:tcPr>
            <w:tcW w:type="dxa" w:w="2045"/>
          </w:tcPr>
          <w:p>
            <w:pPr>
              <w:spacing w:after="0"/>
            </w:pPr>
            <w:r>
              <w:rPr>
                <w:rFonts w:ascii="Arial" w:hAnsi="Arial"/>
                <w:b w:val="0"/>
                <w:sz w:val="14"/>
              </w:rPr>
              <w:t>✓ Entry point located; protocol mapping remains L2 + L5 analytical interpretation</w:t>
            </w:r>
          </w:p>
        </w:tc>
      </w:tr>
      <w:tr>
        <w:tc>
          <w:tcPr>
            <w:tcW w:type="dxa" w:w="2045"/>
          </w:tcPr>
          <w:p>
            <w:pPr>
              <w:spacing w:after="0"/>
            </w:pPr>
            <w:r>
              <w:rPr>
                <w:rFonts w:ascii="Arial" w:hAnsi="Arial"/>
                <w:b w:val="0"/>
                <w:sz w:val="14"/>
              </w:rPr>
              <w:t>MPLP-SPEC</w:t>
            </w:r>
          </w:p>
        </w:tc>
        <w:tc>
          <w:tcPr>
            <w:tcW w:type="dxa" w:w="2045"/>
          </w:tcPr>
          <w:p>
            <w:pPr>
              <w:spacing w:after="0"/>
            </w:pPr>
            <w:r>
              <w:rPr>
                <w:rFonts w:ascii="Arial" w:hAnsi="Arial"/>
                <w:b w:val="0"/>
                <w:sz w:val="14"/>
              </w:rPr>
              <w:t>MPLP Protocol Specification</w:t>
            </w:r>
          </w:p>
        </w:tc>
        <w:tc>
          <w:tcPr>
            <w:tcW w:type="dxa" w:w="2045"/>
          </w:tcPr>
          <w:p>
            <w:pPr>
              <w:spacing w:after="0"/>
            </w:pPr>
            <w:r>
              <w:rPr>
                <w:rFonts w:ascii="Arial" w:hAnsi="Arial"/>
                <w:b w:val="0"/>
                <w:sz w:val="14"/>
              </w:rPr>
              <w:t>Protocol docs</w:t>
            </w:r>
          </w:p>
        </w:tc>
        <w:tc>
          <w:tcPr>
            <w:tcW w:type="dxa" w:w="2045"/>
          </w:tcPr>
          <w:p>
            <w:pPr>
              <w:spacing w:after="0"/>
            </w:pPr>
            <w:r>
              <w:rPr>
                <w:rFonts w:ascii="Arial" w:hAnsi="Arial"/>
                <w:b w:val="0"/>
                <w:sz w:val="14"/>
              </w:rPr>
              <w:t>Chapter 13</w:t>
            </w:r>
          </w:p>
        </w:tc>
        <w:tc>
          <w:tcPr>
            <w:tcW w:type="dxa" w:w="2045"/>
          </w:tcPr>
          <w:p>
            <w:pPr>
              <w:spacing w:after="0"/>
            </w:pPr>
            <w:r>
              <w:rPr>
                <w:rFonts w:ascii="Arial" w:hAnsi="Arial"/>
                <w:b w:val="0"/>
                <w:sz w:val="14"/>
              </w:rPr>
              <w:t>✓ Bound through MPLP docs entry point; version/citation rendering remains</w:t>
            </w:r>
          </w:p>
        </w:tc>
      </w:tr>
      <w:tr>
        <w:tc>
          <w:tcPr>
            <w:tcW w:type="dxa" w:w="2045"/>
          </w:tcPr>
          <w:p>
            <w:pPr>
              <w:spacing w:after="0"/>
            </w:pPr>
            <w:r>
              <w:rPr>
                <w:rFonts w:ascii="Arial" w:hAnsi="Arial"/>
                <w:b w:val="0"/>
                <w:sz w:val="14"/>
              </w:rPr>
              <w:t>VALIDATION-LAB-METHODOLOGY</w:t>
            </w:r>
          </w:p>
        </w:tc>
        <w:tc>
          <w:tcPr>
            <w:tcW w:type="dxa" w:w="2045"/>
          </w:tcPr>
          <w:p>
            <w:pPr>
              <w:spacing w:after="0"/>
            </w:pPr>
            <w:r>
              <w:rPr>
                <w:rFonts w:ascii="Arial" w:hAnsi="Arial"/>
                <w:b w:val="0"/>
                <w:sz w:val="14"/>
              </w:rPr>
              <w:t>Validation Lab Evidence-Based Validation Methodology</w:t>
            </w:r>
          </w:p>
        </w:tc>
        <w:tc>
          <w:tcPr>
            <w:tcW w:type="dxa" w:w="2045"/>
          </w:tcPr>
          <w:p>
            <w:pPr>
              <w:spacing w:after="0"/>
            </w:pPr>
            <w:r>
              <w:rPr>
                <w:rFonts w:ascii="Arial" w:hAnsi="Arial"/>
                <w:b w:val="0"/>
                <w:sz w:val="14"/>
              </w:rPr>
              <w:t>Protocol docs</w:t>
            </w:r>
          </w:p>
        </w:tc>
        <w:tc>
          <w:tcPr>
            <w:tcW w:type="dxa" w:w="2045"/>
          </w:tcPr>
          <w:p>
            <w:pPr>
              <w:spacing w:after="0"/>
            </w:pPr>
            <w:r>
              <w:rPr>
                <w:rFonts w:ascii="Arial" w:hAnsi="Arial"/>
                <w:b w:val="0"/>
                <w:sz w:val="14"/>
              </w:rPr>
              <w:t>Chapter 14</w:t>
            </w:r>
          </w:p>
        </w:tc>
        <w:tc>
          <w:tcPr>
            <w:tcW w:type="dxa" w:w="2045"/>
          </w:tcPr>
          <w:p>
            <w:pPr>
              <w:spacing w:after="0"/>
            </w:pPr>
            <w:r>
              <w:rPr>
                <w:rFonts w:ascii="Arial" w:hAnsi="Arial"/>
                <w:b w:val="0"/>
                <w:sz w:val="14"/>
              </w:rPr>
              <w:t>◐ Public entry point located; methodology-specific support remains boundary-limited</w:t>
            </w:r>
          </w:p>
        </w:tc>
      </w:tr>
    </w:tbl>
    <w:p>
      <w:pPr>
        <w:pStyle w:val="Heading3"/>
      </w:pPr>
      <w:r>
        <w:t>L5: Author Inference</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Source Name</w:t>
            </w:r>
          </w:p>
        </w:tc>
        <w:tc>
          <w:tcPr>
            <w:tcW w:type="dxa" w:w="2045"/>
          </w:tcPr>
          <w:p>
            <w:pPr>
              <w:spacing w:after="0"/>
            </w:pPr>
            <w:r>
              <w:rPr>
                <w:rFonts w:ascii="Arial" w:hAnsi="Arial"/>
                <w:b/>
                <w:sz w:val="14"/>
              </w:rPr>
              <w:t>Type</w:t>
            </w:r>
          </w:p>
        </w:tc>
        <w:tc>
          <w:tcPr>
            <w:tcW w:type="dxa" w:w="2045"/>
          </w:tcPr>
          <w:p>
            <w:pPr>
              <w:spacing w:after="0"/>
            </w:pPr>
            <w:r>
              <w:rPr>
                <w:rFonts w:ascii="Arial" w:hAnsi="Arial"/>
                <w:b/>
                <w:sz w:val="14"/>
              </w:rPr>
              <w:t>Used In</w:t>
            </w:r>
          </w:p>
        </w:tc>
        <w:tc>
          <w:tcPr>
            <w:tcW w:type="dxa" w:w="2045"/>
          </w:tcPr>
          <w:p>
            <w:pPr>
              <w:spacing w:after="0"/>
            </w:pPr>
            <w:r>
              <w:rPr>
                <w:rFonts w:ascii="Arial" w:hAnsi="Arial"/>
                <w:b/>
                <w:sz w:val="14"/>
              </w:rPr>
              <w:t>Current Status</w:t>
            </w:r>
          </w:p>
        </w:tc>
      </w:tr>
      <w:tr>
        <w:tc>
          <w:tcPr>
            <w:tcW w:type="dxa" w:w="2045"/>
          </w:tcPr>
          <w:p>
            <w:pPr>
              <w:spacing w:after="0"/>
            </w:pPr>
            <w:r>
              <w:rPr>
                <w:rFonts w:ascii="Arial" w:hAnsi="Arial"/>
                <w:b w:val="0"/>
                <w:sz w:val="14"/>
              </w:rPr>
              <w:t>AUTHOR-INFERENCE-MRO</w:t>
            </w:r>
          </w:p>
        </w:tc>
        <w:tc>
          <w:tcPr>
            <w:tcW w:type="dxa" w:w="2045"/>
          </w:tcPr>
          <w:p>
            <w:pPr>
              <w:spacing w:after="0"/>
            </w:pPr>
            <w:r>
              <w:rPr>
                <w:rFonts w:ascii="Arial" w:hAnsi="Arial"/>
                <w:b w:val="0"/>
                <w:sz w:val="14"/>
              </w:rPr>
              <w:t>Sixteen Missing Regulatory Objects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6</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AUTHOR-INFERENCE-RCCS</w:t>
            </w:r>
          </w:p>
        </w:tc>
        <w:tc>
          <w:tcPr>
            <w:tcW w:type="dxa" w:w="2045"/>
          </w:tcPr>
          <w:p>
            <w:pPr>
              <w:spacing w:after="0"/>
            </w:pPr>
            <w:r>
              <w:rPr>
                <w:rFonts w:ascii="Arial" w:hAnsi="Arial"/>
                <w:b w:val="0"/>
                <w:sz w:val="14"/>
              </w:rPr>
              <w:t>RCCS Analytical Framework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7</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AUTHOR-INFERENCE-ALCS</w:t>
            </w:r>
          </w:p>
        </w:tc>
        <w:tc>
          <w:tcPr>
            <w:tcW w:type="dxa" w:w="2045"/>
          </w:tcPr>
          <w:p>
            <w:pPr>
              <w:spacing w:after="0"/>
            </w:pPr>
            <w:r>
              <w:rPr>
                <w:rFonts w:ascii="Arial" w:hAnsi="Arial"/>
                <w:b w:val="0"/>
                <w:sz w:val="14"/>
              </w:rPr>
              <w:t>ALCS Analytical Framework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8</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AUTHOR-INFERENCE-COMPOSITE</w:t>
            </w:r>
          </w:p>
        </w:tc>
        <w:tc>
          <w:tcPr>
            <w:tcW w:type="dxa" w:w="2045"/>
          </w:tcPr>
          <w:p>
            <w:pPr>
              <w:spacing w:after="0"/>
            </w:pPr>
            <w:r>
              <w:rPr>
                <w:rFonts w:ascii="Arial" w:hAnsi="Arial"/>
                <w:b w:val="0"/>
                <w:sz w:val="14"/>
              </w:rPr>
              <w:t>Composite Scoring Method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9</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AUTHOR-INFERENCE-SYSTEM-MAPPING</w:t>
            </w:r>
          </w:p>
        </w:tc>
        <w:tc>
          <w:tcPr>
            <w:tcW w:type="dxa" w:w="2045"/>
          </w:tcPr>
          <w:p>
            <w:pPr>
              <w:spacing w:after="0"/>
            </w:pPr>
            <w:r>
              <w:rPr>
                <w:rFonts w:ascii="Arial" w:hAnsi="Arial"/>
                <w:b w:val="0"/>
                <w:sz w:val="14"/>
              </w:rPr>
              <w:t>System Mapping Methodology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Chapters 11, 12</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AUTHOR-INFERENCE-FAILURE-SCENARIOS</w:t>
            </w:r>
          </w:p>
        </w:tc>
        <w:tc>
          <w:tcPr>
            <w:tcW w:type="dxa" w:w="2045"/>
          </w:tcPr>
          <w:p>
            <w:pPr>
              <w:spacing w:after="0"/>
            </w:pPr>
            <w:r>
              <w:rPr>
                <w:rFonts w:ascii="Arial" w:hAnsi="Arial"/>
                <w:b w:val="0"/>
                <w:sz w:val="14"/>
              </w:rPr>
              <w:t>Enterprise Failure Scenarios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15</w:t>
            </w:r>
          </w:p>
        </w:tc>
        <w:tc>
          <w:tcPr>
            <w:tcW w:type="dxa" w:w="2045"/>
          </w:tcPr>
          <w:p>
            <w:pPr>
              <w:spacing w:after="0"/>
            </w:pPr>
            <w:r>
              <w:rPr>
                <w:rFonts w:ascii="Arial" w:hAnsi="Arial"/>
                <w:b w:val="0"/>
                <w:sz w:val="14"/>
              </w:rPr>
              <w:t>✓ Marked as L5</w:t>
            </w:r>
          </w:p>
        </w:tc>
      </w:tr>
    </w:tbl>
    <w:p>
      <w:pPr>
        <w:pStyle w:val="Heading2"/>
      </w:pPr>
      <w:r>
        <w:t>C.3 Source Register</w:t>
      </w:r>
    </w:p>
    <w:p>
      <w:pPr>
        <w:spacing w:after="56"/>
      </w:pPr>
      <w:r>
        <w:t>The following table provides the complete source register for the white paper.</w:t>
      </w:r>
    </w:p>
    <w:p>
      <w:pPr>
        <w:keepNext/>
      </w:pPr>
      <w:r>
        <w:rPr>
          <w:b/>
          <w:sz w:val="16"/>
        </w:rPr>
        <w:t>Table T-C-02: Source Register</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Source ID</w:t>
            </w:r>
          </w:p>
        </w:tc>
        <w:tc>
          <w:tcPr>
            <w:tcW w:type="dxa" w:w="1704"/>
          </w:tcPr>
          <w:p>
            <w:pPr>
              <w:spacing w:after="0"/>
            </w:pPr>
            <w:r>
              <w:rPr>
                <w:rFonts w:ascii="Arial" w:hAnsi="Arial"/>
                <w:b/>
                <w:sz w:val="12"/>
              </w:rPr>
              <w:t>Source Name</w:t>
            </w:r>
          </w:p>
        </w:tc>
        <w:tc>
          <w:tcPr>
            <w:tcW w:type="dxa" w:w="1704"/>
          </w:tcPr>
          <w:p>
            <w:pPr>
              <w:spacing w:after="0"/>
            </w:pPr>
            <w:r>
              <w:rPr>
                <w:rFonts w:ascii="Arial" w:hAnsi="Arial"/>
                <w:b/>
                <w:sz w:val="12"/>
              </w:rPr>
              <w:t>Evidence Level</w:t>
            </w:r>
          </w:p>
        </w:tc>
        <w:tc>
          <w:tcPr>
            <w:tcW w:type="dxa" w:w="1704"/>
          </w:tcPr>
          <w:p>
            <w:pPr>
              <w:spacing w:after="0"/>
            </w:pPr>
            <w:r>
              <w:rPr>
                <w:rFonts w:ascii="Arial" w:hAnsi="Arial"/>
                <w:b/>
                <w:sz w:val="12"/>
              </w:rPr>
              <w:t>Used In</w:t>
            </w:r>
          </w:p>
        </w:tc>
        <w:tc>
          <w:tcPr>
            <w:tcW w:type="dxa" w:w="1704"/>
          </w:tcPr>
          <w:p>
            <w:pPr>
              <w:spacing w:after="0"/>
            </w:pPr>
            <w:r>
              <w:rPr>
                <w:rFonts w:ascii="Arial" w:hAnsi="Arial"/>
                <w:b/>
                <w:sz w:val="12"/>
              </w:rPr>
              <w:t>Current Status</w:t>
            </w:r>
          </w:p>
        </w:tc>
        <w:tc>
          <w:tcPr>
            <w:tcW w:type="dxa" w:w="1704"/>
          </w:tcPr>
          <w:p>
            <w:pPr>
              <w:spacing w:after="0"/>
            </w:pPr>
            <w:r>
              <w:rPr>
                <w:rFonts w:ascii="Arial" w:hAnsi="Arial"/>
                <w:b/>
                <w:sz w:val="12"/>
              </w:rPr>
              <w:t>Publication Follow-up Action</w:t>
            </w:r>
          </w:p>
        </w:tc>
      </w:tr>
      <w:tr>
        <w:tc>
          <w:tcPr>
            <w:tcW w:type="dxa" w:w="1704"/>
          </w:tcPr>
          <w:p>
            <w:pPr>
              <w:spacing w:after="0"/>
            </w:pPr>
            <w:r>
              <w:rPr>
                <w:rFonts w:ascii="Arial" w:hAnsi="Arial"/>
                <w:b w:val="0"/>
                <w:sz w:val="12"/>
              </w:rPr>
              <w:t>EU-AI-ACT</w:t>
            </w:r>
          </w:p>
        </w:tc>
        <w:tc>
          <w:tcPr>
            <w:tcW w:type="dxa" w:w="1704"/>
          </w:tcPr>
          <w:p>
            <w:pPr>
              <w:spacing w:after="0"/>
            </w:pPr>
            <w:r>
              <w:rPr>
                <w:rFonts w:ascii="Arial" w:hAnsi="Arial"/>
                <w:b w:val="0"/>
                <w:sz w:val="12"/>
              </w:rPr>
              <w:t>EU AI Act (Regulation (EU) 2024/1689)</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article citations</w:t>
            </w:r>
          </w:p>
        </w:tc>
      </w:tr>
      <w:tr>
        <w:tc>
          <w:tcPr>
            <w:tcW w:type="dxa" w:w="1704"/>
          </w:tcPr>
          <w:p>
            <w:pPr>
              <w:spacing w:after="0"/>
            </w:pPr>
            <w:r>
              <w:rPr>
                <w:rFonts w:ascii="Arial" w:hAnsi="Arial"/>
                <w:b w:val="0"/>
                <w:sz w:val="12"/>
              </w:rPr>
              <w:t>GDPR</w:t>
            </w:r>
          </w:p>
        </w:tc>
        <w:tc>
          <w:tcPr>
            <w:tcW w:type="dxa" w:w="1704"/>
          </w:tcPr>
          <w:p>
            <w:pPr>
              <w:spacing w:after="0"/>
            </w:pPr>
            <w:r>
              <w:rPr>
                <w:rFonts w:ascii="Arial" w:hAnsi="Arial"/>
                <w:b w:val="0"/>
                <w:sz w:val="12"/>
              </w:rPr>
              <w:t>GDPR (Regulation (EU) 2016/679)</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article citations</w:t>
            </w:r>
          </w:p>
        </w:tc>
      </w:tr>
      <w:tr>
        <w:tc>
          <w:tcPr>
            <w:tcW w:type="dxa" w:w="1704"/>
          </w:tcPr>
          <w:p>
            <w:pPr>
              <w:spacing w:after="0"/>
            </w:pPr>
            <w:r>
              <w:rPr>
                <w:rFonts w:ascii="Arial" w:hAnsi="Arial"/>
                <w:b w:val="0"/>
                <w:sz w:val="12"/>
              </w:rPr>
              <w:t>COLORADO-AI-ACT</w:t>
            </w:r>
          </w:p>
        </w:tc>
        <w:tc>
          <w:tcPr>
            <w:tcW w:type="dxa" w:w="1704"/>
          </w:tcPr>
          <w:p>
            <w:pPr>
              <w:spacing w:after="0"/>
            </w:pPr>
            <w:r>
              <w:rPr>
                <w:rFonts w:ascii="Arial" w:hAnsi="Arial"/>
                <w:b w:val="0"/>
                <w:sz w:val="12"/>
              </w:rPr>
              <w:t>Colorado AI Act (SB25B-004)</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NIST-AI-RMF</w:t>
            </w:r>
          </w:p>
        </w:tc>
        <w:tc>
          <w:tcPr>
            <w:tcW w:type="dxa" w:w="1704"/>
          </w:tcPr>
          <w:p>
            <w:pPr>
              <w:spacing w:after="0"/>
            </w:pPr>
            <w:r>
              <w:rPr>
                <w:rFonts w:ascii="Arial" w:hAnsi="Arial"/>
                <w:b w:val="0"/>
                <w:sz w:val="12"/>
              </w:rPr>
              <w:t>NIST AI RMF 1.0</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ISO-42001</w:t>
            </w:r>
          </w:p>
        </w:tc>
        <w:tc>
          <w:tcPr>
            <w:tcW w:type="dxa" w:w="1704"/>
          </w:tcPr>
          <w:p>
            <w:pPr>
              <w:spacing w:after="0"/>
            </w:pPr>
            <w:r>
              <w:rPr>
                <w:rFonts w:ascii="Arial" w:hAnsi="Arial"/>
                <w:b w:val="0"/>
                <w:sz w:val="12"/>
              </w:rPr>
              <w:t>ISO/IEC 42001:2023</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SINGAPORE-IMDA</w:t>
            </w:r>
          </w:p>
        </w:tc>
        <w:tc>
          <w:tcPr>
            <w:tcW w:type="dxa" w:w="1704"/>
          </w:tcPr>
          <w:p>
            <w:pPr>
              <w:spacing w:after="0"/>
            </w:pPr>
            <w:r>
              <w:rPr>
                <w:rFonts w:ascii="Arial" w:hAnsi="Arial"/>
                <w:b w:val="0"/>
                <w:sz w:val="12"/>
              </w:rPr>
              <w:t>Singapore IMDA Model AI Governance Framework for Agentic AI</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W3C-PROV</w:t>
            </w:r>
          </w:p>
        </w:tc>
        <w:tc>
          <w:tcPr>
            <w:tcW w:type="dxa" w:w="1704"/>
          </w:tcPr>
          <w:p>
            <w:pPr>
              <w:spacing w:after="0"/>
            </w:pPr>
            <w:r>
              <w:rPr>
                <w:rFonts w:ascii="Arial" w:hAnsi="Arial"/>
                <w:b w:val="0"/>
                <w:sz w:val="12"/>
              </w:rPr>
              <w:t>W3C PROV-DM</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W3C-VC</w:t>
            </w:r>
          </w:p>
        </w:tc>
        <w:tc>
          <w:tcPr>
            <w:tcW w:type="dxa" w:w="1704"/>
          </w:tcPr>
          <w:p>
            <w:pPr>
              <w:spacing w:after="0"/>
            </w:pPr>
            <w:r>
              <w:rPr>
                <w:rFonts w:ascii="Arial" w:hAnsi="Arial"/>
                <w:b w:val="0"/>
                <w:sz w:val="12"/>
              </w:rPr>
              <w:t>W3C Verifiable Credentials</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IBM-WATSONX-GOVERNANCE-DOCS</w:t>
            </w:r>
          </w:p>
        </w:tc>
        <w:tc>
          <w:tcPr>
            <w:tcW w:type="dxa" w:w="1704"/>
          </w:tcPr>
          <w:p>
            <w:pPr>
              <w:spacing w:after="0"/>
            </w:pPr>
            <w:r>
              <w:rPr>
                <w:rFonts w:ascii="Arial" w:hAnsi="Arial"/>
                <w:b w:val="0"/>
                <w:sz w:val="12"/>
              </w:rPr>
              <w:t>IBM watsonx.governance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Entry point located; page-level citation pinning remains</w:t>
            </w:r>
          </w:p>
        </w:tc>
        <w:tc>
          <w:tcPr>
            <w:tcW w:type="dxa" w:w="1704"/>
          </w:tcPr>
          <w:p>
            <w:pPr>
              <w:spacing w:after="0"/>
            </w:pPr>
            <w:r>
              <w:rPr>
                <w:rFonts w:ascii="Arial" w:hAnsi="Arial"/>
                <w:b w:val="0"/>
                <w:sz w:val="12"/>
              </w:rPr>
              <w:t>Pin exact docs pages and publication/access details</w:t>
            </w:r>
          </w:p>
        </w:tc>
      </w:tr>
      <w:tr>
        <w:tc>
          <w:tcPr>
            <w:tcW w:type="dxa" w:w="1704"/>
          </w:tcPr>
          <w:p>
            <w:pPr>
              <w:spacing w:after="0"/>
            </w:pPr>
            <w:r>
              <w:rPr>
                <w:rFonts w:ascii="Arial" w:hAnsi="Arial"/>
                <w:b w:val="0"/>
                <w:sz w:val="12"/>
              </w:rPr>
              <w:t>MICROSOFT-AZURE-AI-FOUNDRY-DOCS</w:t>
            </w:r>
          </w:p>
        </w:tc>
        <w:tc>
          <w:tcPr>
            <w:tcW w:type="dxa" w:w="1704"/>
          </w:tcPr>
          <w:p>
            <w:pPr>
              <w:spacing w:after="0"/>
            </w:pPr>
            <w:r>
              <w:rPr>
                <w:rFonts w:ascii="Arial" w:hAnsi="Arial"/>
                <w:b w:val="0"/>
                <w:sz w:val="12"/>
              </w:rPr>
              <w:t>Microsoft Azure AI Foundry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Entry point located; page-level citation pinning remains</w:t>
            </w:r>
          </w:p>
        </w:tc>
        <w:tc>
          <w:tcPr>
            <w:tcW w:type="dxa" w:w="1704"/>
          </w:tcPr>
          <w:p>
            <w:pPr>
              <w:spacing w:after="0"/>
            </w:pPr>
            <w:r>
              <w:rPr>
                <w:rFonts w:ascii="Arial" w:hAnsi="Arial"/>
                <w:b w:val="0"/>
                <w:sz w:val="12"/>
              </w:rPr>
              <w:t>Pin exact Microsoft Learn pages and publication/access details</w:t>
            </w:r>
          </w:p>
        </w:tc>
      </w:tr>
      <w:tr>
        <w:tc>
          <w:tcPr>
            <w:tcW w:type="dxa" w:w="1704"/>
          </w:tcPr>
          <w:p>
            <w:pPr>
              <w:spacing w:after="0"/>
            </w:pPr>
            <w:r>
              <w:rPr>
                <w:rFonts w:ascii="Arial" w:hAnsi="Arial"/>
                <w:b w:val="0"/>
                <w:sz w:val="12"/>
              </w:rPr>
              <w:t>MICROSOFT-RESPONSIBLE-AI-DOCS</w:t>
            </w:r>
          </w:p>
        </w:tc>
        <w:tc>
          <w:tcPr>
            <w:tcW w:type="dxa" w:w="1704"/>
          </w:tcPr>
          <w:p>
            <w:pPr>
              <w:spacing w:after="0"/>
            </w:pPr>
            <w:r>
              <w:rPr>
                <w:rFonts w:ascii="Arial" w:hAnsi="Arial"/>
                <w:b w:val="0"/>
                <w:sz w:val="12"/>
              </w:rPr>
              <w:t>Microsoft Responsible AI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Source family located; exact page pinning remains</w:t>
            </w:r>
          </w:p>
        </w:tc>
        <w:tc>
          <w:tcPr>
            <w:tcW w:type="dxa" w:w="1704"/>
          </w:tcPr>
          <w:p>
            <w:pPr>
              <w:spacing w:after="0"/>
            </w:pPr>
            <w:r>
              <w:rPr>
                <w:rFonts w:ascii="Arial" w:hAnsi="Arial"/>
                <w:b w:val="0"/>
                <w:sz w:val="12"/>
              </w:rPr>
              <w:t>Pin exact responsible-AI pages if retained</w:t>
            </w:r>
          </w:p>
        </w:tc>
      </w:tr>
      <w:tr>
        <w:tc>
          <w:tcPr>
            <w:tcW w:type="dxa" w:w="1704"/>
          </w:tcPr>
          <w:p>
            <w:pPr>
              <w:spacing w:after="0"/>
            </w:pPr>
            <w:r>
              <w:rPr>
                <w:rFonts w:ascii="Arial" w:hAnsi="Arial"/>
                <w:b w:val="0"/>
                <w:sz w:val="12"/>
              </w:rPr>
              <w:t>AWS-BEDROCK-DOCS</w:t>
            </w:r>
          </w:p>
        </w:tc>
        <w:tc>
          <w:tcPr>
            <w:tcW w:type="dxa" w:w="1704"/>
          </w:tcPr>
          <w:p>
            <w:pPr>
              <w:spacing w:after="0"/>
            </w:pPr>
            <w:r>
              <w:rPr>
                <w:rFonts w:ascii="Arial" w:hAnsi="Arial"/>
                <w:b w:val="0"/>
                <w:sz w:val="12"/>
              </w:rPr>
              <w:t>AWS Bedrock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Entry point located; page-level citation pinning remains</w:t>
            </w:r>
          </w:p>
        </w:tc>
        <w:tc>
          <w:tcPr>
            <w:tcW w:type="dxa" w:w="1704"/>
          </w:tcPr>
          <w:p>
            <w:pPr>
              <w:spacing w:after="0"/>
            </w:pPr>
            <w:r>
              <w:rPr>
                <w:rFonts w:ascii="Arial" w:hAnsi="Arial"/>
                <w:b w:val="0"/>
                <w:sz w:val="12"/>
              </w:rPr>
              <w:t>Pin exact Bedrock pages and publication/access details</w:t>
            </w:r>
          </w:p>
        </w:tc>
      </w:tr>
      <w:tr>
        <w:tc>
          <w:tcPr>
            <w:tcW w:type="dxa" w:w="1704"/>
          </w:tcPr>
          <w:p>
            <w:pPr>
              <w:spacing w:after="0"/>
            </w:pPr>
            <w:r>
              <w:rPr>
                <w:rFonts w:ascii="Arial" w:hAnsi="Arial"/>
                <w:b w:val="0"/>
                <w:sz w:val="12"/>
              </w:rPr>
              <w:t>AWS-BEDROCK-GUARDRAILS-DOCS</w:t>
            </w:r>
          </w:p>
        </w:tc>
        <w:tc>
          <w:tcPr>
            <w:tcW w:type="dxa" w:w="1704"/>
          </w:tcPr>
          <w:p>
            <w:pPr>
              <w:spacing w:after="0"/>
            </w:pPr>
            <w:r>
              <w:rPr>
                <w:rFonts w:ascii="Arial" w:hAnsi="Arial"/>
                <w:b w:val="0"/>
                <w:sz w:val="12"/>
              </w:rPr>
              <w:t>AWS Bedrock Guardrails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Entry point located; page-level citation pinning remains</w:t>
            </w:r>
          </w:p>
        </w:tc>
        <w:tc>
          <w:tcPr>
            <w:tcW w:type="dxa" w:w="1704"/>
          </w:tcPr>
          <w:p>
            <w:pPr>
              <w:spacing w:after="0"/>
            </w:pPr>
            <w:r>
              <w:rPr>
                <w:rFonts w:ascii="Arial" w:hAnsi="Arial"/>
                <w:b w:val="0"/>
                <w:sz w:val="12"/>
              </w:rPr>
              <w:t>Pin exact guardrails pages and preserve authority-boundary caveat</w:t>
            </w:r>
          </w:p>
        </w:tc>
      </w:tr>
      <w:tr>
        <w:tc>
          <w:tcPr>
            <w:tcW w:type="dxa" w:w="1704"/>
          </w:tcPr>
          <w:p>
            <w:pPr>
              <w:spacing w:after="0"/>
            </w:pPr>
            <w:r>
              <w:rPr>
                <w:rFonts w:ascii="Arial" w:hAnsi="Arial"/>
                <w:b w:val="0"/>
                <w:sz w:val="12"/>
              </w:rPr>
              <w:t>AWS-AGENTCORE-DOCS</w:t>
            </w:r>
          </w:p>
        </w:tc>
        <w:tc>
          <w:tcPr>
            <w:tcW w:type="dxa" w:w="1704"/>
          </w:tcPr>
          <w:p>
            <w:pPr>
              <w:spacing w:after="0"/>
            </w:pPr>
            <w:r>
              <w:rPr>
                <w:rFonts w:ascii="Arial" w:hAnsi="Arial"/>
                <w:b w:val="0"/>
                <w:sz w:val="12"/>
              </w:rPr>
              <w:t>AWS AgentCore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Entry point located; page-level citation pinning remains</w:t>
            </w:r>
          </w:p>
        </w:tc>
        <w:tc>
          <w:tcPr>
            <w:tcW w:type="dxa" w:w="1704"/>
          </w:tcPr>
          <w:p>
            <w:pPr>
              <w:spacing w:after="0"/>
            </w:pPr>
            <w:r>
              <w:rPr>
                <w:rFonts w:ascii="Arial" w:hAnsi="Arial"/>
                <w:b w:val="0"/>
                <w:sz w:val="12"/>
              </w:rPr>
              <w:t>Pin exact AgentCore pages and publication/access details</w:t>
            </w:r>
          </w:p>
        </w:tc>
      </w:tr>
      <w:tr>
        <w:tc>
          <w:tcPr>
            <w:tcW w:type="dxa" w:w="1704"/>
          </w:tcPr>
          <w:p>
            <w:pPr>
              <w:spacing w:after="0"/>
            </w:pPr>
            <w:r>
              <w:rPr>
                <w:rFonts w:ascii="Arial" w:hAnsi="Arial"/>
                <w:b w:val="0"/>
                <w:sz w:val="12"/>
              </w:rPr>
              <w:t>GOOGLE-VERTEX-AI-DOCS</w:t>
            </w:r>
          </w:p>
        </w:tc>
        <w:tc>
          <w:tcPr>
            <w:tcW w:type="dxa" w:w="1704"/>
          </w:tcPr>
          <w:p>
            <w:pPr>
              <w:spacing w:after="0"/>
            </w:pPr>
            <w:r>
              <w:rPr>
                <w:rFonts w:ascii="Arial" w:hAnsi="Arial"/>
                <w:b w:val="0"/>
                <w:sz w:val="12"/>
              </w:rPr>
              <w:t>Google Vertex AI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Entry point located; page-level citation pinning remains</w:t>
            </w:r>
          </w:p>
        </w:tc>
        <w:tc>
          <w:tcPr>
            <w:tcW w:type="dxa" w:w="1704"/>
          </w:tcPr>
          <w:p>
            <w:pPr>
              <w:spacing w:after="0"/>
            </w:pPr>
            <w:r>
              <w:rPr>
                <w:rFonts w:ascii="Arial" w:hAnsi="Arial"/>
                <w:b w:val="0"/>
                <w:sz w:val="12"/>
              </w:rPr>
              <w:t>Pin exact Vertex AI pages and publication/access details</w:t>
            </w:r>
          </w:p>
        </w:tc>
      </w:tr>
      <w:tr>
        <w:tc>
          <w:tcPr>
            <w:tcW w:type="dxa" w:w="1704"/>
          </w:tcPr>
          <w:p>
            <w:pPr>
              <w:spacing w:after="0"/>
            </w:pPr>
            <w:r>
              <w:rPr>
                <w:rFonts w:ascii="Arial" w:hAnsi="Arial"/>
                <w:b w:val="0"/>
                <w:sz w:val="12"/>
              </w:rPr>
              <w:t>GOOGLE-ADK-DOCS</w:t>
            </w:r>
          </w:p>
        </w:tc>
        <w:tc>
          <w:tcPr>
            <w:tcW w:type="dxa" w:w="1704"/>
          </w:tcPr>
          <w:p>
            <w:pPr>
              <w:spacing w:after="0"/>
            </w:pPr>
            <w:r>
              <w:rPr>
                <w:rFonts w:ascii="Arial" w:hAnsi="Arial"/>
                <w:b w:val="0"/>
                <w:sz w:val="12"/>
              </w:rPr>
              <w:t>Google ADK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Entry point located; page-level citation pinning remains</w:t>
            </w:r>
          </w:p>
        </w:tc>
        <w:tc>
          <w:tcPr>
            <w:tcW w:type="dxa" w:w="1704"/>
          </w:tcPr>
          <w:p>
            <w:pPr>
              <w:spacing w:after="0"/>
            </w:pPr>
            <w:r>
              <w:rPr>
                <w:rFonts w:ascii="Arial" w:hAnsi="Arial"/>
                <w:b w:val="0"/>
                <w:sz w:val="12"/>
              </w:rPr>
              <w:t>Pin exact ADK pages and publication/access details</w:t>
            </w:r>
          </w:p>
        </w:tc>
      </w:tr>
      <w:tr>
        <w:tc>
          <w:tcPr>
            <w:tcW w:type="dxa" w:w="1704"/>
          </w:tcPr>
          <w:p>
            <w:pPr>
              <w:spacing w:after="0"/>
            </w:pPr>
            <w:r>
              <w:rPr>
                <w:rFonts w:ascii="Arial" w:hAnsi="Arial"/>
                <w:b w:val="0"/>
                <w:sz w:val="12"/>
              </w:rPr>
              <w:t>GOOGLE-MODEL-ARMOR-DOCS</w:t>
            </w:r>
          </w:p>
        </w:tc>
        <w:tc>
          <w:tcPr>
            <w:tcW w:type="dxa" w:w="1704"/>
          </w:tcPr>
          <w:p>
            <w:pPr>
              <w:spacing w:after="0"/>
            </w:pPr>
            <w:r>
              <w:rPr>
                <w:rFonts w:ascii="Arial" w:hAnsi="Arial"/>
                <w:b w:val="0"/>
                <w:sz w:val="12"/>
              </w:rPr>
              <w:t>Google Model Armor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Entry point located; page-level citation pinning remains</w:t>
            </w:r>
          </w:p>
        </w:tc>
        <w:tc>
          <w:tcPr>
            <w:tcW w:type="dxa" w:w="1704"/>
          </w:tcPr>
          <w:p>
            <w:pPr>
              <w:spacing w:after="0"/>
            </w:pPr>
            <w:r>
              <w:rPr>
                <w:rFonts w:ascii="Arial" w:hAnsi="Arial"/>
                <w:b w:val="0"/>
                <w:sz w:val="12"/>
              </w:rPr>
              <w:t>Pin exact Model Armor pages and preserve lifecycle-governance caveat</w:t>
            </w:r>
          </w:p>
        </w:tc>
      </w:tr>
      <w:tr>
        <w:tc>
          <w:tcPr>
            <w:tcW w:type="dxa" w:w="1704"/>
          </w:tcPr>
          <w:p>
            <w:pPr>
              <w:spacing w:after="0"/>
            </w:pPr>
            <w:r>
              <w:rPr>
                <w:rFonts w:ascii="Arial" w:hAnsi="Arial"/>
                <w:b w:val="0"/>
                <w:sz w:val="12"/>
              </w:rPr>
              <w:t>LANGGRAPH-DOCS</w:t>
            </w:r>
          </w:p>
        </w:tc>
        <w:tc>
          <w:tcPr>
            <w:tcW w:type="dxa" w:w="1704"/>
          </w:tcPr>
          <w:p>
            <w:pPr>
              <w:spacing w:after="0"/>
            </w:pPr>
            <w:r>
              <w:rPr>
                <w:rFonts w:ascii="Arial" w:hAnsi="Arial"/>
                <w:b w:val="0"/>
                <w:sz w:val="12"/>
              </w:rPr>
              <w:t>LangGraph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Entry point located; page-level citation pinning remains</w:t>
            </w:r>
          </w:p>
        </w:tc>
        <w:tc>
          <w:tcPr>
            <w:tcW w:type="dxa" w:w="1704"/>
          </w:tcPr>
          <w:p>
            <w:pPr>
              <w:spacing w:after="0"/>
            </w:pPr>
            <w:r>
              <w:rPr>
                <w:rFonts w:ascii="Arial" w:hAnsi="Arial"/>
                <w:b w:val="0"/>
                <w:sz w:val="12"/>
              </w:rPr>
              <w:t>Pin exact LangGraph pages and publication/access details</w:t>
            </w:r>
          </w:p>
        </w:tc>
      </w:tr>
      <w:tr>
        <w:tc>
          <w:tcPr>
            <w:tcW w:type="dxa" w:w="1704"/>
          </w:tcPr>
          <w:p>
            <w:pPr>
              <w:spacing w:after="0"/>
            </w:pPr>
            <w:r>
              <w:rPr>
                <w:rFonts w:ascii="Arial" w:hAnsi="Arial"/>
                <w:b w:val="0"/>
                <w:sz w:val="12"/>
              </w:rPr>
              <w:t>LANGSMITH-DOCS</w:t>
            </w:r>
          </w:p>
        </w:tc>
        <w:tc>
          <w:tcPr>
            <w:tcW w:type="dxa" w:w="1704"/>
          </w:tcPr>
          <w:p>
            <w:pPr>
              <w:spacing w:after="0"/>
            </w:pPr>
            <w:r>
              <w:rPr>
                <w:rFonts w:ascii="Arial" w:hAnsi="Arial"/>
                <w:b w:val="0"/>
                <w:sz w:val="12"/>
              </w:rPr>
              <w:t>LangSmith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Entry point located; page-level citation pinning remains</w:t>
            </w:r>
          </w:p>
        </w:tc>
        <w:tc>
          <w:tcPr>
            <w:tcW w:type="dxa" w:w="1704"/>
          </w:tcPr>
          <w:p>
            <w:pPr>
              <w:spacing w:after="0"/>
            </w:pPr>
            <w:r>
              <w:rPr>
                <w:rFonts w:ascii="Arial" w:hAnsi="Arial"/>
                <w:b w:val="0"/>
                <w:sz w:val="12"/>
              </w:rPr>
              <w:t>Pin exact LangSmith pages and publication/access details</w:t>
            </w:r>
          </w:p>
        </w:tc>
      </w:tr>
      <w:tr>
        <w:tc>
          <w:tcPr>
            <w:tcW w:type="dxa" w:w="1704"/>
          </w:tcPr>
          <w:p>
            <w:pPr>
              <w:spacing w:after="0"/>
            </w:pPr>
            <w:r>
              <w:rPr>
                <w:rFonts w:ascii="Arial" w:hAnsi="Arial"/>
                <w:b w:val="0"/>
                <w:sz w:val="12"/>
              </w:rPr>
              <w:t>OPENAI-AGENTS-SDK-DOCS</w:t>
            </w:r>
          </w:p>
        </w:tc>
        <w:tc>
          <w:tcPr>
            <w:tcW w:type="dxa" w:w="1704"/>
          </w:tcPr>
          <w:p>
            <w:pPr>
              <w:spacing w:after="0"/>
            </w:pPr>
            <w:r>
              <w:rPr>
                <w:rFonts w:ascii="Arial" w:hAnsi="Arial"/>
                <w:b w:val="0"/>
                <w:sz w:val="12"/>
              </w:rPr>
              <w:t>OpenAI Agents SDK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SDK entry point located; platform guide access/rendering needs final check</w:t>
            </w:r>
          </w:p>
        </w:tc>
        <w:tc>
          <w:tcPr>
            <w:tcW w:type="dxa" w:w="1704"/>
          </w:tcPr>
          <w:p>
            <w:pPr>
              <w:spacing w:after="0"/>
            </w:pPr>
            <w:r>
              <w:rPr>
                <w:rFonts w:ascii="Arial" w:hAnsi="Arial"/>
                <w:b w:val="0"/>
                <w:sz w:val="12"/>
              </w:rPr>
              <w:t>Use accessible official SDK docs and perform final citation rendering check</w:t>
            </w:r>
          </w:p>
        </w:tc>
      </w:tr>
      <w:tr>
        <w:tc>
          <w:tcPr>
            <w:tcW w:type="dxa" w:w="1704"/>
          </w:tcPr>
          <w:p>
            <w:pPr>
              <w:spacing w:after="0"/>
            </w:pPr>
            <w:r>
              <w:rPr>
                <w:rFonts w:ascii="Arial" w:hAnsi="Arial"/>
                <w:b w:val="0"/>
                <w:sz w:val="12"/>
              </w:rPr>
              <w:t>OPENAI-TOOLS-DOCS</w:t>
            </w:r>
          </w:p>
        </w:tc>
        <w:tc>
          <w:tcPr>
            <w:tcW w:type="dxa" w:w="1704"/>
          </w:tcPr>
          <w:p>
            <w:pPr>
              <w:spacing w:after="0"/>
            </w:pPr>
            <w:r>
              <w:rPr>
                <w:rFonts w:ascii="Arial" w:hAnsi="Arial"/>
                <w:b w:val="0"/>
                <w:sz w:val="12"/>
              </w:rPr>
              <w:t>OpenAI Tools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Official source family located; exact tools page pinning remains</w:t>
            </w:r>
          </w:p>
        </w:tc>
        <w:tc>
          <w:tcPr>
            <w:tcW w:type="dxa" w:w="1704"/>
          </w:tcPr>
          <w:p>
            <w:pPr>
              <w:spacing w:after="0"/>
            </w:pPr>
            <w:r>
              <w:rPr>
                <w:rFonts w:ascii="Arial" w:hAnsi="Arial"/>
                <w:b w:val="0"/>
                <w:sz w:val="12"/>
              </w:rPr>
              <w:t>Pin exact accessible tools pages if retained</w:t>
            </w:r>
          </w:p>
        </w:tc>
      </w:tr>
      <w:tr>
        <w:tc>
          <w:tcPr>
            <w:tcW w:type="dxa" w:w="1704"/>
          </w:tcPr>
          <w:p>
            <w:pPr>
              <w:spacing w:after="0"/>
            </w:pPr>
            <w:r>
              <w:rPr>
                <w:rFonts w:ascii="Arial" w:hAnsi="Arial"/>
                <w:b w:val="0"/>
                <w:sz w:val="12"/>
              </w:rPr>
              <w:t>CREWAI-DOCS</w:t>
            </w:r>
          </w:p>
        </w:tc>
        <w:tc>
          <w:tcPr>
            <w:tcW w:type="dxa" w:w="1704"/>
          </w:tcPr>
          <w:p>
            <w:pPr>
              <w:spacing w:after="0"/>
            </w:pPr>
            <w:r>
              <w:rPr>
                <w:rFonts w:ascii="Arial" w:hAnsi="Arial"/>
                <w:b w:val="0"/>
                <w:sz w:val="12"/>
              </w:rPr>
              <w:t>CrewAI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Entry point located; page-level citation pinning remains</w:t>
            </w:r>
          </w:p>
        </w:tc>
        <w:tc>
          <w:tcPr>
            <w:tcW w:type="dxa" w:w="1704"/>
          </w:tcPr>
          <w:p>
            <w:pPr>
              <w:spacing w:after="0"/>
            </w:pPr>
            <w:r>
              <w:rPr>
                <w:rFonts w:ascii="Arial" w:hAnsi="Arial"/>
                <w:b w:val="0"/>
                <w:sz w:val="12"/>
              </w:rPr>
              <w:t>Pin exact CrewAI docs pages and publication/access details</w:t>
            </w:r>
          </w:p>
        </w:tc>
      </w:tr>
      <w:tr>
        <w:tc>
          <w:tcPr>
            <w:tcW w:type="dxa" w:w="1704"/>
          </w:tcPr>
          <w:p>
            <w:pPr>
              <w:spacing w:after="0"/>
            </w:pPr>
            <w:r>
              <w:rPr>
                <w:rFonts w:ascii="Arial" w:hAnsi="Arial"/>
                <w:b w:val="0"/>
                <w:sz w:val="12"/>
              </w:rPr>
              <w:t>CREWAI-GITHUB</w:t>
            </w:r>
          </w:p>
        </w:tc>
        <w:tc>
          <w:tcPr>
            <w:tcW w:type="dxa" w:w="1704"/>
          </w:tcPr>
          <w:p>
            <w:pPr>
              <w:spacing w:after="0"/>
            </w:pPr>
            <w:r>
              <w:rPr>
                <w:rFonts w:ascii="Arial" w:hAnsi="Arial"/>
                <w:b w:val="0"/>
                <w:sz w:val="12"/>
              </w:rPr>
              <w:t>CrewAI GitHub</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Repository entry point located; exact code/API claims require page-level pinning</w:t>
            </w:r>
          </w:p>
        </w:tc>
        <w:tc>
          <w:tcPr>
            <w:tcW w:type="dxa" w:w="1704"/>
          </w:tcPr>
          <w:p>
            <w:pPr>
              <w:spacing w:after="0"/>
            </w:pPr>
            <w:r>
              <w:rPr>
                <w:rFonts w:ascii="Arial" w:hAnsi="Arial"/>
                <w:b w:val="0"/>
                <w:sz w:val="12"/>
              </w:rPr>
              <w:t>Pin exact repository paths only for code/API-specific claims</w:t>
            </w:r>
          </w:p>
        </w:tc>
      </w:tr>
      <w:tr>
        <w:tc>
          <w:tcPr>
            <w:tcW w:type="dxa" w:w="1704"/>
          </w:tcPr>
          <w:p>
            <w:pPr>
              <w:spacing w:after="0"/>
            </w:pPr>
            <w:r>
              <w:rPr>
                <w:rFonts w:ascii="Arial" w:hAnsi="Arial"/>
                <w:b w:val="0"/>
                <w:sz w:val="12"/>
              </w:rPr>
              <w:t>MPLP-DOCS</w:t>
            </w:r>
          </w:p>
        </w:tc>
        <w:tc>
          <w:tcPr>
            <w:tcW w:type="dxa" w:w="1704"/>
          </w:tcPr>
          <w:p>
            <w:pPr>
              <w:spacing w:after="0"/>
            </w:pPr>
            <w:r>
              <w:rPr>
                <w:rFonts w:ascii="Arial" w:hAnsi="Arial"/>
                <w:b w:val="0"/>
                <w:sz w:val="12"/>
              </w:rPr>
              <w:t>MPLP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Chapters 12, 13</w:t>
            </w:r>
          </w:p>
        </w:tc>
        <w:tc>
          <w:tcPr>
            <w:tcW w:type="dxa" w:w="1704"/>
          </w:tcPr>
          <w:p>
            <w:pPr>
              <w:spacing w:after="0"/>
            </w:pPr>
            <w:r>
              <w:rPr>
                <w:rFonts w:ascii="Arial" w:hAnsi="Arial"/>
                <w:b w:val="0"/>
                <w:sz w:val="12"/>
              </w:rPr>
              <w:t>Entry point located; protocol version/citation rendering remains</w:t>
            </w:r>
          </w:p>
        </w:tc>
        <w:tc>
          <w:tcPr>
            <w:tcW w:type="dxa" w:w="1704"/>
          </w:tcPr>
          <w:p>
            <w:pPr>
              <w:spacing w:after="0"/>
            </w:pPr>
            <w:r>
              <w:rPr>
                <w:rFonts w:ascii="Arial" w:hAnsi="Arial"/>
                <w:b w:val="0"/>
                <w:sz w:val="12"/>
              </w:rPr>
              <w:t>Pin protocol version and preserve conflict-of-interest boundary</w:t>
            </w:r>
          </w:p>
        </w:tc>
      </w:tr>
      <w:tr>
        <w:tc>
          <w:tcPr>
            <w:tcW w:type="dxa" w:w="1704"/>
          </w:tcPr>
          <w:p>
            <w:pPr>
              <w:spacing w:after="0"/>
            </w:pPr>
            <w:r>
              <w:rPr>
                <w:rFonts w:ascii="Arial" w:hAnsi="Arial"/>
                <w:b w:val="0"/>
                <w:sz w:val="12"/>
              </w:rPr>
              <w:t>MPLP-SPEC</w:t>
            </w:r>
          </w:p>
        </w:tc>
        <w:tc>
          <w:tcPr>
            <w:tcW w:type="dxa" w:w="1704"/>
          </w:tcPr>
          <w:p>
            <w:pPr>
              <w:spacing w:after="0"/>
            </w:pPr>
            <w:r>
              <w:rPr>
                <w:rFonts w:ascii="Arial" w:hAnsi="Arial"/>
                <w:b w:val="0"/>
                <w:sz w:val="12"/>
              </w:rPr>
              <w:t>MPLP Spec</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13</w:t>
            </w:r>
          </w:p>
        </w:tc>
        <w:tc>
          <w:tcPr>
            <w:tcW w:type="dxa" w:w="1704"/>
          </w:tcPr>
          <w:p>
            <w:pPr>
              <w:spacing w:after="0"/>
            </w:pPr>
            <w:r>
              <w:rPr>
                <w:rFonts w:ascii="Arial" w:hAnsi="Arial"/>
                <w:b w:val="0"/>
                <w:sz w:val="12"/>
              </w:rPr>
              <w:t>Bound through MPLP docs entry point; exact version/citation rendering remains</w:t>
            </w:r>
          </w:p>
        </w:tc>
        <w:tc>
          <w:tcPr>
            <w:tcW w:type="dxa" w:w="1704"/>
          </w:tcPr>
          <w:p>
            <w:pPr>
              <w:spacing w:after="0"/>
            </w:pPr>
            <w:r>
              <w:rPr>
                <w:rFonts w:ascii="Arial" w:hAnsi="Arial"/>
                <w:b w:val="0"/>
                <w:sz w:val="12"/>
              </w:rPr>
              <w:t>Pin exact specification/version reference if separate page exists</w:t>
            </w:r>
          </w:p>
        </w:tc>
      </w:tr>
      <w:tr>
        <w:tc>
          <w:tcPr>
            <w:tcW w:type="dxa" w:w="1704"/>
          </w:tcPr>
          <w:p>
            <w:pPr>
              <w:spacing w:after="0"/>
            </w:pPr>
            <w:r>
              <w:rPr>
                <w:rFonts w:ascii="Arial" w:hAnsi="Arial"/>
                <w:b w:val="0"/>
                <w:sz w:val="12"/>
              </w:rPr>
              <w:t>VALIDATION-LAB-METHODOLOGY</w:t>
            </w:r>
          </w:p>
        </w:tc>
        <w:tc>
          <w:tcPr>
            <w:tcW w:type="dxa" w:w="1704"/>
          </w:tcPr>
          <w:p>
            <w:pPr>
              <w:spacing w:after="0"/>
            </w:pPr>
            <w:r>
              <w:rPr>
                <w:rFonts w:ascii="Arial" w:hAnsi="Arial"/>
                <w:b w:val="0"/>
                <w:sz w:val="12"/>
              </w:rPr>
              <w:t>Validation Lab Methodology</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14</w:t>
            </w:r>
          </w:p>
        </w:tc>
        <w:tc>
          <w:tcPr>
            <w:tcW w:type="dxa" w:w="1704"/>
          </w:tcPr>
          <w:p>
            <w:pPr>
              <w:spacing w:after="0"/>
            </w:pPr>
            <w:r>
              <w:rPr>
                <w:rFonts w:ascii="Arial" w:hAnsi="Arial"/>
                <w:b w:val="0"/>
                <w:sz w:val="12"/>
              </w:rPr>
              <w:t>Public entry point located; methodology-specific support remains boundary-limited</w:t>
            </w:r>
          </w:p>
        </w:tc>
        <w:tc>
          <w:tcPr>
            <w:tcW w:type="dxa" w:w="1704"/>
          </w:tcPr>
          <w:p>
            <w:pPr>
              <w:spacing w:after="0"/>
            </w:pPr>
            <w:r>
              <w:rPr>
                <w:rFonts w:ascii="Arial" w:hAnsi="Arial"/>
                <w:b w:val="0"/>
                <w:sz w:val="12"/>
              </w:rPr>
              <w:t>Pin methodology-specific citation if available or retain boundary-limited note</w:t>
            </w:r>
          </w:p>
        </w:tc>
      </w:tr>
      <w:tr>
        <w:tc>
          <w:tcPr>
            <w:tcW w:type="dxa" w:w="1704"/>
          </w:tcPr>
          <w:p>
            <w:pPr>
              <w:spacing w:after="0"/>
            </w:pPr>
            <w:r>
              <w:rPr>
                <w:rFonts w:ascii="Arial" w:hAnsi="Arial"/>
                <w:b w:val="0"/>
                <w:sz w:val="12"/>
              </w:rPr>
              <w:t>AUTHOR-INFERENCE-MRO</w:t>
            </w:r>
          </w:p>
        </w:tc>
        <w:tc>
          <w:tcPr>
            <w:tcW w:type="dxa" w:w="1704"/>
          </w:tcPr>
          <w:p>
            <w:pPr>
              <w:spacing w:after="0"/>
            </w:pPr>
            <w:r>
              <w:rPr>
                <w:rFonts w:ascii="Arial" w:hAnsi="Arial"/>
                <w:b w:val="0"/>
                <w:sz w:val="12"/>
              </w:rPr>
              <w:t>Sixteen MROs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6</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AUTHOR-INFERENCE-RCCS</w:t>
            </w:r>
          </w:p>
        </w:tc>
        <w:tc>
          <w:tcPr>
            <w:tcW w:type="dxa" w:w="1704"/>
          </w:tcPr>
          <w:p>
            <w:pPr>
              <w:spacing w:after="0"/>
            </w:pPr>
            <w:r>
              <w:rPr>
                <w:rFonts w:ascii="Arial" w:hAnsi="Arial"/>
                <w:b w:val="0"/>
                <w:sz w:val="12"/>
              </w:rPr>
              <w:t>RCCS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7</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AUTHOR-INFERENCE-ALCS</w:t>
            </w:r>
          </w:p>
        </w:tc>
        <w:tc>
          <w:tcPr>
            <w:tcW w:type="dxa" w:w="1704"/>
          </w:tcPr>
          <w:p>
            <w:pPr>
              <w:spacing w:after="0"/>
            </w:pPr>
            <w:r>
              <w:rPr>
                <w:rFonts w:ascii="Arial" w:hAnsi="Arial"/>
                <w:b w:val="0"/>
                <w:sz w:val="12"/>
              </w:rPr>
              <w:t>ALCS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8</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AUTHOR-INFERENCE-COMPOSITE</w:t>
            </w:r>
          </w:p>
        </w:tc>
        <w:tc>
          <w:tcPr>
            <w:tcW w:type="dxa" w:w="1704"/>
          </w:tcPr>
          <w:p>
            <w:pPr>
              <w:spacing w:after="0"/>
            </w:pPr>
            <w:r>
              <w:rPr>
                <w:rFonts w:ascii="Arial" w:hAnsi="Arial"/>
                <w:b w:val="0"/>
                <w:sz w:val="12"/>
              </w:rPr>
              <w:t>Composite Scoring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9</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AUTHOR-INFERENCE-SYSTEM-MAPPING</w:t>
            </w:r>
          </w:p>
        </w:tc>
        <w:tc>
          <w:tcPr>
            <w:tcW w:type="dxa" w:w="1704"/>
          </w:tcPr>
          <w:p>
            <w:pPr>
              <w:spacing w:after="0"/>
            </w:pPr>
            <w:r>
              <w:rPr>
                <w:rFonts w:ascii="Arial" w:hAnsi="Arial"/>
                <w:b w:val="0"/>
                <w:sz w:val="12"/>
              </w:rPr>
              <w:t>System Mapping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Chapters 11, 12</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AUTHOR-INFERENCE-FAILURE-SCENARIOS</w:t>
            </w:r>
          </w:p>
        </w:tc>
        <w:tc>
          <w:tcPr>
            <w:tcW w:type="dxa" w:w="1704"/>
          </w:tcPr>
          <w:p>
            <w:pPr>
              <w:spacing w:after="0"/>
            </w:pPr>
            <w:r>
              <w:rPr>
                <w:rFonts w:ascii="Arial" w:hAnsi="Arial"/>
                <w:b w:val="0"/>
                <w:sz w:val="12"/>
              </w:rPr>
              <w:t>Failure Scenarios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15</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bl>
    <w:p>
      <w:pPr>
        <w:pStyle w:val="Heading2"/>
      </w:pPr>
      <w:r>
        <w:t>C.4 Citation Revalidation Queue</w:t>
      </w:r>
    </w:p>
    <w:p>
      <w:pPr>
        <w:spacing w:after="56"/>
      </w:pPr>
      <w:r>
        <w:t>The following table lists sources requiring final page-level citation pinning or retained boundary notes during publication-candidate QA after claim-level source review.</w:t>
      </w:r>
    </w:p>
    <w:p>
      <w:pPr>
        <w:keepNext/>
      </w:pPr>
      <w:r>
        <w:rPr>
          <w:b/>
          <w:sz w:val="16"/>
        </w:rPr>
        <w:t>Table T-C-03: Citation Revalidation Queue</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URL / Source Pointer</w:t>
            </w:r>
          </w:p>
        </w:tc>
        <w:tc>
          <w:tcPr>
            <w:tcW w:type="dxa" w:w="2045"/>
          </w:tcPr>
          <w:p>
            <w:pPr>
              <w:spacing w:after="0"/>
            </w:pPr>
            <w:r>
              <w:rPr>
                <w:rFonts w:ascii="Arial" w:hAnsi="Arial"/>
                <w:b/>
                <w:sz w:val="14"/>
              </w:rPr>
              <w:t>Publication QA Need</w:t>
            </w:r>
          </w:p>
        </w:tc>
        <w:tc>
          <w:tcPr>
            <w:tcW w:type="dxa" w:w="2045"/>
          </w:tcPr>
          <w:p>
            <w:pPr>
              <w:spacing w:after="0"/>
            </w:pPr>
            <w:r>
              <w:rPr>
                <w:rFonts w:ascii="Arial" w:hAnsi="Arial"/>
                <w:b/>
                <w:sz w:val="14"/>
              </w:rPr>
              <w:t>Priority</w:t>
            </w:r>
          </w:p>
        </w:tc>
        <w:tc>
          <w:tcPr>
            <w:tcW w:type="dxa" w:w="2045"/>
          </w:tcPr>
          <w:p>
            <w:pPr>
              <w:spacing w:after="0"/>
            </w:pPr>
            <w:r>
              <w:rPr>
                <w:rFonts w:ascii="Arial" w:hAnsi="Arial"/>
                <w:b/>
                <w:sz w:val="14"/>
              </w:rPr>
              <w:t>QA Stage</w:t>
            </w:r>
          </w:p>
        </w:tc>
      </w:tr>
      <w:tr>
        <w:tc>
          <w:tcPr>
            <w:tcW w:type="dxa" w:w="2045"/>
          </w:tcPr>
          <w:p>
            <w:pPr>
              <w:spacing w:after="0"/>
            </w:pPr>
            <w:r>
              <w:rPr>
                <w:rFonts w:ascii="Arial" w:hAnsi="Arial"/>
                <w:b w:val="0"/>
                <w:sz w:val="14"/>
              </w:rPr>
              <w:t>IBM-WATSONX-GOVERNANCE-DOCS</w:t>
            </w:r>
          </w:p>
        </w:tc>
        <w:tc>
          <w:tcPr>
            <w:tcW w:type="dxa" w:w="2045"/>
          </w:tcPr>
          <w:p>
            <w:pPr>
              <w:spacing w:after="0"/>
            </w:pPr>
            <w:r>
              <w:rPr>
                <w:rFonts w:ascii="Arial" w:hAnsi="Arial"/>
                <w:b w:val="0"/>
                <w:sz w:val="14"/>
              </w:rPr>
              <w:t>https://www.ibm.com/products/watsonx-governance; https://www.ibm.com/docs/en/watsonx</w:t>
            </w:r>
          </w:p>
        </w:tc>
        <w:tc>
          <w:tcPr>
            <w:tcW w:type="dxa" w:w="2045"/>
          </w:tcPr>
          <w:p>
            <w:pPr>
              <w:spacing w:after="0"/>
            </w:pPr>
            <w:r>
              <w:rPr>
                <w:rFonts w:ascii="Arial" w:hAnsi="Arial"/>
                <w:b w:val="0"/>
                <w:sz w:val="14"/>
              </w:rPr>
              <w:t>Pin exact pages for specific governance claims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MICROSOFT-AZURE-AI-FOUNDRY-DOCS</w:t>
            </w:r>
          </w:p>
        </w:tc>
        <w:tc>
          <w:tcPr>
            <w:tcW w:type="dxa" w:w="2045"/>
          </w:tcPr>
          <w:p>
            <w:pPr>
              <w:spacing w:after="0"/>
            </w:pPr>
            <w:r>
              <w:rPr>
                <w:rFonts w:ascii="Arial" w:hAnsi="Arial"/>
                <w:b w:val="0"/>
                <w:sz w:val="14"/>
              </w:rPr>
              <w:t>https://learn.microsoft.com/en-us/azure/foundry/</w:t>
            </w:r>
          </w:p>
        </w:tc>
        <w:tc>
          <w:tcPr>
            <w:tcW w:type="dxa" w:w="2045"/>
          </w:tcPr>
          <w:p>
            <w:pPr>
              <w:spacing w:after="0"/>
            </w:pPr>
            <w:r>
              <w:rPr>
                <w:rFonts w:ascii="Arial" w:hAnsi="Arial"/>
                <w:b w:val="0"/>
                <w:sz w:val="14"/>
              </w:rPr>
              <w:t>Pin exact pages for agents, tracing, evaluations, and safety claims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MICROSOFT-RESPONSIBLE-AI-DOCS</w:t>
            </w:r>
          </w:p>
        </w:tc>
        <w:tc>
          <w:tcPr>
            <w:tcW w:type="dxa" w:w="2045"/>
          </w:tcPr>
          <w:p>
            <w:pPr>
              <w:spacing w:after="0"/>
            </w:pPr>
            <w:r>
              <w:rPr>
                <w:rFonts w:ascii="Arial" w:hAnsi="Arial"/>
                <w:b w:val="0"/>
                <w:sz w:val="14"/>
              </w:rPr>
              <w:t>Microsoft Learn source family</w:t>
            </w:r>
          </w:p>
        </w:tc>
        <w:tc>
          <w:tcPr>
            <w:tcW w:type="dxa" w:w="2045"/>
          </w:tcPr>
          <w:p>
            <w:pPr>
              <w:spacing w:after="0"/>
            </w:pPr>
            <w:r>
              <w:rPr>
                <w:rFonts w:ascii="Arial" w:hAnsi="Arial"/>
                <w:b w:val="0"/>
                <w:sz w:val="14"/>
              </w:rPr>
              <w:t>Pin exact responsible-AI pages if retained</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AWS-BEDROCK-DOCS</w:t>
            </w:r>
          </w:p>
        </w:tc>
        <w:tc>
          <w:tcPr>
            <w:tcW w:type="dxa" w:w="2045"/>
          </w:tcPr>
          <w:p>
            <w:pPr>
              <w:spacing w:after="0"/>
            </w:pPr>
            <w:r>
              <w:rPr>
                <w:rFonts w:ascii="Arial" w:hAnsi="Arial"/>
                <w:b w:val="0"/>
                <w:sz w:val="14"/>
              </w:rPr>
              <w:t>https://docs.aws.amazon.com/bedrock/latest/userguide/what-is-bedrock.html</w:t>
            </w:r>
          </w:p>
        </w:tc>
        <w:tc>
          <w:tcPr>
            <w:tcW w:type="dxa" w:w="2045"/>
          </w:tcPr>
          <w:p>
            <w:pPr>
              <w:spacing w:after="0"/>
            </w:pPr>
            <w:r>
              <w:rPr>
                <w:rFonts w:ascii="Arial" w:hAnsi="Arial"/>
                <w:b w:val="0"/>
                <w:sz w:val="14"/>
              </w:rPr>
              <w:t>Pin exact Bedrock pages for retained claims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AWS-BEDROCK-GUARDRAILS-DOCS</w:t>
            </w:r>
          </w:p>
        </w:tc>
        <w:tc>
          <w:tcPr>
            <w:tcW w:type="dxa" w:w="2045"/>
          </w:tcPr>
          <w:p>
            <w:pPr>
              <w:spacing w:after="0"/>
            </w:pPr>
            <w:r>
              <w:rPr>
                <w:rFonts w:ascii="Arial" w:hAnsi="Arial"/>
                <w:b w:val="0"/>
                <w:sz w:val="14"/>
              </w:rPr>
              <w:t>https://docs.aws.amazon.com/bedrock/latest/userguide/guardrails.html</w:t>
            </w:r>
          </w:p>
        </w:tc>
        <w:tc>
          <w:tcPr>
            <w:tcW w:type="dxa" w:w="2045"/>
          </w:tcPr>
          <w:p>
            <w:pPr>
              <w:spacing w:after="0"/>
            </w:pPr>
            <w:r>
              <w:rPr>
                <w:rFonts w:ascii="Arial" w:hAnsi="Arial"/>
                <w:b w:val="0"/>
                <w:sz w:val="14"/>
              </w:rPr>
              <w:t>Pin exact guardrails pages; preserve authority-boundary caveat</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AWS-AGENTCORE-DOCS</w:t>
            </w:r>
          </w:p>
        </w:tc>
        <w:tc>
          <w:tcPr>
            <w:tcW w:type="dxa" w:w="2045"/>
          </w:tcPr>
          <w:p>
            <w:pPr>
              <w:spacing w:after="0"/>
            </w:pPr>
            <w:r>
              <w:rPr>
                <w:rFonts w:ascii="Arial" w:hAnsi="Arial"/>
                <w:b w:val="0"/>
                <w:sz w:val="14"/>
              </w:rPr>
              <w:t>https://docs.aws.amazon.com/bedrock-agentcore/latest/devguide/what-is-bedrock-agentcore.html</w:t>
            </w:r>
          </w:p>
        </w:tc>
        <w:tc>
          <w:tcPr>
            <w:tcW w:type="dxa" w:w="2045"/>
          </w:tcPr>
          <w:p>
            <w:pPr>
              <w:spacing w:after="0"/>
            </w:pPr>
            <w:r>
              <w:rPr>
                <w:rFonts w:ascii="Arial" w:hAnsi="Arial"/>
                <w:b w:val="0"/>
                <w:sz w:val="14"/>
              </w:rPr>
              <w:t>Pin exact AgentCore pages for runtime/observability claims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GOOGLE-VERTEX-AI-DOCS</w:t>
            </w:r>
          </w:p>
        </w:tc>
        <w:tc>
          <w:tcPr>
            <w:tcW w:type="dxa" w:w="2045"/>
          </w:tcPr>
          <w:p>
            <w:pPr>
              <w:spacing w:after="0"/>
            </w:pPr>
            <w:r>
              <w:rPr>
                <w:rFonts w:ascii="Arial" w:hAnsi="Arial"/>
                <w:b w:val="0"/>
                <w:sz w:val="14"/>
              </w:rPr>
              <w:t>https://docs.cloud.google.com/vertex-ai/docs</w:t>
            </w:r>
          </w:p>
        </w:tc>
        <w:tc>
          <w:tcPr>
            <w:tcW w:type="dxa" w:w="2045"/>
          </w:tcPr>
          <w:p>
            <w:pPr>
              <w:spacing w:after="0"/>
            </w:pPr>
            <w:r>
              <w:rPr>
                <w:rFonts w:ascii="Arial" w:hAnsi="Arial"/>
                <w:b w:val="0"/>
                <w:sz w:val="14"/>
              </w:rPr>
              <w:t>Pin exact Vertex AI pages for retained claims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GOOGLE-ADK-DOCS</w:t>
            </w:r>
          </w:p>
        </w:tc>
        <w:tc>
          <w:tcPr>
            <w:tcW w:type="dxa" w:w="2045"/>
          </w:tcPr>
          <w:p>
            <w:pPr>
              <w:spacing w:after="0"/>
            </w:pPr>
            <w:r>
              <w:rPr>
                <w:rFonts w:ascii="Arial" w:hAnsi="Arial"/>
                <w:b w:val="0"/>
                <w:sz w:val="14"/>
              </w:rPr>
              <w:t>https://adk.dev/</w:t>
            </w:r>
          </w:p>
        </w:tc>
        <w:tc>
          <w:tcPr>
            <w:tcW w:type="dxa" w:w="2045"/>
          </w:tcPr>
          <w:p>
            <w:pPr>
              <w:spacing w:after="0"/>
            </w:pPr>
            <w:r>
              <w:rPr>
                <w:rFonts w:ascii="Arial" w:hAnsi="Arial"/>
                <w:b w:val="0"/>
                <w:sz w:val="14"/>
              </w:rPr>
              <w:t>Pin exact ADK pages for agent/tool/session claims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GOOGLE-MODEL-ARMOR-DOCS</w:t>
            </w:r>
          </w:p>
        </w:tc>
        <w:tc>
          <w:tcPr>
            <w:tcW w:type="dxa" w:w="2045"/>
          </w:tcPr>
          <w:p>
            <w:pPr>
              <w:spacing w:after="0"/>
            </w:pPr>
            <w:r>
              <w:rPr>
                <w:rFonts w:ascii="Arial" w:hAnsi="Arial"/>
                <w:b w:val="0"/>
                <w:sz w:val="14"/>
              </w:rPr>
              <w:t>https://docs.cloud.google.com/model-armor/overview</w:t>
            </w:r>
          </w:p>
        </w:tc>
        <w:tc>
          <w:tcPr>
            <w:tcW w:type="dxa" w:w="2045"/>
          </w:tcPr>
          <w:p>
            <w:pPr>
              <w:spacing w:after="0"/>
            </w:pPr>
            <w:r>
              <w:rPr>
                <w:rFonts w:ascii="Arial" w:hAnsi="Arial"/>
                <w:b w:val="0"/>
                <w:sz w:val="14"/>
              </w:rPr>
              <w:t>Pin exact Model Armor pages; preserve lifecycle-governance caveat</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LANGGRAPH-DOCS</w:t>
            </w:r>
          </w:p>
        </w:tc>
        <w:tc>
          <w:tcPr>
            <w:tcW w:type="dxa" w:w="2045"/>
          </w:tcPr>
          <w:p>
            <w:pPr>
              <w:spacing w:after="0"/>
            </w:pPr>
            <w:r>
              <w:rPr>
                <w:rFonts w:ascii="Arial" w:hAnsi="Arial"/>
                <w:b w:val="0"/>
                <w:sz w:val="14"/>
              </w:rPr>
              <w:t>https://docs.langchain.com/oss/python/langgraph/overview</w:t>
            </w:r>
          </w:p>
        </w:tc>
        <w:tc>
          <w:tcPr>
            <w:tcW w:type="dxa" w:w="2045"/>
          </w:tcPr>
          <w:p>
            <w:pPr>
              <w:spacing w:after="0"/>
            </w:pPr>
            <w:r>
              <w:rPr>
                <w:rFonts w:ascii="Arial" w:hAnsi="Arial"/>
                <w:b w:val="0"/>
                <w:sz w:val="14"/>
              </w:rPr>
              <w:t>Pin exact persistence/interrupt/tool pages for retained claims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LANGSMITH-DOCS</w:t>
            </w:r>
          </w:p>
        </w:tc>
        <w:tc>
          <w:tcPr>
            <w:tcW w:type="dxa" w:w="2045"/>
          </w:tcPr>
          <w:p>
            <w:pPr>
              <w:spacing w:after="0"/>
            </w:pPr>
            <w:r>
              <w:rPr>
                <w:rFonts w:ascii="Arial" w:hAnsi="Arial"/>
                <w:b w:val="0"/>
                <w:sz w:val="14"/>
              </w:rPr>
              <w:t>https://docs.langchain.com/langsmith/home</w:t>
            </w:r>
          </w:p>
        </w:tc>
        <w:tc>
          <w:tcPr>
            <w:tcW w:type="dxa" w:w="2045"/>
          </w:tcPr>
          <w:p>
            <w:pPr>
              <w:spacing w:after="0"/>
            </w:pPr>
            <w:r>
              <w:rPr>
                <w:rFonts w:ascii="Arial" w:hAnsi="Arial"/>
                <w:b w:val="0"/>
                <w:sz w:val="14"/>
              </w:rPr>
              <w:t>Pin exact tracing/evaluation pages for retained claims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OPENAI-AGENTS-SDK-DOCS</w:t>
            </w:r>
          </w:p>
        </w:tc>
        <w:tc>
          <w:tcPr>
            <w:tcW w:type="dxa" w:w="2045"/>
          </w:tcPr>
          <w:p>
            <w:pPr>
              <w:spacing w:after="0"/>
            </w:pPr>
            <w:r>
              <w:rPr>
                <w:rFonts w:ascii="Arial" w:hAnsi="Arial"/>
                <w:b w:val="0"/>
                <w:sz w:val="14"/>
              </w:rPr>
              <w:t>https://openai.github.io/openai-agents-python/</w:t>
            </w:r>
          </w:p>
        </w:tc>
        <w:tc>
          <w:tcPr>
            <w:tcW w:type="dxa" w:w="2045"/>
          </w:tcPr>
          <w:p>
            <w:pPr>
              <w:spacing w:after="0"/>
            </w:pPr>
            <w:r>
              <w:rPr>
                <w:rFonts w:ascii="Arial" w:hAnsi="Arial"/>
                <w:b w:val="0"/>
                <w:sz w:val="14"/>
              </w:rPr>
              <w:t>Pin exact SDK pages for agents/tools/handoffs/tracing claims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OPENAI-TOOLS-DOCS</w:t>
            </w:r>
          </w:p>
        </w:tc>
        <w:tc>
          <w:tcPr>
            <w:tcW w:type="dxa" w:w="2045"/>
          </w:tcPr>
          <w:p>
            <w:pPr>
              <w:spacing w:after="0"/>
            </w:pPr>
            <w:r>
              <w:rPr>
                <w:rFonts w:ascii="Arial" w:hAnsi="Arial"/>
                <w:b w:val="0"/>
                <w:sz w:val="14"/>
              </w:rPr>
              <w:t>OpenAI platform docs source family</w:t>
            </w:r>
          </w:p>
        </w:tc>
        <w:tc>
          <w:tcPr>
            <w:tcW w:type="dxa" w:w="2045"/>
          </w:tcPr>
          <w:p>
            <w:pPr>
              <w:spacing w:after="0"/>
            </w:pPr>
            <w:r>
              <w:rPr>
                <w:rFonts w:ascii="Arial" w:hAnsi="Arial"/>
                <w:b w:val="0"/>
                <w:sz w:val="14"/>
              </w:rPr>
              <w:t>Pin exact accessible tools pages if retained</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CREWAI-DOCS</w:t>
            </w:r>
          </w:p>
        </w:tc>
        <w:tc>
          <w:tcPr>
            <w:tcW w:type="dxa" w:w="2045"/>
          </w:tcPr>
          <w:p>
            <w:pPr>
              <w:spacing w:after="0"/>
            </w:pPr>
            <w:r>
              <w:rPr>
                <w:rFonts w:ascii="Arial" w:hAnsi="Arial"/>
                <w:b w:val="0"/>
                <w:sz w:val="14"/>
              </w:rPr>
              <w:t>https://docs.crewai.com/</w:t>
            </w:r>
          </w:p>
        </w:tc>
        <w:tc>
          <w:tcPr>
            <w:tcW w:type="dxa" w:w="2045"/>
          </w:tcPr>
          <w:p>
            <w:pPr>
              <w:spacing w:after="0"/>
            </w:pPr>
            <w:r>
              <w:rPr>
                <w:rFonts w:ascii="Arial" w:hAnsi="Arial"/>
                <w:b w:val="0"/>
                <w:sz w:val="14"/>
              </w:rPr>
              <w:t>Pin exact agents/tasks/crews/flows/tools pages for retained claims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CREWAI-GITHUB</w:t>
            </w:r>
          </w:p>
        </w:tc>
        <w:tc>
          <w:tcPr>
            <w:tcW w:type="dxa" w:w="2045"/>
          </w:tcPr>
          <w:p>
            <w:pPr>
              <w:spacing w:after="0"/>
            </w:pPr>
            <w:r>
              <w:rPr>
                <w:rFonts w:ascii="Arial" w:hAnsi="Arial"/>
                <w:b w:val="0"/>
                <w:sz w:val="14"/>
              </w:rPr>
              <w:t>https://github.com/crewAIInc/crewAI</w:t>
            </w:r>
          </w:p>
        </w:tc>
        <w:tc>
          <w:tcPr>
            <w:tcW w:type="dxa" w:w="2045"/>
          </w:tcPr>
          <w:p>
            <w:pPr>
              <w:spacing w:after="0"/>
            </w:pPr>
            <w:r>
              <w:rPr>
                <w:rFonts w:ascii="Arial" w:hAnsi="Arial"/>
                <w:b w:val="0"/>
                <w:sz w:val="14"/>
              </w:rPr>
              <w:t>Pin exact repository paths only for code/API-specific claims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MPLP-DOCS</w:t>
            </w:r>
          </w:p>
        </w:tc>
        <w:tc>
          <w:tcPr>
            <w:tcW w:type="dxa" w:w="2045"/>
          </w:tcPr>
          <w:p>
            <w:pPr>
              <w:spacing w:after="0"/>
            </w:pPr>
            <w:r>
              <w:rPr>
                <w:rFonts w:ascii="Arial" w:hAnsi="Arial"/>
                <w:b w:val="0"/>
                <w:sz w:val="14"/>
              </w:rPr>
              <w:t>https://docs.mplp.io/docs/introduction/mplp-v1.0-protocol-overview</w:t>
            </w:r>
          </w:p>
        </w:tc>
        <w:tc>
          <w:tcPr>
            <w:tcW w:type="dxa" w:w="2045"/>
          </w:tcPr>
          <w:p>
            <w:pPr>
              <w:spacing w:after="0"/>
            </w:pPr>
            <w:r>
              <w:rPr>
                <w:rFonts w:ascii="Arial" w:hAnsi="Arial"/>
                <w:b w:val="0"/>
                <w:sz w:val="14"/>
              </w:rPr>
              <w:t>Pin protocol version and preserve conflict-of-interest boundary</w:t>
            </w:r>
          </w:p>
        </w:tc>
        <w:tc>
          <w:tcPr>
            <w:tcW w:type="dxa" w:w="2045"/>
          </w:tcPr>
          <w:p>
            <w:pPr>
              <w:spacing w:after="0"/>
            </w:pPr>
            <w:r>
              <w:rPr>
                <w:rFonts w:ascii="Arial" w:hAnsi="Arial"/>
                <w:b w:val="0"/>
                <w:sz w:val="14"/>
              </w:rPr>
              <w:t>Critical</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MPLP-SPEC</w:t>
            </w:r>
          </w:p>
        </w:tc>
        <w:tc>
          <w:tcPr>
            <w:tcW w:type="dxa" w:w="2045"/>
          </w:tcPr>
          <w:p>
            <w:pPr>
              <w:spacing w:after="0"/>
            </w:pPr>
            <w:r>
              <w:rPr>
                <w:rFonts w:ascii="Arial" w:hAnsi="Arial"/>
                <w:b w:val="0"/>
                <w:sz w:val="14"/>
              </w:rPr>
              <w:t>https://docs.mplp.io/docs/introduction/mplp-v1.0-protocol-overview</w:t>
            </w:r>
          </w:p>
        </w:tc>
        <w:tc>
          <w:tcPr>
            <w:tcW w:type="dxa" w:w="2045"/>
          </w:tcPr>
          <w:p>
            <w:pPr>
              <w:spacing w:after="0"/>
            </w:pPr>
            <w:r>
              <w:rPr>
                <w:rFonts w:ascii="Arial" w:hAnsi="Arial"/>
                <w:b w:val="0"/>
                <w:sz w:val="14"/>
              </w:rPr>
              <w:t>Pin exact specification/version reference if separate page exists</w:t>
            </w:r>
          </w:p>
        </w:tc>
        <w:tc>
          <w:tcPr>
            <w:tcW w:type="dxa" w:w="2045"/>
          </w:tcPr>
          <w:p>
            <w:pPr>
              <w:spacing w:after="0"/>
            </w:pPr>
            <w:r>
              <w:rPr>
                <w:rFonts w:ascii="Arial" w:hAnsi="Arial"/>
                <w:b w:val="0"/>
                <w:sz w:val="14"/>
              </w:rPr>
              <w:t>Critical</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VALIDATION-LAB-METHODOLOGY</w:t>
            </w:r>
          </w:p>
        </w:tc>
        <w:tc>
          <w:tcPr>
            <w:tcW w:type="dxa" w:w="2045"/>
          </w:tcPr>
          <w:p>
            <w:pPr>
              <w:spacing w:after="0"/>
            </w:pPr>
            <w:r>
              <w:rPr>
                <w:rFonts w:ascii="Arial" w:hAnsi="Arial"/>
                <w:b w:val="0"/>
                <w:sz w:val="14"/>
              </w:rPr>
              <w:t>https://lab.mplp.io/</w:t>
            </w:r>
          </w:p>
        </w:tc>
        <w:tc>
          <w:tcPr>
            <w:tcW w:type="dxa" w:w="2045"/>
          </w:tcPr>
          <w:p>
            <w:pPr>
              <w:spacing w:after="0"/>
            </w:pPr>
            <w:r>
              <w:rPr>
                <w:rFonts w:ascii="Arial" w:hAnsi="Arial"/>
                <w:b w:val="0"/>
                <w:sz w:val="14"/>
              </w:rPr>
              <w:t>Pin methodology-specific citation if available or retain boundary-limited note</w:t>
            </w:r>
          </w:p>
        </w:tc>
        <w:tc>
          <w:tcPr>
            <w:tcW w:type="dxa" w:w="2045"/>
          </w:tcPr>
          <w:p>
            <w:pPr>
              <w:spacing w:after="0"/>
            </w:pPr>
            <w:r>
              <w:rPr>
                <w:rFonts w:ascii="Arial" w:hAnsi="Arial"/>
                <w:b w:val="0"/>
                <w:sz w:val="14"/>
              </w:rPr>
              <w:t>Critical</w:t>
            </w:r>
          </w:p>
        </w:tc>
        <w:tc>
          <w:tcPr>
            <w:tcW w:type="dxa" w:w="2045"/>
          </w:tcPr>
          <w:p>
            <w:pPr>
              <w:spacing w:after="0"/>
            </w:pPr>
            <w:r>
              <w:rPr>
                <w:rFonts w:ascii="Arial" w:hAnsi="Arial"/>
                <w:b w:val="0"/>
                <w:sz w:val="14"/>
              </w:rPr>
              <w:t>Phase 1D / publication QA</w:t>
            </w:r>
          </w:p>
        </w:tc>
      </w:tr>
    </w:tbl>
    <w:p>
      <w:pPr>
        <w:pStyle w:val="Heading2"/>
      </w:pPr>
      <w:r>
        <w:t>C.5 Source Notes and Revalidation Policy</w:t>
      </w:r>
    </w:p>
    <w:p>
      <w:pPr>
        <w:pStyle w:val="Heading3"/>
      </w:pPr>
      <w:r>
        <w:t>Source Notes</w:t>
      </w:r>
    </w:p>
    <w:p>
      <w:pPr>
        <w:pStyle w:val="ListBullet"/>
        <w:spacing w:after="56"/>
      </w:pPr>
      <w:r>
        <w:t>L1 sources (legal text and formal standards) are referenced in Chapter 4 and provide the regulatory baseline for the white paper. These sources are authoritative but require legal interpretation. The white paper does not provide legal advice or legal interpretation.</w:t>
      </w:r>
    </w:p>
    <w:p>
      <w:pPr>
        <w:pStyle w:val="ListBullet"/>
        <w:spacing w:after="56"/>
      </w:pPr>
      <w:r>
        <w:t>L2 sources (official product documentation) are referenced in Chapters 12, 13, and 14 and support documented product/protocol capability surfaces. Phase 1C follow-up located official entry points and recorded claim-level dispositions. L2 sources still require page-level pinning during publication-candidate QA and do not prove deployment practice or legal compliance.</w:t>
      </w:r>
    </w:p>
    <w:p>
      <w:pPr>
        <w:pStyle w:val="ListBullet"/>
        <w:spacing w:after="56"/>
      </w:pPr>
      <w:r>
        <w:t>L5 sources (author inference) are used in Chapters 6-9, 11-12, and 15 to define the analytical framework (MROs, RCCS, ALCS, Composite Scoring, System Mapping, Failure Scenarios). These sources are marked as author inference and do not replace evidence-based analysis.</w:t>
      </w:r>
    </w:p>
    <w:p>
      <w:pPr>
        <w:pStyle w:val="ListBullet"/>
        <w:spacing w:after="56"/>
      </w:pPr>
      <w:r>
        <w:t>MPLP and Validation Lab sources require special attention due to author conflict of interest. The author of this white paper is also the creator of MPLP and Validation Lab. Phase 1C follow-up verified that MPLP and Validation Lab remain positioned as examples, not required or exclusive solutions; publication-candidate QA must preserve that boundary.</w:t>
      </w:r>
    </w:p>
    <w:p>
      <w:pPr>
        <w:pStyle w:val="Heading3"/>
      </w:pPr>
      <w:r>
        <w:t>Revalidation Policy</w:t>
      </w:r>
    </w:p>
    <w:p>
      <w:pPr>
        <w:spacing w:after="56"/>
      </w:pPr>
      <w:r>
        <w:t>Publication-candidate source governance must:</w:t>
      </w:r>
    </w:p>
    <w:p>
      <w:pPr>
        <w:pStyle w:val="ListNumber"/>
        <w:spacing w:after="56"/>
      </w:pPr>
      <w:r>
        <w:t>Pin exact page-level L2 product documentation URLs and replace remaining source pointers with validated URLs and publication/access details</w:t>
      </w:r>
    </w:p>
    <w:p>
      <w:pPr>
        <w:pStyle w:val="ListNumber"/>
        <w:spacing w:after="56"/>
      </w:pPr>
      <w:r>
        <w:t>Verify all L1 legal/regulatory citations for accuracy and completeness</w:t>
      </w:r>
    </w:p>
    <w:p>
      <w:pPr>
        <w:pStyle w:val="ListNumber"/>
        <w:spacing w:after="56"/>
      </w:pPr>
      <w:r>
        <w:t>Mark all L5 author inference clearly in the text</w:t>
      </w:r>
    </w:p>
    <w:p>
      <w:pPr>
        <w:pStyle w:val="ListNumber"/>
        <w:spacing w:after="56"/>
      </w:pPr>
      <w:r>
        <w:t>Preserve MPLP and Validation Lab boundary discipline and add methodology-specific Validation Lab support if available</w:t>
      </w:r>
    </w:p>
    <w:p>
      <w:pPr>
        <w:pStyle w:val="ListNumber"/>
        <w:spacing w:after="56"/>
      </w:pPr>
      <w:r>
        <w:t>Remove or mark as inference any unsupported claims</w:t>
      </w:r>
    </w:p>
    <w:p>
      <w:pPr>
        <w:pStyle w:val="ListNumber"/>
        <w:spacing w:after="56"/>
      </w:pPr>
      <w:r>
        <w:t>Maintain the claim evidence register documenting all source validation and downgrade actions</w:t>
      </w:r>
    </w:p>
    <w:p>
      <w:pPr>
        <w:pStyle w:val="Heading1"/>
      </w:pPr>
      <w:r>
        <w:t>Appendix D — Expanded Cross-System MRO Mapping</w:t>
      </w:r>
    </w:p>
    <w:p>
      <w:pPr>
        <w:spacing w:after="56"/>
      </w:pPr>
      <w:r>
        <w:t>Version: v0.3.2-FRC-R3</w:t>
      </w:r>
    </w:p>
    <w:p>
      <w:pPr>
        <w:pStyle w:val="Heading2"/>
      </w:pPr>
      <w:r>
        <w:t>D.0 Mapping Boundary</w:t>
      </w:r>
    </w:p>
    <w:p>
      <w:pPr>
        <w:spacing w:after="56"/>
      </w:pPr>
      <w:r>
        <w:t>This appendix provides an expanded cross-system MRO mapping across the eight representative systems evaluated in Chapters 11-12. This mapping is an analytical tool, not a product ranking, certification, or procurement recommendation. Phase 1C follow-up located official source entry points and added claim-level source binding, but the mapping remains revalidated provisional because many MRO-to-system cells are analytical interpretations rather than direct product-documentation claims.</w:t>
      </w:r>
    </w:p>
    <w:p>
      <w:pPr>
        <w:spacing w:after="56"/>
      </w:pPr>
      <w:r>
        <w:t>Boundary statement:</w:t>
      </w:r>
    </w:p>
    <w:p>
      <w:pPr>
        <w:pStyle w:val="ListBullet"/>
        <w:spacing w:after="56"/>
      </w:pPr>
      <w:r>
        <w:t>This mapping is analytical only. The mapping compares systems by responsibility semantics, not product quality, market leadership, or procurement suitability.</w:t>
      </w:r>
    </w:p>
    <w:p>
      <w:pPr>
        <w:pStyle w:val="ListBullet"/>
        <w:spacing w:after="56"/>
      </w:pPr>
      <w:r>
        <w:t>This mapping is not a product ranking. Systems are not ranked by score or quality. The mapping identifies where systems appear to provide lifecycle responsibility object primitives and where gaps may exist.</w:t>
      </w:r>
    </w:p>
    <w:p>
      <w:pPr>
        <w:pStyle w:val="ListBullet"/>
        <w:spacing w:after="56"/>
      </w:pPr>
      <w:r>
        <w:t>This mapping is not certification. The presence of lifecycle responsibility object primitives does not certify a system as compliant, approved, or enterprise-ready.</w:t>
      </w:r>
    </w:p>
    <w:p>
      <w:pPr>
        <w:pStyle w:val="ListBullet"/>
        <w:spacing w:after="56"/>
      </w:pPr>
      <w:r>
        <w:t>This mapping is not a procurement recommendation. Organizations must evaluate systems within their specific legal, regulatory, and operational context. This mapping provides analytical input, not procurement guidance.</w:t>
      </w:r>
    </w:p>
    <w:p>
      <w:pPr>
        <w:pStyle w:val="ListBullet"/>
        <w:spacing w:after="56"/>
      </w:pPr>
      <w:r>
        <w:t>This mapping is based on source-bound public evidence and analytical interpretation. Official product/protocol entry points were located during Phase 1C follow-up. L2 evidence supports documented capability surfaces; MRO cell-level mapping remains L5 analytical interpretation where official documentation does not directly define the lifecycle responsibility object.</w:t>
      </w:r>
    </w:p>
    <w:p>
      <w:pPr>
        <w:pStyle w:val="ListBullet"/>
        <w:spacing w:after="56"/>
      </w:pPr>
      <w:r>
        <w:t>This mapping uses qualitative values. The mapping uses qualitative values (Strong object-level mapping, Strong workflow/feature mapping, Partial or adjacent capability, Weak or implementer-built only, Not visible in public evidence, Source support unresolved where applicable) rather than numeric scores to avoid creating a false precision ranking.</w:t>
      </w:r>
    </w:p>
    <w:p>
      <w:pPr>
        <w:pStyle w:val="Heading2"/>
      </w:pPr>
      <w:r>
        <w:t>D.1 How to Read the Expanded MRO Mapping</w:t>
      </w:r>
    </w:p>
    <w:p>
      <w:pPr>
        <w:spacing w:after="56"/>
      </w:pPr>
      <w:r>
        <w:t>The expanded MRO mapping (Table T-D-01) maps all sixteen Missing Regulatory Objects across all eight representative systems.</w:t>
      </w:r>
    </w:p>
    <w:p>
      <w:pPr>
        <w:spacing w:after="56"/>
      </w:pPr>
      <w:r>
        <w:t>Qualitative values:</w:t>
      </w:r>
    </w:p>
    <w:p>
      <w:pPr>
        <w:pStyle w:val="ListBullet"/>
        <w:spacing w:after="56"/>
      </w:pPr>
      <w:r>
        <w:t>Strong object-level mapping: System appears to provide explicit lifecycle responsibility object primitives with protocol-level or API-level support based on available documentation. Example: MPLP appears to provide explicit role, context, plan, confirm, and trace semantics. Revalidated provisional; mapping remains L5 unless the source directly defines the object.</w:t>
      </w:r>
    </w:p>
    <w:p>
      <w:pPr>
        <w:pStyle w:val="ListBullet"/>
        <w:spacing w:after="56"/>
      </w:pPr>
      <w:r>
        <w:t>Strong workflow/feature mapping: System appears to provide workflow or feature primitives that may support lifecycle responsibility objects with configuration or integration based on available documentation. Example: IBM watsonx.governance appears to provide model governance workflows that may support lifecycle responsibility objects. Revalidated provisional; adjacent workflow evidence is not lifecycle-object proof.</w:t>
      </w:r>
    </w:p>
    <w:p>
      <w:pPr>
        <w:pStyle w:val="ListBullet"/>
        <w:spacing w:after="56"/>
      </w:pPr>
      <w:r>
        <w:t>Partial or adjacent capability: System appears to provide adjacent capabilities that are related to lifecycle responsibility objects but may not fully satisfy the object requirements based on available documentation. Example: Approval button is not the same as human-role-to-MAS responsibility mapping. Revalidated provisional; keep as adjacent unless exact source support is pinned.</w:t>
      </w:r>
    </w:p>
    <w:p>
      <w:pPr>
        <w:pStyle w:val="ListBullet"/>
        <w:spacing w:after="56"/>
      </w:pPr>
      <w:r>
        <w:t>Weak or implementer-built only: Lifecycle responsibility object primitives are not visible in current public documentation; implementers may need to build lifecycle governance on top of the system. Example: OpenAI Agents SDK provides execution primitives, while enterprise lifecycle governance objects require additional design. Revalidated provisional; this does not prove absence of private or implementation-specific capability.</w:t>
      </w:r>
    </w:p>
    <w:p>
      <w:pPr>
        <w:pStyle w:val="ListBullet"/>
        <w:spacing w:after="56"/>
      </w:pPr>
      <w:r>
        <w:t>Not visible in public evidence: Lifecycle responsibility object primitives are not visible in public product documentation or protocol specifications. This does not prove the capability does not exist; it means public evidence is not available.</w:t>
      </w:r>
    </w:p>
    <w:p>
      <w:pPr>
        <w:pStyle w:val="ListBullet"/>
        <w:spacing w:after="56"/>
      </w:pPr>
      <w:r>
        <w:t>Source support unresolved: Mapping is uncertain because exact source support for the lifecycle responsibility object has not been pinned.</w:t>
      </w:r>
    </w:p>
    <w:p>
      <w:pPr>
        <w:spacing w:after="56"/>
      </w:pPr>
      <w:r>
        <w:t>Reading the table:</w:t>
      </w:r>
    </w:p>
    <w:p>
      <w:pPr>
        <w:pStyle w:val="ListBullet"/>
        <w:spacing w:after="56"/>
      </w:pPr>
      <w:r>
        <w:t>Rows: Sixteen Missing Regulatory Objects (MRO-01 through MRO-16)</w:t>
      </w:r>
    </w:p>
    <w:p>
      <w:pPr>
        <w:pStyle w:val="ListBullet"/>
        <w:spacing w:after="56"/>
      </w:pPr>
      <w:r>
        <w:t>Columns: Eight representative systems (MPLP, IBM, Microsoft, AWS, Google, LangGraph/LangSmith, OpenAI, CrewAI)</w:t>
      </w:r>
    </w:p>
    <w:p>
      <w:pPr>
        <w:pStyle w:val="ListBullet"/>
        <w:spacing w:after="56"/>
      </w:pPr>
      <w:r>
        <w:t>Cells: Qualitative mapping value for each MRO × System combination</w:t>
      </w:r>
    </w:p>
    <w:p>
      <w:pPr>
        <w:pStyle w:val="ListBullet"/>
        <w:spacing w:after="56"/>
      </w:pPr>
      <w:r>
        <w:t>Notes column: Additional context or boundary notes</w:t>
      </w:r>
    </w:p>
    <w:p>
      <w:pPr>
        <w:pStyle w:val="Heading2"/>
      </w:pPr>
      <w:r>
        <w:t>D.2 Expanded Cross-System MRO Mapping</w:t>
      </w:r>
    </w:p>
    <w:p>
      <w:pPr>
        <w:spacing w:after="56"/>
      </w:pPr>
      <w:r>
        <w:t>Note: This table is very wide (10 columns) and requires landscape layout. Phase 1C layout audit documented the risk; Phase 1D rendering QA remains required.</w:t>
      </w:r>
    </w:p>
    <w:p>
      <w:pPr>
        <w:keepNext/>
      </w:pPr>
      <w:r>
        <w:rPr>
          <w:b/>
          <w:sz w:val="16"/>
        </w:rPr>
        <w:t>Table T-D-01: Expanded Cross-System MRO Mapping</w:t>
      </w:r>
    </w:p>
    <w:tbl>
      <w:tblPr>
        <w:tblStyle w:val="TableGrid"/>
        <w:tblW w:type="auto" w:w="0"/>
        <w:tblLayout w:type="autofit"/>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pPr>
            <w:r>
              <w:rPr>
                <w:rFonts w:ascii="Arial" w:hAnsi="Arial"/>
                <w:b/>
                <w:sz w:val="12"/>
              </w:rPr>
              <w:t>MRO ID</w:t>
            </w:r>
          </w:p>
        </w:tc>
        <w:tc>
          <w:tcPr>
            <w:tcW w:type="dxa" w:w="929"/>
          </w:tcPr>
          <w:p>
            <w:pPr>
              <w:spacing w:after="0"/>
            </w:pPr>
            <w:r>
              <w:rPr>
                <w:rFonts w:ascii="Arial" w:hAnsi="Arial"/>
                <w:b/>
                <w:sz w:val="12"/>
              </w:rPr>
              <w:t>MRO Name</w:t>
            </w:r>
          </w:p>
        </w:tc>
        <w:tc>
          <w:tcPr>
            <w:tcW w:type="dxa" w:w="929"/>
          </w:tcPr>
          <w:p>
            <w:pPr>
              <w:spacing w:after="0"/>
            </w:pPr>
            <w:r>
              <w:rPr>
                <w:rFonts w:ascii="Arial" w:hAnsi="Arial"/>
                <w:b/>
                <w:sz w:val="12"/>
              </w:rPr>
              <w:t>MPLP</w:t>
            </w:r>
          </w:p>
        </w:tc>
        <w:tc>
          <w:tcPr>
            <w:tcW w:type="dxa" w:w="929"/>
          </w:tcPr>
          <w:p>
            <w:pPr>
              <w:spacing w:after="0"/>
            </w:pPr>
            <w:r>
              <w:rPr>
                <w:rFonts w:ascii="Arial" w:hAnsi="Arial"/>
                <w:b/>
                <w:sz w:val="12"/>
              </w:rPr>
              <w:t>IBM watsonx.governance</w:t>
            </w:r>
          </w:p>
        </w:tc>
        <w:tc>
          <w:tcPr>
            <w:tcW w:type="dxa" w:w="929"/>
          </w:tcPr>
          <w:p>
            <w:pPr>
              <w:spacing w:after="0"/>
            </w:pPr>
            <w:r>
              <w:rPr>
                <w:rFonts w:ascii="Arial" w:hAnsi="Arial"/>
                <w:b/>
                <w:sz w:val="12"/>
              </w:rPr>
              <w:t>Microsoft Azure AI Foundry</w:t>
            </w:r>
          </w:p>
        </w:tc>
        <w:tc>
          <w:tcPr>
            <w:tcW w:type="dxa" w:w="929"/>
          </w:tcPr>
          <w:p>
            <w:pPr>
              <w:spacing w:after="0"/>
            </w:pPr>
            <w:r>
              <w:rPr>
                <w:rFonts w:ascii="Arial" w:hAnsi="Arial"/>
                <w:b/>
                <w:sz w:val="12"/>
              </w:rPr>
              <w:t>AWS Bedrock / Guardrails / AgentCore</w:t>
            </w:r>
          </w:p>
        </w:tc>
        <w:tc>
          <w:tcPr>
            <w:tcW w:type="dxa" w:w="929"/>
          </w:tcPr>
          <w:p>
            <w:pPr>
              <w:spacing w:after="0"/>
            </w:pPr>
            <w:r>
              <w:rPr>
                <w:rFonts w:ascii="Arial" w:hAnsi="Arial"/>
                <w:b/>
                <w:sz w:val="12"/>
              </w:rPr>
              <w:t>Google Vertex AI / ADK / Model Armor</w:t>
            </w:r>
          </w:p>
        </w:tc>
        <w:tc>
          <w:tcPr>
            <w:tcW w:type="dxa" w:w="929"/>
          </w:tcPr>
          <w:p>
            <w:pPr>
              <w:spacing w:after="0"/>
            </w:pPr>
            <w:r>
              <w:rPr>
                <w:rFonts w:ascii="Arial" w:hAnsi="Arial"/>
                <w:b/>
                <w:sz w:val="12"/>
              </w:rPr>
              <w:t>LangGraph / LangSmith</w:t>
            </w:r>
          </w:p>
        </w:tc>
        <w:tc>
          <w:tcPr>
            <w:tcW w:type="dxa" w:w="929"/>
          </w:tcPr>
          <w:p>
            <w:pPr>
              <w:spacing w:after="0"/>
            </w:pPr>
            <w:r>
              <w:rPr>
                <w:rFonts w:ascii="Arial" w:hAnsi="Arial"/>
                <w:b/>
                <w:sz w:val="12"/>
              </w:rPr>
              <w:t>OpenAI Agents SDK</w:t>
            </w:r>
          </w:p>
        </w:tc>
        <w:tc>
          <w:tcPr>
            <w:tcW w:type="dxa" w:w="929"/>
          </w:tcPr>
          <w:p>
            <w:pPr>
              <w:spacing w:after="0"/>
            </w:pPr>
            <w:r>
              <w:rPr>
                <w:rFonts w:ascii="Arial" w:hAnsi="Arial"/>
                <w:b/>
                <w:sz w:val="12"/>
              </w:rPr>
              <w:t>CrewAI</w:t>
            </w:r>
          </w:p>
        </w:tc>
        <w:tc>
          <w:tcPr>
            <w:tcW w:type="dxa" w:w="929"/>
          </w:tcPr>
          <w:p>
            <w:pPr>
              <w:spacing w:after="0"/>
            </w:pPr>
            <w:r>
              <w:rPr>
                <w:rFonts w:ascii="Arial" w:hAnsi="Arial"/>
                <w:b/>
                <w:sz w:val="12"/>
              </w:rPr>
              <w:t>Notes</w:t>
            </w:r>
          </w:p>
        </w:tc>
      </w:tr>
      <w:tr>
        <w:tc>
          <w:tcPr>
            <w:tcW w:type="dxa" w:w="929"/>
          </w:tcPr>
          <w:p>
            <w:pPr>
              <w:spacing w:after="0"/>
            </w:pPr>
            <w:r>
              <w:rPr>
                <w:rFonts w:ascii="Arial" w:hAnsi="Arial"/>
                <w:b w:val="0"/>
                <w:sz w:val="12"/>
              </w:rPr>
              <w:t>MRO-01</w:t>
            </w:r>
          </w:p>
        </w:tc>
        <w:tc>
          <w:tcPr>
            <w:tcW w:type="dxa" w:w="929"/>
          </w:tcPr>
          <w:p>
            <w:pPr>
              <w:spacing w:after="0"/>
            </w:pPr>
            <w:r>
              <w:rPr>
                <w:rFonts w:ascii="Arial" w:hAnsi="Arial"/>
                <w:b w:val="0"/>
                <w:sz w:val="12"/>
              </w:rPr>
              <w:t>Human Role to MAS Responsibility Mapping</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Role semantics appear explicit; IBM: Governance workflows may support role mapping; Others: Adjacent capabilities may exist but not lifecycle-specific.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MRO-02</w:t>
            </w:r>
          </w:p>
        </w:tc>
        <w:tc>
          <w:tcPr>
            <w:tcW w:type="dxa" w:w="929"/>
          </w:tcPr>
          <w:p>
            <w:pPr>
              <w:spacing w:after="0"/>
            </w:pPr>
            <w:r>
              <w:rPr>
                <w:rFonts w:ascii="Arial" w:hAnsi="Arial"/>
                <w:b w:val="0"/>
                <w:sz w:val="12"/>
              </w:rPr>
              <w:t>Delegated Authority Boundary</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Authority boundary semantics appear explicit; AWS: Guardrails may provide boundary enforcement; Others: Access control ≠ authority boundary.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MRO-03</w:t>
            </w:r>
          </w:p>
        </w:tc>
        <w:tc>
          <w:tcPr>
            <w:tcW w:type="dxa" w:w="929"/>
          </w:tcPr>
          <w:p>
            <w:pPr>
              <w:spacing w:after="0"/>
            </w:pPr>
            <w:r>
              <w:rPr>
                <w:rFonts w:ascii="Arial" w:hAnsi="Arial"/>
                <w:b w:val="0"/>
                <w:sz w:val="12"/>
              </w:rPr>
              <w:t>Agent Role is not Human Role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MPLP: Role distinction appears explicit; IBM: Governance workflows may distinguish roles; CrewAI: Agent role labels exist but ≠ accountability roles.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MRO-04</w:t>
            </w:r>
          </w:p>
        </w:tc>
        <w:tc>
          <w:tcPr>
            <w:tcW w:type="dxa" w:w="929"/>
          </w:tcPr>
          <w:p>
            <w:pPr>
              <w:spacing w:after="0"/>
            </w:pPr>
            <w:r>
              <w:rPr>
                <w:rFonts w:ascii="Arial" w:hAnsi="Arial"/>
                <w:b w:val="0"/>
                <w:sz w:val="12"/>
              </w:rPr>
              <w:t>Accepted Outcome Compliance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Confirm semantics appear explicit; IBM: Approval workflows may exist; Others: Task completion ≠ accepted outcome.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MRO-05</w:t>
            </w:r>
          </w:p>
        </w:tc>
        <w:tc>
          <w:tcPr>
            <w:tcW w:type="dxa" w:w="929"/>
          </w:tcPr>
          <w:p>
            <w:pPr>
              <w:spacing w:after="0"/>
            </w:pPr>
            <w:r>
              <w:rPr>
                <w:rFonts w:ascii="Arial" w:hAnsi="Arial"/>
                <w:b w:val="0"/>
                <w:sz w:val="12"/>
              </w:rPr>
              <w:t>Tool-Action Liability Boundary</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Tool-action semantics appear explicit; AWS: Guardrails may provide tool-action controls; Others: Tool calling ≠ liability boundary.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MRO-06</w:t>
            </w:r>
          </w:p>
        </w:tc>
        <w:tc>
          <w:tcPr>
            <w:tcW w:type="dxa" w:w="929"/>
          </w:tcPr>
          <w:p>
            <w:pPr>
              <w:spacing w:after="0"/>
            </w:pPr>
            <w:r>
              <w:rPr>
                <w:rFonts w:ascii="Arial" w:hAnsi="Arial"/>
                <w:b w:val="0"/>
                <w:sz w:val="12"/>
              </w:rPr>
              <w:t>Responsibility Transfer Across Agents</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MPLP: Handoff semantics appear explicit; LangGraph: Orchestration may support handoff; Others: Handoff ≠ responsibility transfer.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MRO-07</w:t>
            </w:r>
          </w:p>
        </w:tc>
        <w:tc>
          <w:tcPr>
            <w:tcW w:type="dxa" w:w="929"/>
          </w:tcPr>
          <w:p>
            <w:pPr>
              <w:spacing w:after="0"/>
            </w:pPr>
            <w:r>
              <w:rPr>
                <w:rFonts w:ascii="Arial" w:hAnsi="Arial"/>
                <w:b w:val="0"/>
                <w:sz w:val="12"/>
              </w:rPr>
              <w:t>Authority Drift</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Drift detection semantics appear explicit; IBM: Model monitoring may detect drift; Others: Monitoring ≠ authority drift detection.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MRO-08</w:t>
            </w:r>
          </w:p>
        </w:tc>
        <w:tc>
          <w:tcPr>
            <w:tcW w:type="dxa" w:w="929"/>
          </w:tcPr>
          <w:p>
            <w:pPr>
              <w:spacing w:after="0"/>
            </w:pPr>
            <w:r>
              <w:rPr>
                <w:rFonts w:ascii="Arial" w:hAnsi="Arial"/>
                <w:b w:val="0"/>
                <w:sz w:val="12"/>
              </w:rPr>
              <w:t>MAS Evidence Partitioning</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Evidence partitioning semantics appear explicit; IBM: Audit trail partitioning may exist; LangSmith: Trace partitioning may exist; Others: Logs ≠ partitioned evidence.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MRO-09</w:t>
            </w:r>
          </w:p>
        </w:tc>
        <w:tc>
          <w:tcPr>
            <w:tcW w:type="dxa" w:w="929"/>
          </w:tcPr>
          <w:p>
            <w:pPr>
              <w:spacing w:after="0"/>
            </w:pPr>
            <w:r>
              <w:rPr>
                <w:rFonts w:ascii="Arial" w:hAnsi="Arial"/>
                <w:b w:val="0"/>
                <w:sz w:val="12"/>
              </w:rPr>
              <w:t>Cross-Project Reuse Compliance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Reuse validation semantics appear explicit; Others: Reuse ≠ reuse compliance validation.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MRO-10</w:t>
            </w:r>
          </w:p>
        </w:tc>
        <w:tc>
          <w:tcPr>
            <w:tcW w:type="dxa" w:w="929"/>
          </w:tcPr>
          <w:p>
            <w:pPr>
              <w:spacing w:after="0"/>
            </w:pPr>
            <w:r>
              <w:rPr>
                <w:rFonts w:ascii="Arial" w:hAnsi="Arial"/>
                <w:b w:val="0"/>
                <w:sz w:val="12"/>
              </w:rPr>
              <w:t>Privacy / GDPR Lifecycle Mapping</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Privacy lifecycle semantics appear explicit; IBM/Microsoft/Google: Data governance workflows may exist; Others: Data governance ≠ lifecycle privacy mapping.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MRO-11</w:t>
            </w:r>
          </w:p>
        </w:tc>
        <w:tc>
          <w:tcPr>
            <w:tcW w:type="dxa" w:w="929"/>
          </w:tcPr>
          <w:p>
            <w:pPr>
              <w:spacing w:after="0"/>
            </w:pPr>
            <w:r>
              <w:rPr>
                <w:rFonts w:ascii="Arial" w:hAnsi="Arial"/>
                <w:b w:val="0"/>
                <w:sz w:val="12"/>
              </w:rPr>
              <w:t>Privacy-Preserving Third-Party Validation</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Validation semantics appear explicit; Others: Validation ≠ privacy-preserving validation protocol.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MRO-12</w:t>
            </w:r>
          </w:p>
        </w:tc>
        <w:tc>
          <w:tcPr>
            <w:tcW w:type="dxa" w:w="929"/>
          </w:tcPr>
          <w:p>
            <w:pPr>
              <w:spacing w:after="0"/>
            </w:pPr>
            <w:r>
              <w:rPr>
                <w:rFonts w:ascii="Arial" w:hAnsi="Arial"/>
                <w:b w:val="0"/>
                <w:sz w:val="12"/>
              </w:rPr>
              <w:t>Evidence Minimization and Selective Disclosure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Selective disclosure semantics appear explicit; IBM: Evidence export with minimization may exist; Others: Data export ≠ selective disclosure.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MRO-13</w:t>
            </w:r>
          </w:p>
        </w:tc>
        <w:tc>
          <w:tcPr>
            <w:tcW w:type="dxa" w:w="929"/>
          </w:tcPr>
          <w:p>
            <w:pPr>
              <w:spacing w:after="0"/>
            </w:pPr>
            <w:r>
              <w:rPr>
                <w:rFonts w:ascii="Arial" w:hAnsi="Arial"/>
                <w:b w:val="0"/>
                <w:sz w:val="12"/>
              </w:rPr>
              <w:t>Data Subject Rights vs Evidence Retention</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Retention reconciliation semantics appear explicit; IBM/Microsoft/Google: Data subject rights workflows may exist; Others: Data retention ≠ evidence retention reconciliation.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MRO-14</w:t>
            </w:r>
          </w:p>
        </w:tc>
        <w:tc>
          <w:tcPr>
            <w:tcW w:type="dxa" w:w="929"/>
          </w:tcPr>
          <w:p>
            <w:pPr>
              <w:spacing w:after="0"/>
            </w:pPr>
            <w:r>
              <w:rPr>
                <w:rFonts w:ascii="Arial" w:hAnsi="Arial"/>
                <w:b w:val="0"/>
                <w:sz w:val="12"/>
              </w:rPr>
              <w:t>Third-Party Processor / Subprocessor Chain</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IBM/Microsoft/AWS/Google: Processor chain documentation may exist; MPLP: Network semantics may support but require integration; Others: Processor chain ≠ responsibility chain.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MRO-15</w:t>
            </w:r>
          </w:p>
        </w:tc>
        <w:tc>
          <w:tcPr>
            <w:tcW w:type="dxa" w:w="929"/>
          </w:tcPr>
          <w:p>
            <w:pPr>
              <w:spacing w:after="0"/>
            </w:pPr>
            <w:r>
              <w:rPr>
                <w:rFonts w:ascii="Arial" w:hAnsi="Arial"/>
                <w:b w:val="0"/>
                <w:sz w:val="12"/>
              </w:rPr>
              <w:t>Vendor / Model / Runtime Substitution Conformance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Substitution conformance semantics appear explicit; IBM: Model version management may exist; Others: Model substitution ≠ conformance validation.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MRO-16</w:t>
            </w:r>
          </w:p>
        </w:tc>
        <w:tc>
          <w:tcPr>
            <w:tcW w:type="dxa" w:w="929"/>
          </w:tcPr>
          <w:p>
            <w:pPr>
              <w:spacing w:after="0"/>
            </w:pPr>
            <w:r>
              <w:rPr>
                <w:rFonts w:ascii="Arial" w:hAnsi="Arial"/>
                <w:b w:val="0"/>
                <w:sz w:val="12"/>
              </w:rPr>
              <w:t>Incident, Dispute, and Remediation Closure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Closure semantics appear explicit; IBM: Incident management workflows may exist; Others: Incident response ≠ remediation closure with lifecycle evidence. Revalidated provisional; exact cell-level lifecycle-object support remains source-bound, narrowed, or L5 analytical interpretation.</w:t>
            </w:r>
          </w:p>
        </w:tc>
      </w:tr>
    </w:tbl>
    <w:p>
      <w:pPr>
        <w:pStyle w:val="Heading2"/>
      </w:pPr>
      <w:r>
        <w:t>D.3 Pattern-Level Interpretation</w:t>
      </w:r>
    </w:p>
    <w:p>
      <w:pPr>
        <w:spacing w:after="56"/>
      </w:pPr>
      <w:r>
        <w:t>The expanded MRO mapping reveals several provisional patterns across system categories. All mappings remain revalidated provisional after Phase 1C claim-level source binding.</w:t>
      </w:r>
    </w:p>
    <w:p>
      <w:pPr>
        <w:spacing w:after="56"/>
      </w:pPr>
      <w:r>
        <w:t>Pattern 1: Lifecycle protocol paths (MPLP) provisionally show strong object-level mapping across most MROs.</w:t>
      </w:r>
    </w:p>
    <w:p>
      <w:pPr>
        <w:spacing w:after="56"/>
      </w:pPr>
      <w:r>
        <w:t>Based on available protocol documentation, MPLP appears to provide explicit protocol-level semantics for lifecycle responsibility objects. However, protocol-level fit does not prove deployment conformance, operational effectiveness, or enterprise adoption. MPLP requires implementation validation, enterprise integration, and organizational adoption. Phase 1C follow-up located the official MPLP documentation entry point; mapping strength remains L5 analytical interpretation where not directly stated in protocol text.</w:t>
      </w:r>
    </w:p>
    <w:p>
      <w:pPr>
        <w:spacing w:after="56"/>
      </w:pPr>
      <w:r>
        <w:t>Pattern 2: Enterprise AI governance platforms (IBM watsonx.governance) provisionally show strong workflow/feature mapping across governance-related MROs.</w:t>
      </w:r>
    </w:p>
    <w:p>
      <w:pPr>
        <w:spacing w:after="56"/>
      </w:pPr>
      <w:r>
        <w:t>Based on available product documentation, IBM watsonx.governance appears to provide model governance workflows, audit trails, data governance, and incident management. These workflows may support lifecycle responsibility objects with configuration or integration. However, workflow/feature mapping does not automatically provide lifecycle responsibility semantics. Organizations must map workflows to lifecycle objects. Phase 1C follow-up located official IBM entry points; MRO cell mappings remain provisional.</w:t>
      </w:r>
    </w:p>
    <w:p>
      <w:pPr>
        <w:spacing w:after="56"/>
      </w:pPr>
      <w:r>
        <w:t>Pattern 3: Cloud AI platforms (Microsoft, AWS, Google) provisionally show strong workflow/feature mapping for data governance and processor chain MROs, but partial or adjacent capability for lifecycle-specific MROs.</w:t>
      </w:r>
    </w:p>
    <w:p>
      <w:pPr>
        <w:spacing w:after="56"/>
      </w:pPr>
      <w:r>
        <w:t>Based on available product documentation, cloud AI platforms appear to provide data governance, processor chain documentation, and compliance workflows. However, these platforms are designed for model governance and AI platform operations, not necessarily lifecycle responsibility-object governance. Lifecycle responsibility objects may require additional integration or custom implementation. Phase 1C follow-up located official Microsoft, AWS, and Google entry points; MRO cell mappings remain provisional.</w:t>
      </w:r>
    </w:p>
    <w:p>
      <w:pPr>
        <w:spacing w:after="56"/>
      </w:pPr>
      <w:r>
        <w:t>Pattern 4: Agent orchestration frameworks (LangGraph/LangSmith) provisionally show strong workflow/feature mapping for evidence partitioning and responsibility transfer, but partial or adjacent capability for other MROs.</w:t>
      </w:r>
    </w:p>
    <w:p>
      <w:pPr>
        <w:spacing w:after="56"/>
      </w:pPr>
      <w:r>
        <w:t>Based on available product documentation, LangGraph appears to provide orchestration primitives and LangSmith appears to provide tracing/observability primitives. These primitives may be useful for lifecycle governance but do not automatically provide lifecycle responsibility semantics. Organizations must build lifecycle governance on top of orchestration primitives. Phase 1C follow-up located official LangGraph/LangSmith entry points; MRO cell mappings remain provisional.</w:t>
      </w:r>
    </w:p>
    <w:p>
      <w:pPr>
        <w:spacing w:after="56"/>
      </w:pPr>
      <w:r>
        <w:t>Pattern 5: Developer agent SDKs (OpenAI Agents SDK, CrewAI) provisionally show weak or implementer-built only for most MROs.</w:t>
      </w:r>
    </w:p>
    <w:p>
      <w:pPr>
        <w:spacing w:after="56"/>
      </w:pPr>
      <w:r>
        <w:t>Based on available product documentation, developer agent SDKs appear to provide execution primitives but not final lifecycle governance primitives. Organizations must build lifecycle governance on top of execution primitives. This is not a weakness of the SDKs; it reflects their design purpose (execution, not governance). Phase 1C follow-up located official OpenAI Agents SDK and CrewAI entry points; MRO cell mappings remain provisional.</w:t>
      </w:r>
    </w:p>
    <w:p>
      <w:pPr>
        <w:spacing w:after="56"/>
      </w:pPr>
      <w:r>
        <w:t>Pattern 6: The field gap is not lack of AI tools. The field gap is lack of explicit lifecycle responsibility objects.</w:t>
      </w:r>
    </w:p>
    <w:p>
      <w:pPr>
        <w:spacing w:after="56"/>
      </w:pPr>
      <w:r>
        <w:t>All eight systems provide useful primitives for agentic AI. However, based on available public evidence, many lifecycle responsibility object primitives remain adjacent, implementer-built, or analytically inferred. Organizations must build lifecycle governance by integrating multiple systems, configuring workflows, or implementing custom lifecycle governance layers. This pattern remains revalidated provisional after Phase 1C claim-level source binding.</w:t>
      </w:r>
    </w:p>
    <w:p>
      <w:pPr>
        <w:pStyle w:val="Heading2"/>
      </w:pPr>
      <w:r>
        <w:t>D.4 Phase 1C Claim-Level Source Binding Note</w:t>
      </w:r>
    </w:p>
    <w:p>
      <w:pPr>
        <w:spacing w:after="56"/>
      </w:pPr>
      <w:r>
        <w:t>This appendix is based on public product documentation and protocol specifications available as of the white paper publication date. Phase 1C follow-up completed source-entry and claim-disposition review for Appendix D. Remaining finalization work is to:</w:t>
      </w:r>
    </w:p>
    <w:p>
      <w:pPr>
        <w:pStyle w:val="ListNumber"/>
        <w:spacing w:after="56"/>
      </w:pPr>
      <w:r>
        <w:t>Pin exact page-level citations for high-risk MRO cell claims where needed</w:t>
      </w:r>
    </w:p>
    <w:p>
      <w:pPr>
        <w:pStyle w:val="ListNumber"/>
        <w:spacing w:after="56"/>
      </w:pPr>
      <w:r>
        <w:t>Preserve L5 analytical status for MRO mappings not directly stated in official documentation</w:t>
      </w:r>
    </w:p>
    <w:p>
      <w:pPr>
        <w:pStyle w:val="ListNumber"/>
        <w:spacing w:after="56"/>
      </w:pPr>
      <w:r>
        <w:t>Retain provisional wording for all cross-system cells until publication approval</w:t>
      </w:r>
    </w:p>
    <w:p>
      <w:pPr>
        <w:pStyle w:val="ListNumber"/>
        <w:spacing w:after="56"/>
      </w:pPr>
      <w:r>
        <w:t>Verify all qualitative mapping values during final proofing</w:t>
      </w:r>
    </w:p>
    <w:p>
      <w:pPr>
        <w:pStyle w:val="ListNumber"/>
        <w:spacing w:after="56"/>
      </w:pPr>
      <w:r>
        <w:t>Mark uncertain mappings as source-support unresolved if exact page-level support cannot be pinned</w:t>
      </w:r>
    </w:p>
    <w:p>
      <w:pPr>
        <w:spacing w:after="56"/>
      </w:pPr>
      <w:r>
        <w:t>Phase 1D wide-table evaluation: Table T-D-01 is very wide (10 columns) and may require splitting, rotation, or alternative layout for readability in DOCX/PDF format.</w:t>
      </w:r>
    </w:p>
    <w:p>
      <w:pPr>
        <w:pStyle w:val="Heading1"/>
      </w:pPr>
      <w:r>
        <w:t>Appendix E — RCCS Detailed Scoring Rubrics</w:t>
      </w:r>
    </w:p>
    <w:p>
      <w:pPr>
        <w:spacing w:after="56"/>
      </w:pPr>
      <w:r>
        <w:t>Version: v0.3.2-FRC-R3</w:t>
      </w:r>
    </w:p>
    <w:p>
      <w:pPr>
        <w:pStyle w:val="Heading2"/>
      </w:pPr>
      <w:r>
        <w:t>E.0 RCCS Rubric Boundary</w:t>
      </w:r>
    </w:p>
    <w:p>
      <w:pPr>
        <w:spacing w:after="56"/>
      </w:pPr>
      <w:r>
        <w:t>This appendix provides detailed scoring rubrics for all ten RCCS (Regulatory Compliance Coverage Score) dimensions. These rubrics are analytical tools for evaluating system capability to support regulatory compliance coverage primitives. They are not legal compliance scores, certifications, or regulatory approvals.</w:t>
      </w:r>
    </w:p>
    <w:p>
      <w:pPr>
        <w:spacing w:after="56"/>
      </w:pPr>
      <w:r>
        <w:t>Boundary statement:</w:t>
      </w:r>
    </w:p>
    <w:p>
      <w:pPr>
        <w:pStyle w:val="ListBullet"/>
        <w:spacing w:after="56"/>
      </w:pPr>
      <w:r>
        <w:t>RCCS measures regulatory compliance coverage primitives. RCCS evaluates whether a system provides primitives that can support regulatory compliance coverage requirements. It does not prove legal compliance, regulatory approval, certification, audit readiness, or operational effectiveness.</w:t>
      </w:r>
    </w:p>
    <w:p>
      <w:pPr>
        <w:pStyle w:val="ListBullet"/>
        <w:spacing w:after="56"/>
      </w:pPr>
      <w:r>
        <w:t>High RCCS scores do not prove legal compliance. A high RCCS score indicates that a system provides primitives for regulatory compliance coverage. It does not prove that the system is legally compliant, operationally effective, or enterprise-ready.</w:t>
      </w:r>
    </w:p>
    <w:p>
      <w:pPr>
        <w:pStyle w:val="ListBullet"/>
        <w:spacing w:after="56"/>
      </w:pPr>
      <w:r>
        <w:t>Low RCCS scores do not prove non-compliance. A low RCCS score indicates gaps in regulatory compliance coverage primitives. It does not prove that the system is non-compliant, unsafe, or unsuitable for deployment.</w:t>
      </w:r>
    </w:p>
    <w:p>
      <w:pPr>
        <w:pStyle w:val="ListBullet"/>
        <w:spacing w:after="56"/>
      </w:pPr>
      <w:r>
        <w:t>RCCS scores are context-independent. RCCS scores measure system capability, not organizational practice. Organizations must interpret scores within their legal, regulatory, and operational context.</w:t>
      </w:r>
    </w:p>
    <w:p>
      <w:pPr>
        <w:pStyle w:val="ListBullet"/>
        <w:spacing w:after="56"/>
      </w:pPr>
      <w:r>
        <w:t>RCCS scores require evidence. All scores must be supported by evidence. The evidence level (L1-L5) affects the score multiplier using the canonical formula from Phase 1B-8C.</w:t>
      </w:r>
    </w:p>
    <w:p>
      <w:pPr>
        <w:pStyle w:val="ListBullet"/>
        <w:spacing w:after="56"/>
      </w:pPr>
      <w:r>
        <w:t>RCCS scores are not product rankings. Rubrics compare systems by regulatory compliance coverage primitives, not product quality, market leadership, or procurement suitability.</w:t>
      </w:r>
    </w:p>
    <w:p>
      <w:pPr>
        <w:pStyle w:val="Heading2"/>
      </w:pPr>
      <w:r>
        <w:t>E.1 How to Use RCCS Rubrics</w:t>
      </w:r>
    </w:p>
    <w:p>
      <w:pPr>
        <w:spacing w:after="56"/>
      </w:pPr>
      <w:r>
        <w:t>Scoring process:</w:t>
      </w:r>
    </w:p>
    <w:p>
      <w:pPr>
        <w:pStyle w:val="ListNumber"/>
        <w:spacing w:after="56"/>
      </w:pPr>
      <w:r>
        <w:t>Assess raw capability (0-5) based on system capability against the rubric</w:t>
      </w:r>
    </w:p>
    <w:p>
      <w:pPr>
        <w:pStyle w:val="ListNumber"/>
        <w:spacing w:after="56"/>
      </w:pPr>
      <w:r>
        <w:t>Identify evidence level (L1-L5) based on source type</w:t>
      </w:r>
    </w:p>
    <w:p>
      <w:pPr>
        <w:pStyle w:val="ListNumber"/>
        <w:spacing w:after="56"/>
      </w:pPr>
      <w:r>
        <w:t>Apply evidence multiplier using canonical formula: Dimension Score = (Raw Score / 5) × 100 × Evidence Confidence Multiplier</w:t>
      </w:r>
    </w:p>
    <w:p>
      <w:pPr>
        <w:pStyle w:val="ListNumber"/>
        <w:spacing w:after="56"/>
      </w:pPr>
      <w:r>
        <w:t>Document justification explaining why the raw score and evidence level were assigned</w:t>
      </w:r>
    </w:p>
    <w:p>
      <w:pPr>
        <w:pStyle w:val="ListNumber"/>
        <w:spacing w:after="56"/>
      </w:pPr>
      <w:r>
        <w:t>Add boundary note clarifying what the score does and does not prove</w:t>
      </w:r>
    </w:p>
    <w:p>
      <w:pPr>
        <w:spacing w:after="56"/>
      </w:pPr>
      <w:r>
        <w:t>Canonical evidence multipliers (from Phase 1B-8C):</w:t>
      </w:r>
    </w:p>
    <w:p>
      <w:pPr>
        <w:pStyle w:val="ListBullet"/>
        <w:spacing w:after="56"/>
      </w:pPr>
      <w:r>
        <w:t>L1 (Binding Legal Text): 1.00</w:t>
      </w:r>
    </w:p>
    <w:p>
      <w:pPr>
        <w:pStyle w:val="ListBullet"/>
        <w:spacing w:after="56"/>
      </w:pPr>
      <w:r>
        <w:t>L2 (Product Docs): 0.85</w:t>
      </w:r>
    </w:p>
    <w:p>
      <w:pPr>
        <w:pStyle w:val="ListBullet"/>
        <w:spacing w:after="56"/>
      </w:pPr>
      <w:r>
        <w:t>L3 (Audit Report): 0.75</w:t>
      </w:r>
    </w:p>
    <w:p>
      <w:pPr>
        <w:pStyle w:val="ListBullet"/>
        <w:spacing w:after="56"/>
      </w:pPr>
      <w:r>
        <w:t>L4 (Vendor Claim): 0.55</w:t>
      </w:r>
    </w:p>
    <w:p>
      <w:pPr>
        <w:pStyle w:val="ListBullet"/>
        <w:spacing w:after="56"/>
      </w:pPr>
      <w:r>
        <w:t>L5 (Author Inference): 0.35</w:t>
      </w:r>
    </w:p>
    <w:p>
      <w:pPr>
        <w:spacing w:after="56"/>
      </w:pPr>
      <w:r>
        <w:t>Scoring scale:</w:t>
      </w:r>
    </w:p>
    <w:p>
      <w:pPr>
        <w:pStyle w:val="ListBullet"/>
        <w:spacing w:after="56"/>
      </w:pPr>
      <w:r>
        <w:t>0: No capability; no evidence</w:t>
      </w:r>
    </w:p>
    <w:p>
      <w:pPr>
        <w:pStyle w:val="ListBullet"/>
        <w:spacing w:after="56"/>
      </w:pPr>
      <w:r>
        <w:t>1: Minimal capability; weak evidence</w:t>
      </w:r>
    </w:p>
    <w:p>
      <w:pPr>
        <w:pStyle w:val="ListBullet"/>
        <w:spacing w:after="56"/>
      </w:pPr>
      <w:r>
        <w:t>2: Partial capability; some evidence</w:t>
      </w:r>
    </w:p>
    <w:p>
      <w:pPr>
        <w:pStyle w:val="ListBullet"/>
        <w:spacing w:after="56"/>
      </w:pPr>
      <w:r>
        <w:t>3: Moderate capability; documented evidence</w:t>
      </w:r>
    </w:p>
    <w:p>
      <w:pPr>
        <w:pStyle w:val="ListBullet"/>
        <w:spacing w:after="56"/>
      </w:pPr>
      <w:r>
        <w:t>4: Strong capability; validated evidence</w:t>
      </w:r>
    </w:p>
    <w:p>
      <w:pPr>
        <w:pStyle w:val="ListBullet"/>
        <w:spacing w:after="56"/>
      </w:pPr>
      <w:r>
        <w:t>5: Complete capability demonstrated by implementation evidence, formal audit evidence, protocol-level evidence, or validated operational artifacts. Legal text may establish a regulatory baseline but does not by itself prove implementation.</w:t>
      </w:r>
    </w:p>
    <w:p>
      <w:pPr>
        <w:spacing w:after="56"/>
      </w:pPr>
      <w:r>
        <w:t>In score-5 rows, legal references identify the regulatory baseline only. They do not count as implementation evidence unless paired with implementation artifacts, formal audit evidence, protocol-level evidence, or validated operational records.</w:t>
      </w:r>
    </w:p>
    <w:p>
      <w:pPr>
        <w:spacing w:after="56"/>
      </w:pPr>
      <w:r>
        <w:t>Negative controls:</w:t>
      </w:r>
    </w:p>
    <w:p>
      <w:pPr>
        <w:spacing w:after="56"/>
      </w:pPr>
      <w:r>
        <w:t>Each rubric includes negative controls to prevent overclaim. Negative controls distinguish adjacent capabilities from regulatory compliance coverage primitives.</w:t>
      </w:r>
    </w:p>
    <w:p>
      <w:pPr>
        <w:pStyle w:val="Heading2"/>
      </w:pPr>
      <w:r>
        <w:t>E.2 RCCS Detailed Rubrics</w:t>
      </w:r>
    </w:p>
    <w:p>
      <w:pPr>
        <w:pStyle w:val="Heading3"/>
      </w:pPr>
      <w:r>
        <w:t>RCCS-01: Risk Management</w:t>
      </w:r>
    </w:p>
    <w:p>
      <w:pPr>
        <w:spacing w:after="56"/>
      </w:pPr>
      <w:r>
        <w:t>Core question: Does the system provide primitives for AI risk identification, assessment, mitigation, and monitoring?</w:t>
      </w:r>
    </w:p>
    <w:p>
      <w:pPr>
        <w:spacing w:after="56"/>
      </w:pPr>
      <w:r>
        <w:t>What counts: Risk assessment frameworks, risk registers, risk mitigation controls, risk monitoring dashboards, risk escalation workflows</w:t>
      </w:r>
    </w:p>
    <w:p>
      <w:pPr>
        <w:spacing w:after="56"/>
      </w:pPr>
      <w:r>
        <w:t>What does not count: General software risk management, non-AI-specific risk controls, risk management without AI lifecycle integration</w:t>
      </w:r>
    </w:p>
    <w:p>
      <w:pPr>
        <w:keepNext/>
      </w:pPr>
      <w:r>
        <w:rPr>
          <w:b/>
          <w:sz w:val="16"/>
        </w:rPr>
        <w:t>Table T-E-01: RCCS-01 Risk Management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risk management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risk assessment, no risk register, no risk controls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risk management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risk management</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Risk management mentioned in marketing docs but no implementation details</w:t>
            </w:r>
          </w:p>
        </w:tc>
        <w:tc>
          <w:tcPr>
            <w:tcW w:type="dxa" w:w="1704"/>
          </w:tcPr>
          <w:p>
            <w:pPr>
              <w:spacing w:after="0"/>
            </w:pPr>
            <w:r>
              <w:rPr>
                <w:rFonts w:ascii="Arial" w:hAnsi="Arial"/>
                <w:b w:val="0"/>
                <w:sz w:val="12"/>
              </w:rPr>
              <w:t>Risk management mentioned ≠ risk management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risk management</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Risk assessment template exists but no risk register or monitoring</w:t>
            </w:r>
          </w:p>
        </w:tc>
        <w:tc>
          <w:tcPr>
            <w:tcW w:type="dxa" w:w="1704"/>
          </w:tcPr>
          <w:p>
            <w:pPr>
              <w:spacing w:after="0"/>
            </w:pPr>
            <w:r>
              <w:rPr>
                <w:rFonts w:ascii="Arial" w:hAnsi="Arial"/>
                <w:b w:val="0"/>
                <w:sz w:val="12"/>
              </w:rPr>
              <w:t>Risk template ≠ risk assessment workflow</w:t>
            </w:r>
          </w:p>
        </w:tc>
        <w:tc>
          <w:tcPr>
            <w:tcW w:type="dxa" w:w="1704"/>
          </w:tcPr>
          <w:p>
            <w:pPr>
              <w:spacing w:after="0"/>
            </w:pPr>
            <w:r>
              <w:rPr>
                <w:rFonts w:ascii="Arial" w:hAnsi="Arial"/>
                <w:b w:val="0"/>
                <w:sz w:val="12"/>
              </w:rPr>
              <w:t>Partial coverage;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risk management</w:t>
            </w:r>
          </w:p>
        </w:tc>
        <w:tc>
          <w:tcPr>
            <w:tcW w:type="dxa" w:w="1704"/>
          </w:tcPr>
          <w:p>
            <w:pPr>
              <w:spacing w:after="0"/>
            </w:pPr>
            <w:r>
              <w:rPr>
                <w:rFonts w:ascii="Arial" w:hAnsi="Arial"/>
                <w:b w:val="0"/>
                <w:sz w:val="12"/>
              </w:rPr>
              <w:t>Product documentation with risk assessment and register</w:t>
            </w:r>
          </w:p>
        </w:tc>
        <w:tc>
          <w:tcPr>
            <w:tcW w:type="dxa" w:w="1704"/>
          </w:tcPr>
          <w:p>
            <w:pPr>
              <w:spacing w:after="0"/>
            </w:pPr>
            <w:r>
              <w:rPr>
                <w:rFonts w:ascii="Arial" w:hAnsi="Arial"/>
                <w:b w:val="0"/>
                <w:sz w:val="12"/>
              </w:rPr>
              <w:t>Risk assessment workflow, risk register, basic mitigation controls</w:t>
            </w:r>
          </w:p>
        </w:tc>
        <w:tc>
          <w:tcPr>
            <w:tcW w:type="dxa" w:w="1704"/>
          </w:tcPr>
          <w:p>
            <w:pPr>
              <w:spacing w:after="0"/>
            </w:pPr>
            <w:r>
              <w:rPr>
                <w:rFonts w:ascii="Arial" w:hAnsi="Arial"/>
                <w:b w:val="0"/>
                <w:sz w:val="12"/>
              </w:rPr>
              <w:t>Risk register ≠ risk monitoring or escalation</w:t>
            </w:r>
          </w:p>
        </w:tc>
        <w:tc>
          <w:tcPr>
            <w:tcW w:type="dxa" w:w="1704"/>
          </w:tcPr>
          <w:p>
            <w:pPr>
              <w:spacing w:after="0"/>
            </w:pPr>
            <w:r>
              <w:rPr>
                <w:rFonts w:ascii="Arial" w:hAnsi="Arial"/>
                <w:b w:val="0"/>
                <w:sz w:val="12"/>
              </w:rPr>
              <w:t>Moderate coverage; monitoring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risk management</w:t>
            </w:r>
          </w:p>
        </w:tc>
        <w:tc>
          <w:tcPr>
            <w:tcW w:type="dxa" w:w="1704"/>
          </w:tcPr>
          <w:p>
            <w:pPr>
              <w:spacing w:after="0"/>
            </w:pPr>
            <w:r>
              <w:rPr>
                <w:rFonts w:ascii="Arial" w:hAnsi="Arial"/>
                <w:b w:val="0"/>
                <w:sz w:val="12"/>
              </w:rPr>
              <w:t>Product documentation with risk assessment, register, mitigation, and monitoring</w:t>
            </w:r>
          </w:p>
        </w:tc>
        <w:tc>
          <w:tcPr>
            <w:tcW w:type="dxa" w:w="1704"/>
          </w:tcPr>
          <w:p>
            <w:pPr>
              <w:spacing w:after="0"/>
            </w:pPr>
            <w:r>
              <w:rPr>
                <w:rFonts w:ascii="Arial" w:hAnsi="Arial"/>
                <w:b w:val="0"/>
                <w:sz w:val="12"/>
              </w:rPr>
              <w:t>Risk assessment workflow, risk register, mitigation controls, risk monitoring dashboard</w:t>
            </w:r>
          </w:p>
        </w:tc>
        <w:tc>
          <w:tcPr>
            <w:tcW w:type="dxa" w:w="1704"/>
          </w:tcPr>
          <w:p>
            <w:pPr>
              <w:spacing w:after="0"/>
            </w:pPr>
            <w:r>
              <w:rPr>
                <w:rFonts w:ascii="Arial" w:hAnsi="Arial"/>
                <w:b w:val="0"/>
                <w:sz w:val="12"/>
              </w:rPr>
              <w:t>Risk monitoring ≠ risk escalation or continuous improvement</w:t>
            </w:r>
          </w:p>
        </w:tc>
        <w:tc>
          <w:tcPr>
            <w:tcW w:type="dxa" w:w="1704"/>
          </w:tcPr>
          <w:p>
            <w:pPr>
              <w:spacing w:after="0"/>
            </w:pPr>
            <w:r>
              <w:rPr>
                <w:rFonts w:ascii="Arial" w:hAnsi="Arial"/>
                <w:b w:val="0"/>
                <w:sz w:val="12"/>
              </w:rPr>
              <w:t>Strong coverage; escalation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9 risk management system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RCCS-02: Data Governance</w:t>
      </w:r>
    </w:p>
    <w:p>
      <w:pPr>
        <w:spacing w:after="56"/>
      </w:pPr>
      <w:r>
        <w:t>Core question: Does the system provide primitives for data governance including data quality, data lineage, data access control, and data retention?</w:t>
      </w:r>
    </w:p>
    <w:p>
      <w:pPr>
        <w:spacing w:after="56"/>
      </w:pPr>
      <w:r>
        <w:t>What counts: Data quality checks, data lineage tracking, data access control, data retention policies, data subject rights workflows</w:t>
      </w:r>
    </w:p>
    <w:p>
      <w:pPr>
        <w:spacing w:after="56"/>
      </w:pPr>
      <w:r>
        <w:t>What does not count: General database management, data storage without governance, data access control without lifecycle integration</w:t>
      </w:r>
    </w:p>
    <w:p>
      <w:pPr>
        <w:keepNext/>
      </w:pPr>
      <w:r>
        <w:rPr>
          <w:b/>
          <w:sz w:val="16"/>
        </w:rPr>
        <w:t>Table T-E-02: RCCS-02 Data Governance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data governance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data quality checks, no data lineage, no data access control</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data governance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data governance</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Data governance mentioned in marketing docs but no implementation details</w:t>
            </w:r>
          </w:p>
        </w:tc>
        <w:tc>
          <w:tcPr>
            <w:tcW w:type="dxa" w:w="1704"/>
          </w:tcPr>
          <w:p>
            <w:pPr>
              <w:spacing w:after="0"/>
            </w:pPr>
            <w:r>
              <w:rPr>
                <w:rFonts w:ascii="Arial" w:hAnsi="Arial"/>
                <w:b w:val="0"/>
                <w:sz w:val="12"/>
              </w:rPr>
              <w:t>Data governance mentioned ≠ data governance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data governance</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Data quality checks exist but no data lineage or retention policies</w:t>
            </w:r>
          </w:p>
        </w:tc>
        <w:tc>
          <w:tcPr>
            <w:tcW w:type="dxa" w:w="1704"/>
          </w:tcPr>
          <w:p>
            <w:pPr>
              <w:spacing w:after="0"/>
            </w:pPr>
            <w:r>
              <w:rPr>
                <w:rFonts w:ascii="Arial" w:hAnsi="Arial"/>
                <w:b w:val="0"/>
                <w:sz w:val="12"/>
              </w:rPr>
              <w:t>Data quality ≠ data lineage or retention</w:t>
            </w:r>
          </w:p>
        </w:tc>
        <w:tc>
          <w:tcPr>
            <w:tcW w:type="dxa" w:w="1704"/>
          </w:tcPr>
          <w:p>
            <w:pPr>
              <w:spacing w:after="0"/>
            </w:pPr>
            <w:r>
              <w:rPr>
                <w:rFonts w:ascii="Arial" w:hAnsi="Arial"/>
                <w:b w:val="0"/>
                <w:sz w:val="12"/>
              </w:rPr>
              <w:t>Partial coverage; lineage and retention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data governance</w:t>
            </w:r>
          </w:p>
        </w:tc>
        <w:tc>
          <w:tcPr>
            <w:tcW w:type="dxa" w:w="1704"/>
          </w:tcPr>
          <w:p>
            <w:pPr>
              <w:spacing w:after="0"/>
            </w:pPr>
            <w:r>
              <w:rPr>
                <w:rFonts w:ascii="Arial" w:hAnsi="Arial"/>
                <w:b w:val="0"/>
                <w:sz w:val="12"/>
              </w:rPr>
              <w:t>Product documentation with data quality, lineage, and access control</w:t>
            </w:r>
          </w:p>
        </w:tc>
        <w:tc>
          <w:tcPr>
            <w:tcW w:type="dxa" w:w="1704"/>
          </w:tcPr>
          <w:p>
            <w:pPr>
              <w:spacing w:after="0"/>
            </w:pPr>
            <w:r>
              <w:rPr>
                <w:rFonts w:ascii="Arial" w:hAnsi="Arial"/>
                <w:b w:val="0"/>
                <w:sz w:val="12"/>
              </w:rPr>
              <w:t>Data quality checks, data lineage tracking, data access control</w:t>
            </w:r>
          </w:p>
        </w:tc>
        <w:tc>
          <w:tcPr>
            <w:tcW w:type="dxa" w:w="1704"/>
          </w:tcPr>
          <w:p>
            <w:pPr>
              <w:spacing w:after="0"/>
            </w:pPr>
            <w:r>
              <w:rPr>
                <w:rFonts w:ascii="Arial" w:hAnsi="Arial"/>
                <w:b w:val="0"/>
                <w:sz w:val="12"/>
              </w:rPr>
              <w:t>Data access control ≠ data retention or subject rights</w:t>
            </w:r>
          </w:p>
        </w:tc>
        <w:tc>
          <w:tcPr>
            <w:tcW w:type="dxa" w:w="1704"/>
          </w:tcPr>
          <w:p>
            <w:pPr>
              <w:spacing w:after="0"/>
            </w:pPr>
            <w:r>
              <w:rPr>
                <w:rFonts w:ascii="Arial" w:hAnsi="Arial"/>
                <w:b w:val="0"/>
                <w:sz w:val="12"/>
              </w:rPr>
              <w:t>Moderate coverage; retention and subject rights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data governance</w:t>
            </w:r>
          </w:p>
        </w:tc>
        <w:tc>
          <w:tcPr>
            <w:tcW w:type="dxa" w:w="1704"/>
          </w:tcPr>
          <w:p>
            <w:pPr>
              <w:spacing w:after="0"/>
            </w:pPr>
            <w:r>
              <w:rPr>
                <w:rFonts w:ascii="Arial" w:hAnsi="Arial"/>
                <w:b w:val="0"/>
                <w:sz w:val="12"/>
              </w:rPr>
              <w:t>Product documentation with data quality, lineage, access control, and retention</w:t>
            </w:r>
          </w:p>
        </w:tc>
        <w:tc>
          <w:tcPr>
            <w:tcW w:type="dxa" w:w="1704"/>
          </w:tcPr>
          <w:p>
            <w:pPr>
              <w:spacing w:after="0"/>
            </w:pPr>
            <w:r>
              <w:rPr>
                <w:rFonts w:ascii="Arial" w:hAnsi="Arial"/>
                <w:b w:val="0"/>
                <w:sz w:val="12"/>
              </w:rPr>
              <w:t>Data quality checks, data lineage tracking, data access control, data retention policies</w:t>
            </w:r>
          </w:p>
        </w:tc>
        <w:tc>
          <w:tcPr>
            <w:tcW w:type="dxa" w:w="1704"/>
          </w:tcPr>
          <w:p>
            <w:pPr>
              <w:spacing w:after="0"/>
            </w:pPr>
            <w:r>
              <w:rPr>
                <w:rFonts w:ascii="Arial" w:hAnsi="Arial"/>
                <w:b w:val="0"/>
                <w:sz w:val="12"/>
              </w:rPr>
              <w:t>Data retention ≠ data subject rights workflows</w:t>
            </w:r>
          </w:p>
        </w:tc>
        <w:tc>
          <w:tcPr>
            <w:tcW w:type="dxa" w:w="1704"/>
          </w:tcPr>
          <w:p>
            <w:pPr>
              <w:spacing w:after="0"/>
            </w:pPr>
            <w:r>
              <w:rPr>
                <w:rFonts w:ascii="Arial" w:hAnsi="Arial"/>
                <w:b w:val="0"/>
                <w:sz w:val="12"/>
              </w:rPr>
              <w:t>Strong coverage; subject rights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5 data governance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RCCS-03: Documentation</w:t>
      </w:r>
    </w:p>
    <w:p>
      <w:pPr>
        <w:spacing w:after="56"/>
      </w:pPr>
      <w:r>
        <w:t>Core question: Does the system provide primitives for AI system documentation including model cards, system cards, and technical documentation?</w:t>
      </w:r>
    </w:p>
    <w:p>
      <w:pPr>
        <w:spacing w:after="56"/>
      </w:pPr>
      <w:r>
        <w:t>What counts: Model cards, system cards, technical documentation, API documentation, deployment documentation</w:t>
      </w:r>
    </w:p>
    <w:p>
      <w:pPr>
        <w:spacing w:after="56"/>
      </w:pPr>
      <w:r>
        <w:t>What does not count: General software documentation, marketing materials, documentation without AI lifecycle integration</w:t>
      </w:r>
    </w:p>
    <w:p>
      <w:pPr>
        <w:keepNext/>
      </w:pPr>
      <w:r>
        <w:rPr>
          <w:b/>
          <w:sz w:val="16"/>
        </w:rPr>
        <w:t>Table T-E-03: RCCS-03 Documentation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documentation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model cards, no system cards, no technical documentation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documentation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documentation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Documentation mentioned in marketing docs but no implementation details</w:t>
            </w:r>
          </w:p>
        </w:tc>
        <w:tc>
          <w:tcPr>
            <w:tcW w:type="dxa" w:w="1704"/>
          </w:tcPr>
          <w:p>
            <w:pPr>
              <w:spacing w:after="0"/>
            </w:pPr>
            <w:r>
              <w:rPr>
                <w:rFonts w:ascii="Arial" w:hAnsi="Arial"/>
                <w:b w:val="0"/>
                <w:sz w:val="12"/>
              </w:rPr>
              <w:t>Documentation mentioned ≠ documentation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documentation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Model card template exists but no system card or deployment documentation</w:t>
            </w:r>
          </w:p>
        </w:tc>
        <w:tc>
          <w:tcPr>
            <w:tcW w:type="dxa" w:w="1704"/>
          </w:tcPr>
          <w:p>
            <w:pPr>
              <w:spacing w:after="0"/>
            </w:pPr>
            <w:r>
              <w:rPr>
                <w:rFonts w:ascii="Arial" w:hAnsi="Arial"/>
                <w:b w:val="0"/>
                <w:sz w:val="12"/>
              </w:rPr>
              <w:t>Model card ≠ system card or deployment documentation</w:t>
            </w:r>
          </w:p>
        </w:tc>
        <w:tc>
          <w:tcPr>
            <w:tcW w:type="dxa" w:w="1704"/>
          </w:tcPr>
          <w:p>
            <w:pPr>
              <w:spacing w:after="0"/>
            </w:pPr>
            <w:r>
              <w:rPr>
                <w:rFonts w:ascii="Arial" w:hAnsi="Arial"/>
                <w:b w:val="0"/>
                <w:sz w:val="12"/>
              </w:rPr>
              <w:t>Partial coverage; system card and deployment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documentation</w:t>
            </w:r>
          </w:p>
        </w:tc>
        <w:tc>
          <w:tcPr>
            <w:tcW w:type="dxa" w:w="1704"/>
          </w:tcPr>
          <w:p>
            <w:pPr>
              <w:spacing w:after="0"/>
            </w:pPr>
            <w:r>
              <w:rPr>
                <w:rFonts w:ascii="Arial" w:hAnsi="Arial"/>
                <w:b w:val="0"/>
                <w:sz w:val="12"/>
              </w:rPr>
              <w:t>Product documentation with model cards and system cards</w:t>
            </w:r>
          </w:p>
        </w:tc>
        <w:tc>
          <w:tcPr>
            <w:tcW w:type="dxa" w:w="1704"/>
          </w:tcPr>
          <w:p>
            <w:pPr>
              <w:spacing w:after="0"/>
            </w:pPr>
            <w:r>
              <w:rPr>
                <w:rFonts w:ascii="Arial" w:hAnsi="Arial"/>
                <w:b w:val="0"/>
                <w:sz w:val="12"/>
              </w:rPr>
              <w:t>Model card template, system card template, basic technical documentation</w:t>
            </w:r>
          </w:p>
        </w:tc>
        <w:tc>
          <w:tcPr>
            <w:tcW w:type="dxa" w:w="1704"/>
          </w:tcPr>
          <w:p>
            <w:pPr>
              <w:spacing w:after="0"/>
            </w:pPr>
            <w:r>
              <w:rPr>
                <w:rFonts w:ascii="Arial" w:hAnsi="Arial"/>
                <w:b w:val="0"/>
                <w:sz w:val="12"/>
              </w:rPr>
              <w:t>System card ≠ deployment documentation or API documentation</w:t>
            </w:r>
          </w:p>
        </w:tc>
        <w:tc>
          <w:tcPr>
            <w:tcW w:type="dxa" w:w="1704"/>
          </w:tcPr>
          <w:p>
            <w:pPr>
              <w:spacing w:after="0"/>
            </w:pPr>
            <w:r>
              <w:rPr>
                <w:rFonts w:ascii="Arial" w:hAnsi="Arial"/>
                <w:b w:val="0"/>
                <w:sz w:val="12"/>
              </w:rPr>
              <w:t>Moderate coverage; deployment and API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documentation</w:t>
            </w:r>
          </w:p>
        </w:tc>
        <w:tc>
          <w:tcPr>
            <w:tcW w:type="dxa" w:w="1704"/>
          </w:tcPr>
          <w:p>
            <w:pPr>
              <w:spacing w:after="0"/>
            </w:pPr>
            <w:r>
              <w:rPr>
                <w:rFonts w:ascii="Arial" w:hAnsi="Arial"/>
                <w:b w:val="0"/>
                <w:sz w:val="12"/>
              </w:rPr>
              <w:t>Product documentation with model cards, system cards, and technical documentation</w:t>
            </w:r>
          </w:p>
        </w:tc>
        <w:tc>
          <w:tcPr>
            <w:tcW w:type="dxa" w:w="1704"/>
          </w:tcPr>
          <w:p>
            <w:pPr>
              <w:spacing w:after="0"/>
            </w:pPr>
            <w:r>
              <w:rPr>
                <w:rFonts w:ascii="Arial" w:hAnsi="Arial"/>
                <w:b w:val="0"/>
                <w:sz w:val="12"/>
              </w:rPr>
              <w:t>Model card template, system card template, technical documentation, API documentation</w:t>
            </w:r>
          </w:p>
        </w:tc>
        <w:tc>
          <w:tcPr>
            <w:tcW w:type="dxa" w:w="1704"/>
          </w:tcPr>
          <w:p>
            <w:pPr>
              <w:spacing w:after="0"/>
            </w:pPr>
            <w:r>
              <w:rPr>
                <w:rFonts w:ascii="Arial" w:hAnsi="Arial"/>
                <w:b w:val="0"/>
                <w:sz w:val="12"/>
              </w:rPr>
              <w:t>API documentation ≠ deployment documentation or lifecycle documentation</w:t>
            </w:r>
          </w:p>
        </w:tc>
        <w:tc>
          <w:tcPr>
            <w:tcW w:type="dxa" w:w="1704"/>
          </w:tcPr>
          <w:p>
            <w:pPr>
              <w:spacing w:after="0"/>
            </w:pPr>
            <w:r>
              <w:rPr>
                <w:rFonts w:ascii="Arial" w:hAnsi="Arial"/>
                <w:b w:val="0"/>
                <w:sz w:val="12"/>
              </w:rPr>
              <w:t>Strong coverage; deployment and lifecycle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11 technical documentation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RCCS-04: Record-Keeping</w:t>
      </w:r>
    </w:p>
    <w:p>
      <w:pPr>
        <w:spacing w:after="56"/>
      </w:pPr>
      <w:r>
        <w:t>Core question: Does the system provide primitives for record-keeping including audit trails, logs, and evidence export?</w:t>
      </w:r>
    </w:p>
    <w:p>
      <w:pPr>
        <w:spacing w:after="56"/>
      </w:pPr>
      <w:r>
        <w:t>What counts: Audit trails, logs, evidence export capability, log retention policies, log integrity validation</w:t>
      </w:r>
    </w:p>
    <w:p>
      <w:pPr>
        <w:spacing w:after="56"/>
      </w:pPr>
      <w:r>
        <w:t>What does not count: General application logs, logs without lifecycle integration, logs without export capability</w:t>
      </w:r>
    </w:p>
    <w:p>
      <w:pPr>
        <w:keepNext/>
      </w:pPr>
      <w:r>
        <w:rPr>
          <w:b/>
          <w:sz w:val="16"/>
        </w:rPr>
        <w:t>Table T-E-04: RCCS-04 Record-Keeping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record-keeping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audit trails, no logs, no evidence export</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record-keeping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record-keeping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Record-keeping mentioned in marketing docs but no implementation details</w:t>
            </w:r>
          </w:p>
        </w:tc>
        <w:tc>
          <w:tcPr>
            <w:tcW w:type="dxa" w:w="1704"/>
          </w:tcPr>
          <w:p>
            <w:pPr>
              <w:spacing w:after="0"/>
            </w:pPr>
            <w:r>
              <w:rPr>
                <w:rFonts w:ascii="Arial" w:hAnsi="Arial"/>
                <w:b w:val="0"/>
                <w:sz w:val="12"/>
              </w:rPr>
              <w:t>Record-keeping mentioned ≠ record-keeping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record-keeping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Audit trails exist but no evidence export or retention policies</w:t>
            </w:r>
          </w:p>
        </w:tc>
        <w:tc>
          <w:tcPr>
            <w:tcW w:type="dxa" w:w="1704"/>
          </w:tcPr>
          <w:p>
            <w:pPr>
              <w:spacing w:after="0"/>
            </w:pPr>
            <w:r>
              <w:rPr>
                <w:rFonts w:ascii="Arial" w:hAnsi="Arial"/>
                <w:b w:val="0"/>
                <w:sz w:val="12"/>
              </w:rPr>
              <w:t>Audit trails ≠ evidence export or retention</w:t>
            </w:r>
          </w:p>
        </w:tc>
        <w:tc>
          <w:tcPr>
            <w:tcW w:type="dxa" w:w="1704"/>
          </w:tcPr>
          <w:p>
            <w:pPr>
              <w:spacing w:after="0"/>
            </w:pPr>
            <w:r>
              <w:rPr>
                <w:rFonts w:ascii="Arial" w:hAnsi="Arial"/>
                <w:b w:val="0"/>
                <w:sz w:val="12"/>
              </w:rPr>
              <w:t>Partial coverage; export and retention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record-keeping</w:t>
            </w:r>
          </w:p>
        </w:tc>
        <w:tc>
          <w:tcPr>
            <w:tcW w:type="dxa" w:w="1704"/>
          </w:tcPr>
          <w:p>
            <w:pPr>
              <w:spacing w:after="0"/>
            </w:pPr>
            <w:r>
              <w:rPr>
                <w:rFonts w:ascii="Arial" w:hAnsi="Arial"/>
                <w:b w:val="0"/>
                <w:sz w:val="12"/>
              </w:rPr>
              <w:t>Product documentation with audit trails and evidence export</w:t>
            </w:r>
          </w:p>
        </w:tc>
        <w:tc>
          <w:tcPr>
            <w:tcW w:type="dxa" w:w="1704"/>
          </w:tcPr>
          <w:p>
            <w:pPr>
              <w:spacing w:after="0"/>
            </w:pPr>
            <w:r>
              <w:rPr>
                <w:rFonts w:ascii="Arial" w:hAnsi="Arial"/>
                <w:b w:val="0"/>
                <w:sz w:val="12"/>
              </w:rPr>
              <w:t>Audit trails, evidence export capability, basic log retention policies</w:t>
            </w:r>
          </w:p>
        </w:tc>
        <w:tc>
          <w:tcPr>
            <w:tcW w:type="dxa" w:w="1704"/>
          </w:tcPr>
          <w:p>
            <w:pPr>
              <w:spacing w:after="0"/>
            </w:pPr>
            <w:r>
              <w:rPr>
                <w:rFonts w:ascii="Arial" w:hAnsi="Arial"/>
                <w:b w:val="0"/>
                <w:sz w:val="12"/>
              </w:rPr>
              <w:t>Evidence export ≠ log integrity validation or selective disclosure</w:t>
            </w:r>
          </w:p>
        </w:tc>
        <w:tc>
          <w:tcPr>
            <w:tcW w:type="dxa" w:w="1704"/>
          </w:tcPr>
          <w:p>
            <w:pPr>
              <w:spacing w:after="0"/>
            </w:pPr>
            <w:r>
              <w:rPr>
                <w:rFonts w:ascii="Arial" w:hAnsi="Arial"/>
                <w:b w:val="0"/>
                <w:sz w:val="12"/>
              </w:rPr>
              <w:t>Moderate coverage; integrity and disclosure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record-keeping</w:t>
            </w:r>
          </w:p>
        </w:tc>
        <w:tc>
          <w:tcPr>
            <w:tcW w:type="dxa" w:w="1704"/>
          </w:tcPr>
          <w:p>
            <w:pPr>
              <w:spacing w:after="0"/>
            </w:pPr>
            <w:r>
              <w:rPr>
                <w:rFonts w:ascii="Arial" w:hAnsi="Arial"/>
                <w:b w:val="0"/>
                <w:sz w:val="12"/>
              </w:rPr>
              <w:t>Product documentation with audit trails, evidence export, and retention</w:t>
            </w:r>
          </w:p>
        </w:tc>
        <w:tc>
          <w:tcPr>
            <w:tcW w:type="dxa" w:w="1704"/>
          </w:tcPr>
          <w:p>
            <w:pPr>
              <w:spacing w:after="0"/>
            </w:pPr>
            <w:r>
              <w:rPr>
                <w:rFonts w:ascii="Arial" w:hAnsi="Arial"/>
                <w:b w:val="0"/>
                <w:sz w:val="12"/>
              </w:rPr>
              <w:t>Audit trails, evidence export capability, log retention policies, log integrity validation</w:t>
            </w:r>
          </w:p>
        </w:tc>
        <w:tc>
          <w:tcPr>
            <w:tcW w:type="dxa" w:w="1704"/>
          </w:tcPr>
          <w:p>
            <w:pPr>
              <w:spacing w:after="0"/>
            </w:pPr>
            <w:r>
              <w:rPr>
                <w:rFonts w:ascii="Arial" w:hAnsi="Arial"/>
                <w:b w:val="0"/>
                <w:sz w:val="12"/>
              </w:rPr>
              <w:t>Log integrity ≠ selective disclosure or evidence minimization</w:t>
            </w:r>
          </w:p>
        </w:tc>
        <w:tc>
          <w:tcPr>
            <w:tcW w:type="dxa" w:w="1704"/>
          </w:tcPr>
          <w:p>
            <w:pPr>
              <w:spacing w:after="0"/>
            </w:pPr>
            <w:r>
              <w:rPr>
                <w:rFonts w:ascii="Arial" w:hAnsi="Arial"/>
                <w:b w:val="0"/>
                <w:sz w:val="12"/>
              </w:rPr>
              <w:t>Strong coverage; disclosure and minimization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12 record-keeping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RCCS-05: Transparency</w:t>
      </w:r>
    </w:p>
    <w:p>
      <w:pPr>
        <w:spacing w:after="56"/>
      </w:pPr>
      <w:r>
        <w:t>Core question: Does the system provide primitives for transparency including explainability, interpretability, and disclosure?</w:t>
      </w:r>
    </w:p>
    <w:p>
      <w:pPr>
        <w:spacing w:after="56"/>
      </w:pPr>
      <w:r>
        <w:t>What counts: Explainability tools, interpretability methods, disclosure mechanisms, transparency reports</w:t>
      </w:r>
    </w:p>
    <w:p>
      <w:pPr>
        <w:spacing w:after="56"/>
      </w:pPr>
      <w:r>
        <w:t>What does not count: General UI transparency, transparency without AI lifecycle integration, transparency without disclosure capability</w:t>
      </w:r>
    </w:p>
    <w:p>
      <w:pPr>
        <w:keepNext/>
      </w:pPr>
      <w:r>
        <w:rPr>
          <w:b/>
          <w:sz w:val="16"/>
        </w:rPr>
        <w:t>Table T-E-05: RCCS-05 Transparency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transparency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explainability, no interpretability, no disclosure</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transparency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transparency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Transparency mentioned in marketing docs but no implementation details</w:t>
            </w:r>
          </w:p>
        </w:tc>
        <w:tc>
          <w:tcPr>
            <w:tcW w:type="dxa" w:w="1704"/>
          </w:tcPr>
          <w:p>
            <w:pPr>
              <w:spacing w:after="0"/>
            </w:pPr>
            <w:r>
              <w:rPr>
                <w:rFonts w:ascii="Arial" w:hAnsi="Arial"/>
                <w:b w:val="0"/>
                <w:sz w:val="12"/>
              </w:rPr>
              <w:t>Transparency mentioned ≠ transparency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transparency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Explainability tools exist but no interpretability or disclosure mechanisms</w:t>
            </w:r>
          </w:p>
        </w:tc>
        <w:tc>
          <w:tcPr>
            <w:tcW w:type="dxa" w:w="1704"/>
          </w:tcPr>
          <w:p>
            <w:pPr>
              <w:spacing w:after="0"/>
            </w:pPr>
            <w:r>
              <w:rPr>
                <w:rFonts w:ascii="Arial" w:hAnsi="Arial"/>
                <w:b w:val="0"/>
                <w:sz w:val="12"/>
              </w:rPr>
              <w:t>Explainability ≠ interpretability or disclosure</w:t>
            </w:r>
          </w:p>
        </w:tc>
        <w:tc>
          <w:tcPr>
            <w:tcW w:type="dxa" w:w="1704"/>
          </w:tcPr>
          <w:p>
            <w:pPr>
              <w:spacing w:after="0"/>
            </w:pPr>
            <w:r>
              <w:rPr>
                <w:rFonts w:ascii="Arial" w:hAnsi="Arial"/>
                <w:b w:val="0"/>
                <w:sz w:val="12"/>
              </w:rPr>
              <w:t>Partial coverage; interpretability and disclosure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transparency</w:t>
            </w:r>
          </w:p>
        </w:tc>
        <w:tc>
          <w:tcPr>
            <w:tcW w:type="dxa" w:w="1704"/>
          </w:tcPr>
          <w:p>
            <w:pPr>
              <w:spacing w:after="0"/>
            </w:pPr>
            <w:r>
              <w:rPr>
                <w:rFonts w:ascii="Arial" w:hAnsi="Arial"/>
                <w:b w:val="0"/>
                <w:sz w:val="12"/>
              </w:rPr>
              <w:t>Product documentation with explainability and interpretability</w:t>
            </w:r>
          </w:p>
        </w:tc>
        <w:tc>
          <w:tcPr>
            <w:tcW w:type="dxa" w:w="1704"/>
          </w:tcPr>
          <w:p>
            <w:pPr>
              <w:spacing w:after="0"/>
            </w:pPr>
            <w:r>
              <w:rPr>
                <w:rFonts w:ascii="Arial" w:hAnsi="Arial"/>
                <w:b w:val="0"/>
                <w:sz w:val="12"/>
              </w:rPr>
              <w:t>Explainability tools, interpretability methods, basic disclosure mechanisms</w:t>
            </w:r>
          </w:p>
        </w:tc>
        <w:tc>
          <w:tcPr>
            <w:tcW w:type="dxa" w:w="1704"/>
          </w:tcPr>
          <w:p>
            <w:pPr>
              <w:spacing w:after="0"/>
            </w:pPr>
            <w:r>
              <w:rPr>
                <w:rFonts w:ascii="Arial" w:hAnsi="Arial"/>
                <w:b w:val="0"/>
                <w:sz w:val="12"/>
              </w:rPr>
              <w:t>Disclosure mechanisms ≠ transparency reports or selective disclosure</w:t>
            </w:r>
          </w:p>
        </w:tc>
        <w:tc>
          <w:tcPr>
            <w:tcW w:type="dxa" w:w="1704"/>
          </w:tcPr>
          <w:p>
            <w:pPr>
              <w:spacing w:after="0"/>
            </w:pPr>
            <w:r>
              <w:rPr>
                <w:rFonts w:ascii="Arial" w:hAnsi="Arial"/>
                <w:b w:val="0"/>
                <w:sz w:val="12"/>
              </w:rPr>
              <w:t>Moderate coverage; reporting and selective disclosure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transparency</w:t>
            </w:r>
          </w:p>
        </w:tc>
        <w:tc>
          <w:tcPr>
            <w:tcW w:type="dxa" w:w="1704"/>
          </w:tcPr>
          <w:p>
            <w:pPr>
              <w:spacing w:after="0"/>
            </w:pPr>
            <w:r>
              <w:rPr>
                <w:rFonts w:ascii="Arial" w:hAnsi="Arial"/>
                <w:b w:val="0"/>
                <w:sz w:val="12"/>
              </w:rPr>
              <w:t>Product documentation with explainability, interpretability, and disclosure</w:t>
            </w:r>
          </w:p>
        </w:tc>
        <w:tc>
          <w:tcPr>
            <w:tcW w:type="dxa" w:w="1704"/>
          </w:tcPr>
          <w:p>
            <w:pPr>
              <w:spacing w:after="0"/>
            </w:pPr>
            <w:r>
              <w:rPr>
                <w:rFonts w:ascii="Arial" w:hAnsi="Arial"/>
                <w:b w:val="0"/>
                <w:sz w:val="12"/>
              </w:rPr>
              <w:t>Explainability tools, interpretability methods, disclosure mechanisms, transparency reports</w:t>
            </w:r>
          </w:p>
        </w:tc>
        <w:tc>
          <w:tcPr>
            <w:tcW w:type="dxa" w:w="1704"/>
          </w:tcPr>
          <w:p>
            <w:pPr>
              <w:spacing w:after="0"/>
            </w:pPr>
            <w:r>
              <w:rPr>
                <w:rFonts w:ascii="Arial" w:hAnsi="Arial"/>
                <w:b w:val="0"/>
                <w:sz w:val="12"/>
              </w:rPr>
              <w:t>Transparency reports ≠ selective disclosure or evidence minimization</w:t>
            </w:r>
          </w:p>
        </w:tc>
        <w:tc>
          <w:tcPr>
            <w:tcW w:type="dxa" w:w="1704"/>
          </w:tcPr>
          <w:p>
            <w:pPr>
              <w:spacing w:after="0"/>
            </w:pPr>
            <w:r>
              <w:rPr>
                <w:rFonts w:ascii="Arial" w:hAnsi="Arial"/>
                <w:b w:val="0"/>
                <w:sz w:val="12"/>
              </w:rPr>
              <w:t>Strong coverage; selective disclosure and minimization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13 transparency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RCCS-06: Human Oversight</w:t>
      </w:r>
    </w:p>
    <w:p>
      <w:pPr>
        <w:spacing w:after="56"/>
      </w:pPr>
      <w:r>
        <w:t>Core question: Does the system provide primitives for human oversight including human-in-the-loop, human-on-the-loop, and human review workflows?</w:t>
      </w:r>
    </w:p>
    <w:p>
      <w:pPr>
        <w:spacing w:after="56"/>
      </w:pPr>
      <w:r>
        <w:t>What counts: Human-in-the-loop workflows, human-on-the-loop monitoring, human review workflows, escalation mechanisms</w:t>
      </w:r>
    </w:p>
    <w:p>
      <w:pPr>
        <w:spacing w:after="56"/>
      </w:pPr>
      <w:r>
        <w:t>What does not count: General approval buttons, human oversight without lifecycle integration, human oversight without accountability mapping</w:t>
      </w:r>
    </w:p>
    <w:p>
      <w:pPr>
        <w:keepNext/>
      </w:pPr>
      <w:r>
        <w:rPr>
          <w:b/>
          <w:sz w:val="16"/>
        </w:rPr>
        <w:t>Table T-E-06: RCCS-06 Human Oversight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human oversight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human-in-the-loop, no human-on-the-loop, no human review</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human oversight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human oversight</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Human oversight mentioned in marketing docs but no implementation details</w:t>
            </w:r>
          </w:p>
        </w:tc>
        <w:tc>
          <w:tcPr>
            <w:tcW w:type="dxa" w:w="1704"/>
          </w:tcPr>
          <w:p>
            <w:pPr>
              <w:spacing w:after="0"/>
            </w:pPr>
            <w:r>
              <w:rPr>
                <w:rFonts w:ascii="Arial" w:hAnsi="Arial"/>
                <w:b w:val="0"/>
                <w:sz w:val="12"/>
              </w:rPr>
              <w:t>Human oversight mentioned ≠ human oversight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human oversight</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Approval button exists but no human-role-to-MAS responsibility mapping or escalation</w:t>
            </w:r>
          </w:p>
        </w:tc>
        <w:tc>
          <w:tcPr>
            <w:tcW w:type="dxa" w:w="1704"/>
          </w:tcPr>
          <w:p>
            <w:pPr>
              <w:spacing w:after="0"/>
            </w:pPr>
            <w:r>
              <w:rPr>
                <w:rFonts w:ascii="Arial" w:hAnsi="Arial"/>
                <w:b w:val="0"/>
                <w:sz w:val="12"/>
              </w:rPr>
              <w:t>Approval button ≠ human-role-to-MAS responsibility mapping</w:t>
            </w:r>
          </w:p>
        </w:tc>
        <w:tc>
          <w:tcPr>
            <w:tcW w:type="dxa" w:w="1704"/>
          </w:tcPr>
          <w:p>
            <w:pPr>
              <w:spacing w:after="0"/>
            </w:pPr>
            <w:r>
              <w:rPr>
                <w:rFonts w:ascii="Arial" w:hAnsi="Arial"/>
                <w:b w:val="0"/>
                <w:sz w:val="12"/>
              </w:rPr>
              <w:t>Partial coverage; responsibility mapping and escalation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human oversight</w:t>
            </w:r>
          </w:p>
        </w:tc>
        <w:tc>
          <w:tcPr>
            <w:tcW w:type="dxa" w:w="1704"/>
          </w:tcPr>
          <w:p>
            <w:pPr>
              <w:spacing w:after="0"/>
            </w:pPr>
            <w:r>
              <w:rPr>
                <w:rFonts w:ascii="Arial" w:hAnsi="Arial"/>
                <w:b w:val="0"/>
                <w:sz w:val="12"/>
              </w:rPr>
              <w:t>Product documentation with human-in-the-loop and human-on-the-loop</w:t>
            </w:r>
          </w:p>
        </w:tc>
        <w:tc>
          <w:tcPr>
            <w:tcW w:type="dxa" w:w="1704"/>
          </w:tcPr>
          <w:p>
            <w:pPr>
              <w:spacing w:after="0"/>
            </w:pPr>
            <w:r>
              <w:rPr>
                <w:rFonts w:ascii="Arial" w:hAnsi="Arial"/>
                <w:b w:val="0"/>
                <w:sz w:val="12"/>
              </w:rPr>
              <w:t>Human-in-the-loop workflows, human-on-the-loop monitoring, basic human review workflows</w:t>
            </w:r>
          </w:p>
        </w:tc>
        <w:tc>
          <w:tcPr>
            <w:tcW w:type="dxa" w:w="1704"/>
          </w:tcPr>
          <w:p>
            <w:pPr>
              <w:spacing w:after="0"/>
            </w:pPr>
            <w:r>
              <w:rPr>
                <w:rFonts w:ascii="Arial" w:hAnsi="Arial"/>
                <w:b w:val="0"/>
                <w:sz w:val="12"/>
              </w:rPr>
              <w:t>Human review ≠ escalation mechanisms or accountability mapping</w:t>
            </w:r>
          </w:p>
        </w:tc>
        <w:tc>
          <w:tcPr>
            <w:tcW w:type="dxa" w:w="1704"/>
          </w:tcPr>
          <w:p>
            <w:pPr>
              <w:spacing w:after="0"/>
            </w:pPr>
            <w:r>
              <w:rPr>
                <w:rFonts w:ascii="Arial" w:hAnsi="Arial"/>
                <w:b w:val="0"/>
                <w:sz w:val="12"/>
              </w:rPr>
              <w:t>Moderate coverage; escalation and accountability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human oversight</w:t>
            </w:r>
          </w:p>
        </w:tc>
        <w:tc>
          <w:tcPr>
            <w:tcW w:type="dxa" w:w="1704"/>
          </w:tcPr>
          <w:p>
            <w:pPr>
              <w:spacing w:after="0"/>
            </w:pPr>
            <w:r>
              <w:rPr>
                <w:rFonts w:ascii="Arial" w:hAnsi="Arial"/>
                <w:b w:val="0"/>
                <w:sz w:val="12"/>
              </w:rPr>
              <w:t>Product documentation with human-in-the-loop, human-on-the-loop, and escalation</w:t>
            </w:r>
          </w:p>
        </w:tc>
        <w:tc>
          <w:tcPr>
            <w:tcW w:type="dxa" w:w="1704"/>
          </w:tcPr>
          <w:p>
            <w:pPr>
              <w:spacing w:after="0"/>
            </w:pPr>
            <w:r>
              <w:rPr>
                <w:rFonts w:ascii="Arial" w:hAnsi="Arial"/>
                <w:b w:val="0"/>
                <w:sz w:val="12"/>
              </w:rPr>
              <w:t>Human-in-the-loop workflows, human-on-the-loop monitoring, human review workflows, escalation mechanisms</w:t>
            </w:r>
          </w:p>
        </w:tc>
        <w:tc>
          <w:tcPr>
            <w:tcW w:type="dxa" w:w="1704"/>
          </w:tcPr>
          <w:p>
            <w:pPr>
              <w:spacing w:after="0"/>
            </w:pPr>
            <w:r>
              <w:rPr>
                <w:rFonts w:ascii="Arial" w:hAnsi="Arial"/>
                <w:b w:val="0"/>
                <w:sz w:val="12"/>
              </w:rPr>
              <w:t>Escalation mechanisms ≠ accountability mapping or accepted outcome compliance</w:t>
            </w:r>
          </w:p>
        </w:tc>
        <w:tc>
          <w:tcPr>
            <w:tcW w:type="dxa" w:w="1704"/>
          </w:tcPr>
          <w:p>
            <w:pPr>
              <w:spacing w:after="0"/>
            </w:pPr>
            <w:r>
              <w:rPr>
                <w:rFonts w:ascii="Arial" w:hAnsi="Arial"/>
                <w:b w:val="0"/>
                <w:sz w:val="12"/>
              </w:rPr>
              <w:t>Strong coverage; accountability and accepted outcome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RCCS-07: Security</w:t>
      </w:r>
    </w:p>
    <w:p>
      <w:pPr>
        <w:spacing w:after="56"/>
      </w:pPr>
      <w:r>
        <w:t>Core question: Does the system provide primitives for security including access control, authentication, authorization, and security monitoring?</w:t>
      </w:r>
    </w:p>
    <w:p>
      <w:pPr>
        <w:spacing w:after="56"/>
      </w:pPr>
      <w:r>
        <w:t>What counts: Access control, authentication, authorization, security monitoring, security incident response</w:t>
      </w:r>
    </w:p>
    <w:p>
      <w:pPr>
        <w:spacing w:after="56"/>
      </w:pPr>
      <w:r>
        <w:t>What does not count: General application security, security without AI lifecycle integration, security without lifecycle evidence</w:t>
      </w:r>
    </w:p>
    <w:p>
      <w:pPr>
        <w:keepNext/>
      </w:pPr>
      <w:r>
        <w:rPr>
          <w:b/>
          <w:sz w:val="16"/>
        </w:rPr>
        <w:t>Table T-E-07: RCCS-07 Security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security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access control, no authentication, no authorization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security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security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Security mentioned in marketing docs but no implementation details</w:t>
            </w:r>
          </w:p>
        </w:tc>
        <w:tc>
          <w:tcPr>
            <w:tcW w:type="dxa" w:w="1704"/>
          </w:tcPr>
          <w:p>
            <w:pPr>
              <w:spacing w:after="0"/>
            </w:pPr>
            <w:r>
              <w:rPr>
                <w:rFonts w:ascii="Arial" w:hAnsi="Arial"/>
                <w:b w:val="0"/>
                <w:sz w:val="12"/>
              </w:rPr>
              <w:t>Security mentioned ≠ security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security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Access control exists but no authentication or authorization for AI lifecycle</w:t>
            </w:r>
          </w:p>
        </w:tc>
        <w:tc>
          <w:tcPr>
            <w:tcW w:type="dxa" w:w="1704"/>
          </w:tcPr>
          <w:p>
            <w:pPr>
              <w:spacing w:after="0"/>
            </w:pPr>
            <w:r>
              <w:rPr>
                <w:rFonts w:ascii="Arial" w:hAnsi="Arial"/>
                <w:b w:val="0"/>
                <w:sz w:val="12"/>
              </w:rPr>
              <w:t>Access control ≠ authentication or authorization</w:t>
            </w:r>
          </w:p>
        </w:tc>
        <w:tc>
          <w:tcPr>
            <w:tcW w:type="dxa" w:w="1704"/>
          </w:tcPr>
          <w:p>
            <w:pPr>
              <w:spacing w:after="0"/>
            </w:pPr>
            <w:r>
              <w:rPr>
                <w:rFonts w:ascii="Arial" w:hAnsi="Arial"/>
                <w:b w:val="0"/>
                <w:sz w:val="12"/>
              </w:rPr>
              <w:t>Partial coverage; authentication and authorization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security</w:t>
            </w:r>
          </w:p>
        </w:tc>
        <w:tc>
          <w:tcPr>
            <w:tcW w:type="dxa" w:w="1704"/>
          </w:tcPr>
          <w:p>
            <w:pPr>
              <w:spacing w:after="0"/>
            </w:pPr>
            <w:r>
              <w:rPr>
                <w:rFonts w:ascii="Arial" w:hAnsi="Arial"/>
                <w:b w:val="0"/>
                <w:sz w:val="12"/>
              </w:rPr>
              <w:t>Product documentation with access control, authentication, and authorization</w:t>
            </w:r>
          </w:p>
        </w:tc>
        <w:tc>
          <w:tcPr>
            <w:tcW w:type="dxa" w:w="1704"/>
          </w:tcPr>
          <w:p>
            <w:pPr>
              <w:spacing w:after="0"/>
            </w:pPr>
            <w:r>
              <w:rPr>
                <w:rFonts w:ascii="Arial" w:hAnsi="Arial"/>
                <w:b w:val="0"/>
                <w:sz w:val="12"/>
              </w:rPr>
              <w:t>Access control, authentication, authorization, basic security monitoring</w:t>
            </w:r>
          </w:p>
        </w:tc>
        <w:tc>
          <w:tcPr>
            <w:tcW w:type="dxa" w:w="1704"/>
          </w:tcPr>
          <w:p>
            <w:pPr>
              <w:spacing w:after="0"/>
            </w:pPr>
            <w:r>
              <w:rPr>
                <w:rFonts w:ascii="Arial" w:hAnsi="Arial"/>
                <w:b w:val="0"/>
                <w:sz w:val="12"/>
              </w:rPr>
              <w:t>Security monitoring ≠ security incident response or lifecycle evidence</w:t>
            </w:r>
          </w:p>
        </w:tc>
        <w:tc>
          <w:tcPr>
            <w:tcW w:type="dxa" w:w="1704"/>
          </w:tcPr>
          <w:p>
            <w:pPr>
              <w:spacing w:after="0"/>
            </w:pPr>
            <w:r>
              <w:rPr>
                <w:rFonts w:ascii="Arial" w:hAnsi="Arial"/>
                <w:b w:val="0"/>
                <w:sz w:val="12"/>
              </w:rPr>
              <w:t>Moderate coverage; incident response and lifecycle evidence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security</w:t>
            </w:r>
          </w:p>
        </w:tc>
        <w:tc>
          <w:tcPr>
            <w:tcW w:type="dxa" w:w="1704"/>
          </w:tcPr>
          <w:p>
            <w:pPr>
              <w:spacing w:after="0"/>
            </w:pPr>
            <w:r>
              <w:rPr>
                <w:rFonts w:ascii="Arial" w:hAnsi="Arial"/>
                <w:b w:val="0"/>
                <w:sz w:val="12"/>
              </w:rPr>
              <w:t>Product documentation with access control, authentication, authorization, and monitoring</w:t>
            </w:r>
          </w:p>
        </w:tc>
        <w:tc>
          <w:tcPr>
            <w:tcW w:type="dxa" w:w="1704"/>
          </w:tcPr>
          <w:p>
            <w:pPr>
              <w:spacing w:after="0"/>
            </w:pPr>
            <w:r>
              <w:rPr>
                <w:rFonts w:ascii="Arial" w:hAnsi="Arial"/>
                <w:b w:val="0"/>
                <w:sz w:val="12"/>
              </w:rPr>
              <w:t>Access control, authentication, authorization, security monitoring, security incident response</w:t>
            </w:r>
          </w:p>
        </w:tc>
        <w:tc>
          <w:tcPr>
            <w:tcW w:type="dxa" w:w="1704"/>
          </w:tcPr>
          <w:p>
            <w:pPr>
              <w:spacing w:after="0"/>
            </w:pPr>
            <w:r>
              <w:rPr>
                <w:rFonts w:ascii="Arial" w:hAnsi="Arial"/>
                <w:b w:val="0"/>
                <w:sz w:val="12"/>
              </w:rPr>
              <w:t>Security incident response ≠ lifecycle evidence or delegated authority boundary</w:t>
            </w:r>
          </w:p>
        </w:tc>
        <w:tc>
          <w:tcPr>
            <w:tcW w:type="dxa" w:w="1704"/>
          </w:tcPr>
          <w:p>
            <w:pPr>
              <w:spacing w:after="0"/>
            </w:pPr>
            <w:r>
              <w:rPr>
                <w:rFonts w:ascii="Arial" w:hAnsi="Arial"/>
                <w:b w:val="0"/>
                <w:sz w:val="12"/>
              </w:rPr>
              <w:t>Strong coverage; lifecycle evidence and authority boundary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Baseline source: NIST AI RMF security requirements; implementation evidence: audit report, operational artifact, protocol evidence, or validated workflow record</w:t>
            </w:r>
          </w:p>
        </w:tc>
        <w:tc>
          <w:tcPr>
            <w:tcW w:type="dxa" w:w="1704"/>
          </w:tcPr>
          <w:p>
            <w:pPr>
              <w:spacing w:after="0"/>
            </w:pPr>
            <w:r>
              <w:rPr>
                <w:rFonts w:ascii="Arial" w:hAnsi="Arial"/>
                <w:b w:val="0"/>
                <w:sz w:val="12"/>
              </w:rPr>
              <w:t>Legal or standards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RCCS-08: Accountability</w:t>
      </w:r>
    </w:p>
    <w:p>
      <w:pPr>
        <w:spacing w:after="56"/>
      </w:pPr>
      <w:r>
        <w:t>Core question: Does the system provide primitives for accountability including role assignment, responsibility mapping, and accountability tracking?</w:t>
      </w:r>
    </w:p>
    <w:p>
      <w:pPr>
        <w:spacing w:after="56"/>
      </w:pPr>
      <w:r>
        <w:t>What counts: Role assignment, responsibility mapping, accountability tracking, accountability escalation</w:t>
      </w:r>
    </w:p>
    <w:p>
      <w:pPr>
        <w:spacing w:after="56"/>
      </w:pPr>
      <w:r>
        <w:t>What does not count: General user management, accountability without lifecycle integration, accountability without accepted outcome compliance</w:t>
      </w:r>
    </w:p>
    <w:p>
      <w:pPr>
        <w:keepNext/>
      </w:pPr>
      <w:r>
        <w:rPr>
          <w:b/>
          <w:sz w:val="16"/>
        </w:rPr>
        <w:t>Table T-E-08: RCCS-08 Accountability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accountability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role assignment, no responsibility mapping, no accountability tracking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accountability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accountability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Accountability mentioned in marketing docs but no implementation details</w:t>
            </w:r>
          </w:p>
        </w:tc>
        <w:tc>
          <w:tcPr>
            <w:tcW w:type="dxa" w:w="1704"/>
          </w:tcPr>
          <w:p>
            <w:pPr>
              <w:spacing w:after="0"/>
            </w:pPr>
            <w:r>
              <w:rPr>
                <w:rFonts w:ascii="Arial" w:hAnsi="Arial"/>
                <w:b w:val="0"/>
                <w:sz w:val="12"/>
              </w:rPr>
              <w:t>Accountability mentioned ≠ accountability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accountability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Role assignment exists but no responsibility mapping or accountability tracking</w:t>
            </w:r>
          </w:p>
        </w:tc>
        <w:tc>
          <w:tcPr>
            <w:tcW w:type="dxa" w:w="1704"/>
          </w:tcPr>
          <w:p>
            <w:pPr>
              <w:spacing w:after="0"/>
            </w:pPr>
            <w:r>
              <w:rPr>
                <w:rFonts w:ascii="Arial" w:hAnsi="Arial"/>
                <w:b w:val="0"/>
                <w:sz w:val="12"/>
              </w:rPr>
              <w:t>Role assignment ≠ responsibility mapping or accountability tracking</w:t>
            </w:r>
          </w:p>
        </w:tc>
        <w:tc>
          <w:tcPr>
            <w:tcW w:type="dxa" w:w="1704"/>
          </w:tcPr>
          <w:p>
            <w:pPr>
              <w:spacing w:after="0"/>
            </w:pPr>
            <w:r>
              <w:rPr>
                <w:rFonts w:ascii="Arial" w:hAnsi="Arial"/>
                <w:b w:val="0"/>
                <w:sz w:val="12"/>
              </w:rPr>
              <w:t>Partial coverage; responsibility mapping and tracking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accountability</w:t>
            </w:r>
          </w:p>
        </w:tc>
        <w:tc>
          <w:tcPr>
            <w:tcW w:type="dxa" w:w="1704"/>
          </w:tcPr>
          <w:p>
            <w:pPr>
              <w:spacing w:after="0"/>
            </w:pPr>
            <w:r>
              <w:rPr>
                <w:rFonts w:ascii="Arial" w:hAnsi="Arial"/>
                <w:b w:val="0"/>
                <w:sz w:val="12"/>
              </w:rPr>
              <w:t>Product documentation with role assignment and responsibility mapping</w:t>
            </w:r>
          </w:p>
        </w:tc>
        <w:tc>
          <w:tcPr>
            <w:tcW w:type="dxa" w:w="1704"/>
          </w:tcPr>
          <w:p>
            <w:pPr>
              <w:spacing w:after="0"/>
            </w:pPr>
            <w:r>
              <w:rPr>
                <w:rFonts w:ascii="Arial" w:hAnsi="Arial"/>
                <w:b w:val="0"/>
                <w:sz w:val="12"/>
              </w:rPr>
              <w:t>Role assignment, responsibility mapping, basic accountability tracking</w:t>
            </w:r>
          </w:p>
        </w:tc>
        <w:tc>
          <w:tcPr>
            <w:tcW w:type="dxa" w:w="1704"/>
          </w:tcPr>
          <w:p>
            <w:pPr>
              <w:spacing w:after="0"/>
            </w:pPr>
            <w:r>
              <w:rPr>
                <w:rFonts w:ascii="Arial" w:hAnsi="Arial"/>
                <w:b w:val="0"/>
                <w:sz w:val="12"/>
              </w:rPr>
              <w:t>Accountability tracking ≠ accountability escalation or accepted outcome compliance</w:t>
            </w:r>
          </w:p>
        </w:tc>
        <w:tc>
          <w:tcPr>
            <w:tcW w:type="dxa" w:w="1704"/>
          </w:tcPr>
          <w:p>
            <w:pPr>
              <w:spacing w:after="0"/>
            </w:pPr>
            <w:r>
              <w:rPr>
                <w:rFonts w:ascii="Arial" w:hAnsi="Arial"/>
                <w:b w:val="0"/>
                <w:sz w:val="12"/>
              </w:rPr>
              <w:t>Moderate coverage; escalation and accepted outcome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accountability</w:t>
            </w:r>
          </w:p>
        </w:tc>
        <w:tc>
          <w:tcPr>
            <w:tcW w:type="dxa" w:w="1704"/>
          </w:tcPr>
          <w:p>
            <w:pPr>
              <w:spacing w:after="0"/>
            </w:pPr>
            <w:r>
              <w:rPr>
                <w:rFonts w:ascii="Arial" w:hAnsi="Arial"/>
                <w:b w:val="0"/>
                <w:sz w:val="12"/>
              </w:rPr>
              <w:t>Product documentation with role assignment, responsibility mapping, and tracking</w:t>
            </w:r>
          </w:p>
        </w:tc>
        <w:tc>
          <w:tcPr>
            <w:tcW w:type="dxa" w:w="1704"/>
          </w:tcPr>
          <w:p>
            <w:pPr>
              <w:spacing w:after="0"/>
            </w:pPr>
            <w:r>
              <w:rPr>
                <w:rFonts w:ascii="Arial" w:hAnsi="Arial"/>
                <w:b w:val="0"/>
                <w:sz w:val="12"/>
              </w:rPr>
              <w:t>Role assignment, responsibility mapping, accountability tracking, accountability escalation</w:t>
            </w:r>
          </w:p>
        </w:tc>
        <w:tc>
          <w:tcPr>
            <w:tcW w:type="dxa" w:w="1704"/>
          </w:tcPr>
          <w:p>
            <w:pPr>
              <w:spacing w:after="0"/>
            </w:pPr>
            <w:r>
              <w:rPr>
                <w:rFonts w:ascii="Arial" w:hAnsi="Arial"/>
                <w:b w:val="0"/>
                <w:sz w:val="12"/>
              </w:rPr>
              <w:t>Accountability escalation ≠ accepted outcome compliance or human-role-to-MAS mapping</w:t>
            </w:r>
          </w:p>
        </w:tc>
        <w:tc>
          <w:tcPr>
            <w:tcW w:type="dxa" w:w="1704"/>
          </w:tcPr>
          <w:p>
            <w:pPr>
              <w:spacing w:after="0"/>
            </w:pPr>
            <w:r>
              <w:rPr>
                <w:rFonts w:ascii="Arial" w:hAnsi="Arial"/>
                <w:b w:val="0"/>
                <w:sz w:val="12"/>
              </w:rPr>
              <w:t>Strong coverage; accepted outcome and human-role-to-MAS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26 accountability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RCCS-09: Contestability</w:t>
      </w:r>
    </w:p>
    <w:p>
      <w:pPr>
        <w:spacing w:after="56"/>
      </w:pPr>
      <w:r>
        <w:t>Core question: Does the system provide primitives for contestability including dispute resolution, appeal mechanisms, and remediation workflows?</w:t>
      </w:r>
    </w:p>
    <w:p>
      <w:pPr>
        <w:spacing w:after="56"/>
      </w:pPr>
      <w:r>
        <w:t>What counts: Dispute resolution workflows, appeal mechanisms, remediation workflows, contestability tracking</w:t>
      </w:r>
    </w:p>
    <w:p>
      <w:pPr>
        <w:spacing w:after="56"/>
      </w:pPr>
      <w:r>
        <w:t>What does not count: General customer support, contestability without lifecycle integration, contestability without remediation closure</w:t>
      </w:r>
    </w:p>
    <w:p>
      <w:pPr>
        <w:keepNext/>
      </w:pPr>
      <w:r>
        <w:rPr>
          <w:b/>
          <w:sz w:val="16"/>
        </w:rPr>
        <w:t>Table T-E-09: RCCS-09 Contestability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contestability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dispute resolution, no appeal mechanisms, no remediation workflows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contestability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contestability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Contestability mentioned in marketing docs but no implementation details</w:t>
            </w:r>
          </w:p>
        </w:tc>
        <w:tc>
          <w:tcPr>
            <w:tcW w:type="dxa" w:w="1704"/>
          </w:tcPr>
          <w:p>
            <w:pPr>
              <w:spacing w:after="0"/>
            </w:pPr>
            <w:r>
              <w:rPr>
                <w:rFonts w:ascii="Arial" w:hAnsi="Arial"/>
                <w:b w:val="0"/>
                <w:sz w:val="12"/>
              </w:rPr>
              <w:t>Contestability mentioned ≠ contestability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contestability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Dispute resolution workflow exists but no appeal mechanisms or remediation workflows</w:t>
            </w:r>
          </w:p>
        </w:tc>
        <w:tc>
          <w:tcPr>
            <w:tcW w:type="dxa" w:w="1704"/>
          </w:tcPr>
          <w:p>
            <w:pPr>
              <w:spacing w:after="0"/>
            </w:pPr>
            <w:r>
              <w:rPr>
                <w:rFonts w:ascii="Arial" w:hAnsi="Arial"/>
                <w:b w:val="0"/>
                <w:sz w:val="12"/>
              </w:rPr>
              <w:t>Dispute resolution ≠ appeal mechanisms or remediation workflows</w:t>
            </w:r>
          </w:p>
        </w:tc>
        <w:tc>
          <w:tcPr>
            <w:tcW w:type="dxa" w:w="1704"/>
          </w:tcPr>
          <w:p>
            <w:pPr>
              <w:spacing w:after="0"/>
            </w:pPr>
            <w:r>
              <w:rPr>
                <w:rFonts w:ascii="Arial" w:hAnsi="Arial"/>
                <w:b w:val="0"/>
                <w:sz w:val="12"/>
              </w:rPr>
              <w:t>Partial coverage; appeal and remediation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contestability</w:t>
            </w:r>
          </w:p>
        </w:tc>
        <w:tc>
          <w:tcPr>
            <w:tcW w:type="dxa" w:w="1704"/>
          </w:tcPr>
          <w:p>
            <w:pPr>
              <w:spacing w:after="0"/>
            </w:pPr>
            <w:r>
              <w:rPr>
                <w:rFonts w:ascii="Arial" w:hAnsi="Arial"/>
                <w:b w:val="0"/>
                <w:sz w:val="12"/>
              </w:rPr>
              <w:t>Product documentation with dispute resolution and appeal mechanisms</w:t>
            </w:r>
          </w:p>
        </w:tc>
        <w:tc>
          <w:tcPr>
            <w:tcW w:type="dxa" w:w="1704"/>
          </w:tcPr>
          <w:p>
            <w:pPr>
              <w:spacing w:after="0"/>
            </w:pPr>
            <w:r>
              <w:rPr>
                <w:rFonts w:ascii="Arial" w:hAnsi="Arial"/>
                <w:b w:val="0"/>
                <w:sz w:val="12"/>
              </w:rPr>
              <w:t>Dispute resolution workflows, appeal mechanisms, basic remediation workflows</w:t>
            </w:r>
          </w:p>
        </w:tc>
        <w:tc>
          <w:tcPr>
            <w:tcW w:type="dxa" w:w="1704"/>
          </w:tcPr>
          <w:p>
            <w:pPr>
              <w:spacing w:after="0"/>
            </w:pPr>
            <w:r>
              <w:rPr>
                <w:rFonts w:ascii="Arial" w:hAnsi="Arial"/>
                <w:b w:val="0"/>
                <w:sz w:val="12"/>
              </w:rPr>
              <w:t>Remediation workflows ≠ remediation closure or contestability tracking</w:t>
            </w:r>
          </w:p>
        </w:tc>
        <w:tc>
          <w:tcPr>
            <w:tcW w:type="dxa" w:w="1704"/>
          </w:tcPr>
          <w:p>
            <w:pPr>
              <w:spacing w:after="0"/>
            </w:pPr>
            <w:r>
              <w:rPr>
                <w:rFonts w:ascii="Arial" w:hAnsi="Arial"/>
                <w:b w:val="0"/>
                <w:sz w:val="12"/>
              </w:rPr>
              <w:t>Moderate coverage; closure and tracking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contestability</w:t>
            </w:r>
          </w:p>
        </w:tc>
        <w:tc>
          <w:tcPr>
            <w:tcW w:type="dxa" w:w="1704"/>
          </w:tcPr>
          <w:p>
            <w:pPr>
              <w:spacing w:after="0"/>
            </w:pPr>
            <w:r>
              <w:rPr>
                <w:rFonts w:ascii="Arial" w:hAnsi="Arial"/>
                <w:b w:val="0"/>
                <w:sz w:val="12"/>
              </w:rPr>
              <w:t>Product documentation with dispute resolution, appeal, and remediation</w:t>
            </w:r>
          </w:p>
        </w:tc>
        <w:tc>
          <w:tcPr>
            <w:tcW w:type="dxa" w:w="1704"/>
          </w:tcPr>
          <w:p>
            <w:pPr>
              <w:spacing w:after="0"/>
            </w:pPr>
            <w:r>
              <w:rPr>
                <w:rFonts w:ascii="Arial" w:hAnsi="Arial"/>
                <w:b w:val="0"/>
                <w:sz w:val="12"/>
              </w:rPr>
              <w:t>Dispute resolution workflows, appeal mechanisms, remediation workflows, contestability tracking</w:t>
            </w:r>
          </w:p>
        </w:tc>
        <w:tc>
          <w:tcPr>
            <w:tcW w:type="dxa" w:w="1704"/>
          </w:tcPr>
          <w:p>
            <w:pPr>
              <w:spacing w:after="0"/>
            </w:pPr>
            <w:r>
              <w:rPr>
                <w:rFonts w:ascii="Arial" w:hAnsi="Arial"/>
                <w:b w:val="0"/>
                <w:sz w:val="12"/>
              </w:rPr>
              <w:t>Contestability tracking ≠ remediation closure or incident/dispute/remediation closure</w:t>
            </w:r>
          </w:p>
        </w:tc>
        <w:tc>
          <w:tcPr>
            <w:tcW w:type="dxa" w:w="1704"/>
          </w:tcPr>
          <w:p>
            <w:pPr>
              <w:spacing w:after="0"/>
            </w:pPr>
            <w:r>
              <w:rPr>
                <w:rFonts w:ascii="Arial" w:hAnsi="Arial"/>
                <w:b w:val="0"/>
                <w:sz w:val="12"/>
              </w:rPr>
              <w:t>Strong coverage; closure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22 right to contest automated decision-making;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RCCS-10: Monitoring</w:t>
      </w:r>
    </w:p>
    <w:p>
      <w:pPr>
        <w:spacing w:after="56"/>
      </w:pPr>
      <w:r>
        <w:t>Core question: Does the system provide primitives for monitoring including performance monitoring, drift detection, and continuous improvement?</w:t>
      </w:r>
    </w:p>
    <w:p>
      <w:pPr>
        <w:spacing w:after="56"/>
      </w:pPr>
      <w:r>
        <w:t>What counts: Performance monitoring, drift detection, continuous improvement workflows, monitoring dashboards</w:t>
      </w:r>
    </w:p>
    <w:p>
      <w:pPr>
        <w:spacing w:after="56"/>
      </w:pPr>
      <w:r>
        <w:t>What does not count: General application monitoring, monitoring without AI lifecycle integration, monitoring without drift detection</w:t>
      </w:r>
    </w:p>
    <w:p>
      <w:pPr>
        <w:keepNext/>
      </w:pPr>
      <w:r>
        <w:rPr>
          <w:b/>
          <w:sz w:val="16"/>
        </w:rPr>
        <w:t>Table T-E-10: RCCS-10 Monitoring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monitoring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performance monitoring, no drift detection, no continuous improvement</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monitoring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monitoring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Monitoring mentioned in marketing docs but no implementation details</w:t>
            </w:r>
          </w:p>
        </w:tc>
        <w:tc>
          <w:tcPr>
            <w:tcW w:type="dxa" w:w="1704"/>
          </w:tcPr>
          <w:p>
            <w:pPr>
              <w:spacing w:after="0"/>
            </w:pPr>
            <w:r>
              <w:rPr>
                <w:rFonts w:ascii="Arial" w:hAnsi="Arial"/>
                <w:b w:val="0"/>
                <w:sz w:val="12"/>
              </w:rPr>
              <w:t>Monitoring mentioned ≠ monitoring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monitoring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Performance monitoring exists but no drift detection or continuous improvement</w:t>
            </w:r>
          </w:p>
        </w:tc>
        <w:tc>
          <w:tcPr>
            <w:tcW w:type="dxa" w:w="1704"/>
          </w:tcPr>
          <w:p>
            <w:pPr>
              <w:spacing w:after="0"/>
            </w:pPr>
            <w:r>
              <w:rPr>
                <w:rFonts w:ascii="Arial" w:hAnsi="Arial"/>
                <w:b w:val="0"/>
                <w:sz w:val="12"/>
              </w:rPr>
              <w:t>Performance monitoring ≠ drift detection or continuous improvement</w:t>
            </w:r>
          </w:p>
        </w:tc>
        <w:tc>
          <w:tcPr>
            <w:tcW w:type="dxa" w:w="1704"/>
          </w:tcPr>
          <w:p>
            <w:pPr>
              <w:spacing w:after="0"/>
            </w:pPr>
            <w:r>
              <w:rPr>
                <w:rFonts w:ascii="Arial" w:hAnsi="Arial"/>
                <w:b w:val="0"/>
                <w:sz w:val="12"/>
              </w:rPr>
              <w:t>Partial coverage; drift detection and continuous improvement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monitoring</w:t>
            </w:r>
          </w:p>
        </w:tc>
        <w:tc>
          <w:tcPr>
            <w:tcW w:type="dxa" w:w="1704"/>
          </w:tcPr>
          <w:p>
            <w:pPr>
              <w:spacing w:after="0"/>
            </w:pPr>
            <w:r>
              <w:rPr>
                <w:rFonts w:ascii="Arial" w:hAnsi="Arial"/>
                <w:b w:val="0"/>
                <w:sz w:val="12"/>
              </w:rPr>
              <w:t>Product documentation with performance monitoring and drift detection</w:t>
            </w:r>
          </w:p>
        </w:tc>
        <w:tc>
          <w:tcPr>
            <w:tcW w:type="dxa" w:w="1704"/>
          </w:tcPr>
          <w:p>
            <w:pPr>
              <w:spacing w:after="0"/>
            </w:pPr>
            <w:r>
              <w:rPr>
                <w:rFonts w:ascii="Arial" w:hAnsi="Arial"/>
                <w:b w:val="0"/>
                <w:sz w:val="12"/>
              </w:rPr>
              <w:t>Performance monitoring, drift detection, basic continuous improvement workflows</w:t>
            </w:r>
          </w:p>
        </w:tc>
        <w:tc>
          <w:tcPr>
            <w:tcW w:type="dxa" w:w="1704"/>
          </w:tcPr>
          <w:p>
            <w:pPr>
              <w:spacing w:after="0"/>
            </w:pPr>
            <w:r>
              <w:rPr>
                <w:rFonts w:ascii="Arial" w:hAnsi="Arial"/>
                <w:b w:val="0"/>
                <w:sz w:val="12"/>
              </w:rPr>
              <w:t>Continuous improvement ≠ monitoring dashboards or authority drift detection</w:t>
            </w:r>
          </w:p>
        </w:tc>
        <w:tc>
          <w:tcPr>
            <w:tcW w:type="dxa" w:w="1704"/>
          </w:tcPr>
          <w:p>
            <w:pPr>
              <w:spacing w:after="0"/>
            </w:pPr>
            <w:r>
              <w:rPr>
                <w:rFonts w:ascii="Arial" w:hAnsi="Arial"/>
                <w:b w:val="0"/>
                <w:sz w:val="12"/>
              </w:rPr>
              <w:t>Moderate coverage; dashboards and authority drift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monitoring</w:t>
            </w:r>
          </w:p>
        </w:tc>
        <w:tc>
          <w:tcPr>
            <w:tcW w:type="dxa" w:w="1704"/>
          </w:tcPr>
          <w:p>
            <w:pPr>
              <w:spacing w:after="0"/>
            </w:pPr>
            <w:r>
              <w:rPr>
                <w:rFonts w:ascii="Arial" w:hAnsi="Arial"/>
                <w:b w:val="0"/>
                <w:sz w:val="12"/>
              </w:rPr>
              <w:t>Product documentation with performance monitoring, drift detection, and continuous improvement</w:t>
            </w:r>
          </w:p>
        </w:tc>
        <w:tc>
          <w:tcPr>
            <w:tcW w:type="dxa" w:w="1704"/>
          </w:tcPr>
          <w:p>
            <w:pPr>
              <w:spacing w:after="0"/>
            </w:pPr>
            <w:r>
              <w:rPr>
                <w:rFonts w:ascii="Arial" w:hAnsi="Arial"/>
                <w:b w:val="0"/>
                <w:sz w:val="12"/>
              </w:rPr>
              <w:t>Performance monitoring, drift detection, continuous improvement workflows, monitoring dashboards</w:t>
            </w:r>
          </w:p>
        </w:tc>
        <w:tc>
          <w:tcPr>
            <w:tcW w:type="dxa" w:w="1704"/>
          </w:tcPr>
          <w:p>
            <w:pPr>
              <w:spacing w:after="0"/>
            </w:pPr>
            <w:r>
              <w:rPr>
                <w:rFonts w:ascii="Arial" w:hAnsi="Arial"/>
                <w:b w:val="0"/>
                <w:sz w:val="12"/>
              </w:rPr>
              <w:t>Monitoring dashboards ≠ authority drift detection or lifecycle drift detection</w:t>
            </w:r>
          </w:p>
        </w:tc>
        <w:tc>
          <w:tcPr>
            <w:tcW w:type="dxa" w:w="1704"/>
          </w:tcPr>
          <w:p>
            <w:pPr>
              <w:spacing w:after="0"/>
            </w:pPr>
            <w:r>
              <w:rPr>
                <w:rFonts w:ascii="Arial" w:hAnsi="Arial"/>
                <w:b w:val="0"/>
                <w:sz w:val="12"/>
              </w:rPr>
              <w:t>Strong coverage; authority drift and lifecycle drift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72 post-market monitoring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2"/>
      </w:pPr>
      <w:r>
        <w:t>E.3 RCCS Evidence Requirements</w:t>
      </w:r>
    </w:p>
    <w:p>
      <w:pPr>
        <w:spacing w:after="56"/>
      </w:pPr>
      <w:r>
        <w:t>Evidence hierarchy:</w:t>
      </w:r>
    </w:p>
    <w:p>
      <w:pPr>
        <w:pStyle w:val="ListBullet"/>
        <w:spacing w:after="56"/>
      </w:pPr>
      <w:r>
        <w:t>L1 (Binding Legal Text): EU AI Act, GDPR, Colorado AI Act, formal standards (NIST AI RMF, ISO/IEC 42001)</w:t>
      </w:r>
    </w:p>
    <w:p>
      <w:pPr>
        <w:pStyle w:val="ListBullet"/>
        <w:spacing w:after="56"/>
      </w:pPr>
      <w:r>
        <w:t>L2 (Product Docs): Official product documentation, protocol specifications, GitHub repositories</w:t>
      </w:r>
    </w:p>
    <w:p>
      <w:pPr>
        <w:pStyle w:val="ListBullet"/>
        <w:spacing w:after="56"/>
      </w:pPr>
      <w:r>
        <w:t>L3 (Audit Report): Third-party audit reports, academic papers, industry reports</w:t>
      </w:r>
    </w:p>
    <w:p>
      <w:pPr>
        <w:pStyle w:val="ListBullet"/>
        <w:spacing w:after="56"/>
      </w:pPr>
      <w:r>
        <w:t>L4 (Vendor Claim): Vendor claims, marketing materials, blog posts</w:t>
      </w:r>
    </w:p>
    <w:p>
      <w:pPr>
        <w:pStyle w:val="ListBullet"/>
        <w:spacing w:after="56"/>
      </w:pPr>
      <w:r>
        <w:t>L5 (Author Inference): Author inference, analytical framework, logical derivation</w:t>
      </w:r>
    </w:p>
    <w:p>
      <w:pPr>
        <w:spacing w:after="56"/>
      </w:pPr>
      <w:r>
        <w:t>Evidence multiplier application:</w:t>
      </w:r>
    </w:p>
    <w:p>
      <w:pPr>
        <w:spacing w:after="56"/>
      </w:pPr>
      <w:r>
        <w:t>Dimension Score = (Raw Score / 5) × 100 × Evidence Confidence Multiplier</w:t>
        <w:br/>
        <w:br/>
        <w:t>Where:</w:t>
        <w:br/>
        <w:t>Raw Score = 0-5 based on capability assessment</w:t>
        <w:br/>
        <w:t>Evidence Confidence Multiplier = L1=1.00, L2=0.85, L3=0.75, L4=0.55, L5=0.35</w:t>
      </w:r>
    </w:p>
    <w:p>
      <w:pPr>
        <w:spacing w:after="56"/>
      </w:pPr>
      <w:r>
        <w:t>Example:</w:t>
      </w:r>
    </w:p>
    <w:p>
      <w:pPr>
        <w:spacing w:after="56"/>
      </w:pPr>
      <w:r>
        <w:t>RCCS-04 Record-Keeping</w:t>
        <w:br/>
        <w:t>Raw Score: 4 (Strong capability)</w:t>
        <w:br/>
        <w:t>Evidence Level: L2 (Product documentation)</w:t>
        <w:br/>
        <w:t>Evidence Multiplier: 0.85</w:t>
        <w:br/>
        <w:t>Dimension Score: (4/5) × 100 × 0.85 = 68.0</w:t>
      </w:r>
    </w:p>
    <w:p>
      <w:pPr>
        <w:pStyle w:val="Heading2"/>
      </w:pPr>
      <w:r>
        <w:t>E.4 RCCS Scoring Notes and Negative Controls</w:t>
      </w:r>
    </w:p>
    <w:p>
      <w:pPr>
        <w:spacing w:after="56"/>
      </w:pPr>
      <w:r>
        <w:t>Negative controls prevent overclaim:</w:t>
      </w:r>
    </w:p>
    <w:p>
      <w:pPr>
        <w:pStyle w:val="ListNumber"/>
        <w:spacing w:after="56"/>
      </w:pPr>
      <w:r>
        <w:t>Risk management mentioned ≠ risk management implemented</w:t>
      </w:r>
    </w:p>
    <w:p>
      <w:pPr>
        <w:pStyle w:val="ListBullet"/>
        <w:spacing w:after="56"/>
      </w:pPr>
      <w:r>
        <w:t>Vendor marketing materials may mention risk management without providing implementation details</w:t>
      </w:r>
    </w:p>
    <w:p>
      <w:pPr>
        <w:pStyle w:val="ListBullet"/>
        <w:spacing w:after="56"/>
      </w:pPr>
      <w:r>
        <w:t>Require product documentation or audit evidence to validate implementation</w:t>
      </w:r>
    </w:p>
    <w:p>
      <w:pPr>
        <w:pStyle w:val="ListNumber"/>
        <w:spacing w:after="56"/>
      </w:pPr>
      <w:r>
        <w:t>Data quality ≠ data lineage or retention</w:t>
      </w:r>
    </w:p>
    <w:p>
      <w:pPr>
        <w:pStyle w:val="ListBullet"/>
        <w:spacing w:after="56"/>
      </w:pPr>
      <w:r>
        <w:t>Data quality checks do not automatically provide data lineage tracking or retention policies</w:t>
      </w:r>
    </w:p>
    <w:p>
      <w:pPr>
        <w:pStyle w:val="ListBullet"/>
        <w:spacing w:after="56"/>
      </w:pPr>
      <w:r>
        <w:t>Require explicit evidence of lineage and retention capabilities</w:t>
      </w:r>
    </w:p>
    <w:p>
      <w:pPr>
        <w:pStyle w:val="ListNumber"/>
        <w:spacing w:after="56"/>
      </w:pPr>
      <w:r>
        <w:t>Model card ≠ system card or deployment documentation</w:t>
      </w:r>
    </w:p>
    <w:p>
      <w:pPr>
        <w:pStyle w:val="ListBullet"/>
        <w:spacing w:after="56"/>
      </w:pPr>
      <w:r>
        <w:t>Model cards document model-level information but do not provide system-level or deployment-level documentation</w:t>
      </w:r>
    </w:p>
    <w:p>
      <w:pPr>
        <w:pStyle w:val="ListBullet"/>
        <w:spacing w:after="56"/>
      </w:pPr>
      <w:r>
        <w:t>Require explicit evidence of system cards and deployment documentation</w:t>
      </w:r>
    </w:p>
    <w:p>
      <w:pPr>
        <w:pStyle w:val="ListNumber"/>
        <w:spacing w:after="56"/>
      </w:pPr>
      <w:r>
        <w:t>Audit trails ≠ evidence export or retention</w:t>
      </w:r>
    </w:p>
    <w:p>
      <w:pPr>
        <w:pStyle w:val="ListBullet"/>
        <w:spacing w:after="56"/>
      </w:pPr>
      <w:r>
        <w:t>Audit trails provide execution records but do not automatically provide evidence export or retention capabilities</w:t>
      </w:r>
    </w:p>
    <w:p>
      <w:pPr>
        <w:pStyle w:val="ListBullet"/>
        <w:spacing w:after="56"/>
      </w:pPr>
      <w:r>
        <w:t>Require explicit evidence of export and retention capabilities</w:t>
      </w:r>
    </w:p>
    <w:p>
      <w:pPr>
        <w:pStyle w:val="ListNumber"/>
        <w:spacing w:after="56"/>
      </w:pPr>
      <w:r>
        <w:t>Explainability ≠ interpretability or disclosure</w:t>
      </w:r>
    </w:p>
    <w:p>
      <w:pPr>
        <w:pStyle w:val="ListBullet"/>
        <w:spacing w:after="56"/>
      </w:pPr>
      <w:r>
        <w:t>Explainability tools provide post-hoc explanations but do not automatically provide interpretability methods or disclosure mechanisms</w:t>
      </w:r>
    </w:p>
    <w:p>
      <w:pPr>
        <w:pStyle w:val="ListBullet"/>
        <w:spacing w:after="56"/>
      </w:pPr>
      <w:r>
        <w:t>Require explicit evidence of interpretability and disclosure capabilities</w:t>
      </w:r>
    </w:p>
    <w:p>
      <w:pPr>
        <w:pStyle w:val="ListNumber"/>
        <w:spacing w:after="56"/>
      </w:pPr>
      <w:r>
        <w:t>Approval button ≠ human-role-to-MAS responsibility mapping</w:t>
      </w:r>
    </w:p>
    <w:p>
      <w:pPr>
        <w:pStyle w:val="ListBullet"/>
        <w:spacing w:after="56"/>
      </w:pPr>
      <w:r>
        <w:t>Approval buttons provide UI controls but do not automatically provide human-role-to-MAS responsibility mapping or accountability tracking</w:t>
      </w:r>
    </w:p>
    <w:p>
      <w:pPr>
        <w:pStyle w:val="ListBullet"/>
        <w:spacing w:after="56"/>
      </w:pPr>
      <w:r>
        <w:t>Require explicit evidence of responsibility mapping and accountability tracking</w:t>
      </w:r>
    </w:p>
    <w:p>
      <w:pPr>
        <w:pStyle w:val="ListNumber"/>
        <w:spacing w:after="56"/>
      </w:pPr>
      <w:r>
        <w:t>Access control ≠ authentication or authorization</w:t>
      </w:r>
    </w:p>
    <w:p>
      <w:pPr>
        <w:pStyle w:val="ListBullet"/>
        <w:spacing w:after="56"/>
      </w:pPr>
      <w:r>
        <w:t>Access control provides basic security but does not automatically provide authentication or authorization for AI lifecycle</w:t>
      </w:r>
    </w:p>
    <w:p>
      <w:pPr>
        <w:pStyle w:val="ListBullet"/>
        <w:spacing w:after="56"/>
      </w:pPr>
      <w:r>
        <w:t>Require explicit evidence of authentication and authorization capabilities</w:t>
      </w:r>
    </w:p>
    <w:p>
      <w:pPr>
        <w:pStyle w:val="ListNumber"/>
        <w:spacing w:after="56"/>
      </w:pPr>
      <w:r>
        <w:t>Role assignment ≠ responsibility mapping or accountability tracking</w:t>
      </w:r>
    </w:p>
    <w:p>
      <w:pPr>
        <w:pStyle w:val="ListBullet"/>
        <w:spacing w:after="56"/>
      </w:pPr>
      <w:r>
        <w:t>Role assignment provides user management but does not automatically provide responsibility mapping or accountability tracking</w:t>
      </w:r>
    </w:p>
    <w:p>
      <w:pPr>
        <w:pStyle w:val="ListBullet"/>
        <w:spacing w:after="56"/>
      </w:pPr>
      <w:r>
        <w:t>Require explicit evidence of responsibility mapping and accountability tracking</w:t>
      </w:r>
    </w:p>
    <w:p>
      <w:pPr>
        <w:pStyle w:val="ListNumber"/>
        <w:spacing w:after="56"/>
      </w:pPr>
      <w:r>
        <w:t>Dispute resolution ≠ appeal mechanisms or remediation workflows</w:t>
      </w:r>
    </w:p>
    <w:p>
      <w:pPr>
        <w:pStyle w:val="ListBullet"/>
        <w:spacing w:after="56"/>
      </w:pPr>
      <w:r>
        <w:t>Dispute resolution workflows provide basic contestability but do not automatically provide appeal mechanisms or remediation workflows</w:t>
      </w:r>
    </w:p>
    <w:p>
      <w:pPr>
        <w:pStyle w:val="ListBullet"/>
        <w:spacing w:after="56"/>
      </w:pPr>
      <w:r>
        <w:t>Require explicit evidence of appeal and remediation capabilities</w:t>
      </w:r>
    </w:p>
    <w:p>
      <w:pPr>
        <w:pStyle w:val="ListNumber"/>
        <w:spacing w:after="56"/>
      </w:pPr>
      <w:r>
        <w:t>Performance monitoring ≠ drift detection or continuous improvement</w:t>
      </w:r>
    </w:p>
    <w:p>
      <w:pPr>
        <w:pStyle w:val="ListBullet"/>
        <w:spacing w:after="56"/>
      </w:pPr>
      <w:r>
        <w:t>Performance monitoring provides basic observability but does not automatically provide drift detection or continuous improvement workflows</w:t>
      </w:r>
    </w:p>
    <w:p>
      <w:pPr>
        <w:pStyle w:val="ListBullet"/>
        <w:spacing w:after="56"/>
      </w:pPr>
      <w:r>
        <w:t>Require explicit evidence of drift detection and continuous improvement capabilities</w:t>
      </w:r>
    </w:p>
    <w:p>
      <w:pPr>
        <w:spacing w:after="56"/>
      </w:pPr>
      <w:r>
        <w:t>Boundary discipline:</w:t>
      </w:r>
    </w:p>
    <w:p>
      <w:pPr>
        <w:pStyle w:val="ListBullet"/>
        <w:spacing w:after="56"/>
      </w:pPr>
      <w:r>
        <w:t>RCCS measures regulatory compliance coverage primitives, not legal compliance</w:t>
      </w:r>
    </w:p>
    <w:p>
      <w:pPr>
        <w:pStyle w:val="ListBullet"/>
        <w:spacing w:after="56"/>
      </w:pPr>
      <w:r>
        <w:t>High RCCS scores do not prove legal compliance, regulatory approval, or certification</w:t>
      </w:r>
    </w:p>
    <w:p>
      <w:pPr>
        <w:pStyle w:val="ListBullet"/>
        <w:spacing w:after="56"/>
      </w:pPr>
      <w:r>
        <w:t>Low RCCS scores do not prove non-compliance or unsuitability</w:t>
      </w:r>
    </w:p>
    <w:p>
      <w:pPr>
        <w:pStyle w:val="ListBullet"/>
        <w:spacing w:after="56"/>
      </w:pPr>
      <w:r>
        <w:t>RCCS scores are context-independent; organizations must interpret within their legal, regulatory, and operational context</w:t>
      </w:r>
    </w:p>
    <w:p>
      <w:pPr>
        <w:pStyle w:val="ListBullet"/>
        <w:spacing w:after="56"/>
      </w:pPr>
      <w:r>
        <w:t>RCCS scores require evidence; evidence level affects score multiplier</w:t>
      </w:r>
    </w:p>
    <w:p>
      <w:pPr>
        <w:pStyle w:val="ListBullet"/>
        <w:spacing w:after="56"/>
      </w:pPr>
      <w:r>
        <w:t>RCCS scores are not product rankings; they compare systems by regulatory compliance coverage primitives</w:t>
      </w:r>
    </w:p>
    <w:p>
      <w:pPr>
        <w:pStyle w:val="Heading1"/>
      </w:pPr>
      <w:r>
        <w:t>Appendix F — ALCS Detailed Scoring Rubrics</w:t>
      </w:r>
    </w:p>
    <w:p>
      <w:pPr>
        <w:spacing w:after="56"/>
      </w:pPr>
      <w:r>
        <w:t>Version: v0.3.2-FRC-R3</w:t>
      </w:r>
    </w:p>
    <w:p>
      <w:pPr>
        <w:pStyle w:val="Heading2"/>
      </w:pPr>
      <w:r>
        <w:t>F.0 ALCS Rubric Boundary</w:t>
      </w:r>
    </w:p>
    <w:p>
      <w:pPr>
        <w:spacing w:after="56"/>
      </w:pPr>
      <w:r>
        <w:t>This appendix provides detailed scoring rubrics for all fifteen ALCS (Agentic Lifecycle Conformance Score) dimensions. These rubrics are analytical tools for evaluating system capability to support agentic lifecycle responsibility object maturity. They are not legal compliance scores, certifications, or regulatory approvals.</w:t>
      </w:r>
    </w:p>
    <w:p>
      <w:pPr>
        <w:spacing w:after="56"/>
      </w:pPr>
      <w:r>
        <w:t>Boundary statement:</w:t>
      </w:r>
    </w:p>
    <w:p>
      <w:pPr>
        <w:pStyle w:val="ListBullet"/>
        <w:spacing w:after="56"/>
      </w:pPr>
      <w:r>
        <w:t>ALCS measures agentic lifecycle responsibility object maturity. ALCS evaluates whether a system provides primitives that can support agentic lifecycle responsibility tracking, delegation, and accountability. It does not prove legal compliance, regulatory approval, certification, audit readiness, or operational effectiveness.</w:t>
      </w:r>
    </w:p>
    <w:p>
      <w:pPr>
        <w:pStyle w:val="ListBullet"/>
        <w:spacing w:after="56"/>
      </w:pPr>
      <w:r>
        <w:t>High ALCS scores do not prove legal compliance. A high ALCS score indicates that a system provides primitives for agentic lifecycle responsibility management. It does not prove that the system is legally compliant, operationally effective, or enterprise-ready.</w:t>
      </w:r>
    </w:p>
    <w:p>
      <w:pPr>
        <w:pStyle w:val="ListBullet"/>
        <w:spacing w:after="56"/>
      </w:pPr>
      <w:r>
        <w:t>Low ALCS scores do not prove non-compliance. A low ALCS score indicates gaps in agentic lifecycle responsibility primitives. It does not prove that the system is non-compliant, unsafe, or unsuitable for deployment.</w:t>
      </w:r>
    </w:p>
    <w:p>
      <w:pPr>
        <w:pStyle w:val="ListBullet"/>
        <w:spacing w:after="56"/>
      </w:pPr>
      <w:r>
        <w:t>ALCS scores are context-independent. ALCS scores measure system capability, not organizational practice. Organizations must interpret scores within their legal, regulatory, and operational context.</w:t>
      </w:r>
    </w:p>
    <w:p>
      <w:pPr>
        <w:pStyle w:val="ListBullet"/>
        <w:spacing w:after="56"/>
      </w:pPr>
      <w:r>
        <w:t>ALCS scores require evidence. All scores must be supported by evidence. The evidence level (L1-L5) affects the score multiplier using the canonical formula from Phase 1B-8C.</w:t>
      </w:r>
    </w:p>
    <w:p>
      <w:pPr>
        <w:pStyle w:val="ListBullet"/>
        <w:spacing w:after="56"/>
      </w:pPr>
      <w:r>
        <w:t>ALCS scores are not product rankings. Rubrics compare systems by agentic lifecycle responsibility primitives, not product quality, market leadership, or procurement suitability.</w:t>
      </w:r>
    </w:p>
    <w:p>
      <w:pPr>
        <w:pStyle w:val="Heading2"/>
      </w:pPr>
      <w:r>
        <w:t>F.1 How to Use ALCS Rubrics</w:t>
      </w:r>
    </w:p>
    <w:p>
      <w:pPr>
        <w:spacing w:after="56"/>
      </w:pPr>
      <w:r>
        <w:t>Scoring process:</w:t>
      </w:r>
    </w:p>
    <w:p>
      <w:pPr>
        <w:pStyle w:val="ListNumber"/>
        <w:spacing w:after="56"/>
      </w:pPr>
      <w:r>
        <w:t>Assess raw capability (0-5) based on system capability against the rubric</w:t>
      </w:r>
    </w:p>
    <w:p>
      <w:pPr>
        <w:pStyle w:val="ListNumber"/>
        <w:spacing w:after="56"/>
      </w:pPr>
      <w:r>
        <w:t>Identify evidence level (L1-L5) based on source type</w:t>
      </w:r>
    </w:p>
    <w:p>
      <w:pPr>
        <w:pStyle w:val="ListNumber"/>
        <w:spacing w:after="56"/>
      </w:pPr>
      <w:r>
        <w:t>Apply evidence multiplier using canonical formula: Dimension Score = (Raw Score / 5) × 100 × Evidence Confidence Multiplier</w:t>
      </w:r>
    </w:p>
    <w:p>
      <w:pPr>
        <w:pStyle w:val="ListNumber"/>
        <w:spacing w:after="56"/>
      </w:pPr>
      <w:r>
        <w:t>Document justification explaining why the raw score and evidence level were assigned</w:t>
      </w:r>
    </w:p>
    <w:p>
      <w:pPr>
        <w:pStyle w:val="ListNumber"/>
        <w:spacing w:after="56"/>
      </w:pPr>
      <w:r>
        <w:t>Add boundary note clarifying what the score does and does not prove</w:t>
      </w:r>
    </w:p>
    <w:p>
      <w:pPr>
        <w:spacing w:after="56"/>
      </w:pPr>
      <w:r>
        <w:t>Canonical evidence multipliers (from Phase 1B-8C):</w:t>
      </w:r>
    </w:p>
    <w:p>
      <w:pPr>
        <w:pStyle w:val="ListBullet"/>
        <w:spacing w:after="56"/>
      </w:pPr>
      <w:r>
        <w:t>L1 (Binding Legal Text): 1.00</w:t>
      </w:r>
    </w:p>
    <w:p>
      <w:pPr>
        <w:pStyle w:val="ListBullet"/>
        <w:spacing w:after="56"/>
      </w:pPr>
      <w:r>
        <w:t>L2 (Product Docs): 0.85</w:t>
      </w:r>
    </w:p>
    <w:p>
      <w:pPr>
        <w:pStyle w:val="ListBullet"/>
        <w:spacing w:after="56"/>
      </w:pPr>
      <w:r>
        <w:t>L3 (Audit Report): 0.75</w:t>
      </w:r>
    </w:p>
    <w:p>
      <w:pPr>
        <w:pStyle w:val="ListBullet"/>
        <w:spacing w:after="56"/>
      </w:pPr>
      <w:r>
        <w:t>L4 (Vendor Claim): 0.55</w:t>
      </w:r>
    </w:p>
    <w:p>
      <w:pPr>
        <w:pStyle w:val="ListBullet"/>
        <w:spacing w:after="56"/>
      </w:pPr>
      <w:r>
        <w:t>L5 (Author Inference): 0.35</w:t>
      </w:r>
    </w:p>
    <w:p>
      <w:pPr>
        <w:spacing w:after="56"/>
      </w:pPr>
      <w:r>
        <w:t>Scoring scale:</w:t>
      </w:r>
    </w:p>
    <w:p>
      <w:pPr>
        <w:pStyle w:val="ListBullet"/>
        <w:spacing w:after="56"/>
      </w:pPr>
      <w:r>
        <w:t>0: No capability; no evidence</w:t>
      </w:r>
    </w:p>
    <w:p>
      <w:pPr>
        <w:pStyle w:val="ListBullet"/>
        <w:spacing w:after="56"/>
      </w:pPr>
      <w:r>
        <w:t>1: Minimal capability; weak evidence</w:t>
      </w:r>
    </w:p>
    <w:p>
      <w:pPr>
        <w:pStyle w:val="ListBullet"/>
        <w:spacing w:after="56"/>
      </w:pPr>
      <w:r>
        <w:t>2: Partial capability; some evidence</w:t>
      </w:r>
    </w:p>
    <w:p>
      <w:pPr>
        <w:pStyle w:val="ListBullet"/>
        <w:spacing w:after="56"/>
      </w:pPr>
      <w:r>
        <w:t>3: Moderate capability; documented evidence</w:t>
      </w:r>
    </w:p>
    <w:p>
      <w:pPr>
        <w:pStyle w:val="ListBullet"/>
        <w:spacing w:after="56"/>
      </w:pPr>
      <w:r>
        <w:t>4: Strong capability; validated evidence</w:t>
      </w:r>
    </w:p>
    <w:p>
      <w:pPr>
        <w:pStyle w:val="ListBullet"/>
        <w:spacing w:after="56"/>
      </w:pPr>
      <w:r>
        <w:t>5: Complete capability demonstrated by implementation evidence, formal audit evidence, protocol-level evidence, or validated operational artifacts. Legal text may establish a regulatory baseline but does not by itself prove implementation.</w:t>
      </w:r>
    </w:p>
    <w:p>
      <w:pPr>
        <w:spacing w:after="56"/>
      </w:pPr>
      <w:r>
        <w:t>In score-5 rows, legal references identify the regulatory baseline only. They do not count as implementation evidence unless paired with implementation artifacts, formal audit evidence, protocol-level evidence, or validated operational records.</w:t>
      </w:r>
    </w:p>
    <w:p>
      <w:pPr>
        <w:spacing w:after="56"/>
      </w:pPr>
      <w:r>
        <w:t>Negative controls:</w:t>
      </w:r>
    </w:p>
    <w:p>
      <w:pPr>
        <w:spacing w:after="56"/>
      </w:pPr>
      <w:r>
        <w:t>Each rubric includes negative controls to prevent overclaim. Negative controls distinguish adjacent capabilities from agentic lifecycle responsibility primitives.</w:t>
      </w:r>
    </w:p>
    <w:p>
      <w:pPr>
        <w:pStyle w:val="Heading2"/>
      </w:pPr>
      <w:r>
        <w:t>F.2 ALCS Detailed Rubrics</w:t>
      </w:r>
    </w:p>
    <w:p>
      <w:pPr>
        <w:pStyle w:val="Heading3"/>
      </w:pPr>
      <w:r>
        <w:t>ALCS-01: Human-Role-to-MAS Responsibility Mapping</w:t>
      </w:r>
    </w:p>
    <w:p>
      <w:pPr>
        <w:spacing w:after="56"/>
      </w:pPr>
      <w:r>
        <w:t>Core question: Does the system provide primitives for mapping human roles to multi-agent system (MAS) responsibilities?</w:t>
      </w:r>
    </w:p>
    <w:p>
      <w:pPr>
        <w:spacing w:after="56"/>
      </w:pPr>
      <w:r>
        <w:t>What counts: Human role definitions, MAS responsibility definitions, role-to-responsibility mapping, responsibility tracking, responsibility audit trails</w:t>
      </w:r>
    </w:p>
    <w:p>
      <w:pPr>
        <w:spacing w:after="56"/>
      </w:pPr>
      <w:r>
        <w:t>What does not count: General user management, role assignment without MAS integration, responsibility tracking without lifecycle integration</w:t>
      </w:r>
    </w:p>
    <w:p>
      <w:pPr>
        <w:keepNext/>
      </w:pPr>
      <w:r>
        <w:rPr>
          <w:b/>
          <w:sz w:val="16"/>
        </w:rPr>
        <w:t>Table T-F-01: ALCS-01 Human-Role-to-MAS Responsibility Mapping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human-role-to-MAS mapping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human role definitions, no MAS responsibility definitions, no mapping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human-role-to-MAS mapping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human-role-to-MAS mapping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Human-role-to-MAS mapping mentioned in marketing docs but no implementation details</w:t>
            </w:r>
          </w:p>
        </w:tc>
        <w:tc>
          <w:tcPr>
            <w:tcW w:type="dxa" w:w="1704"/>
          </w:tcPr>
          <w:p>
            <w:pPr>
              <w:spacing w:after="0"/>
            </w:pPr>
            <w:r>
              <w:rPr>
                <w:rFonts w:ascii="Arial" w:hAnsi="Arial"/>
                <w:b w:val="0"/>
                <w:sz w:val="12"/>
              </w:rPr>
              <w:t>Mapping mentioned ≠ mapping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human-role-to-MAS mapping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Human role definitions exist but no MAS responsibility definitions or mapping</w:t>
            </w:r>
          </w:p>
        </w:tc>
        <w:tc>
          <w:tcPr>
            <w:tcW w:type="dxa" w:w="1704"/>
          </w:tcPr>
          <w:p>
            <w:pPr>
              <w:spacing w:after="0"/>
            </w:pPr>
            <w:r>
              <w:rPr>
                <w:rFonts w:ascii="Arial" w:hAnsi="Arial"/>
                <w:b w:val="0"/>
                <w:sz w:val="12"/>
              </w:rPr>
              <w:t>Human roles ≠ MAS responsibilities or mapping</w:t>
            </w:r>
          </w:p>
        </w:tc>
        <w:tc>
          <w:tcPr>
            <w:tcW w:type="dxa" w:w="1704"/>
          </w:tcPr>
          <w:p>
            <w:pPr>
              <w:spacing w:after="0"/>
            </w:pPr>
            <w:r>
              <w:rPr>
                <w:rFonts w:ascii="Arial" w:hAnsi="Arial"/>
                <w:b w:val="0"/>
                <w:sz w:val="12"/>
              </w:rPr>
              <w:t>Partial coverage; MAS responsibility and mapping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human-role-to-MAS mapping</w:t>
            </w:r>
          </w:p>
        </w:tc>
        <w:tc>
          <w:tcPr>
            <w:tcW w:type="dxa" w:w="1704"/>
          </w:tcPr>
          <w:p>
            <w:pPr>
              <w:spacing w:after="0"/>
            </w:pPr>
            <w:r>
              <w:rPr>
                <w:rFonts w:ascii="Arial" w:hAnsi="Arial"/>
                <w:b w:val="0"/>
                <w:sz w:val="12"/>
              </w:rPr>
              <w:t>Product documentation with human roles and MAS responsibilities</w:t>
            </w:r>
          </w:p>
        </w:tc>
        <w:tc>
          <w:tcPr>
            <w:tcW w:type="dxa" w:w="1704"/>
          </w:tcPr>
          <w:p>
            <w:pPr>
              <w:spacing w:after="0"/>
            </w:pPr>
            <w:r>
              <w:rPr>
                <w:rFonts w:ascii="Arial" w:hAnsi="Arial"/>
                <w:b w:val="0"/>
                <w:sz w:val="12"/>
              </w:rPr>
              <w:t>Human role definitions, MAS responsibility definitions, basic role-to-responsibility mapping</w:t>
            </w:r>
          </w:p>
        </w:tc>
        <w:tc>
          <w:tcPr>
            <w:tcW w:type="dxa" w:w="1704"/>
          </w:tcPr>
          <w:p>
            <w:pPr>
              <w:spacing w:after="0"/>
            </w:pPr>
            <w:r>
              <w:rPr>
                <w:rFonts w:ascii="Arial" w:hAnsi="Arial"/>
                <w:b w:val="0"/>
                <w:sz w:val="12"/>
              </w:rPr>
              <w:t>Role-to-responsibility mapping ≠ responsibility tracking or audit trails</w:t>
            </w:r>
          </w:p>
        </w:tc>
        <w:tc>
          <w:tcPr>
            <w:tcW w:type="dxa" w:w="1704"/>
          </w:tcPr>
          <w:p>
            <w:pPr>
              <w:spacing w:after="0"/>
            </w:pPr>
            <w:r>
              <w:rPr>
                <w:rFonts w:ascii="Arial" w:hAnsi="Arial"/>
                <w:b w:val="0"/>
                <w:sz w:val="12"/>
              </w:rPr>
              <w:t>Moderate coverage; tracking and audit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human-role-to-MAS mapping</w:t>
            </w:r>
          </w:p>
        </w:tc>
        <w:tc>
          <w:tcPr>
            <w:tcW w:type="dxa" w:w="1704"/>
          </w:tcPr>
          <w:p>
            <w:pPr>
              <w:spacing w:after="0"/>
            </w:pPr>
            <w:r>
              <w:rPr>
                <w:rFonts w:ascii="Arial" w:hAnsi="Arial"/>
                <w:b w:val="0"/>
                <w:sz w:val="12"/>
              </w:rPr>
              <w:t>Product documentation with human roles, MAS responsibilities, and tracking</w:t>
            </w:r>
          </w:p>
        </w:tc>
        <w:tc>
          <w:tcPr>
            <w:tcW w:type="dxa" w:w="1704"/>
          </w:tcPr>
          <w:p>
            <w:pPr>
              <w:spacing w:after="0"/>
            </w:pPr>
            <w:r>
              <w:rPr>
                <w:rFonts w:ascii="Arial" w:hAnsi="Arial"/>
                <w:b w:val="0"/>
                <w:sz w:val="12"/>
              </w:rPr>
              <w:t>Human role definitions, MAS responsibility definitions, role-to-responsibility mapping, responsibility tracking</w:t>
            </w:r>
          </w:p>
        </w:tc>
        <w:tc>
          <w:tcPr>
            <w:tcW w:type="dxa" w:w="1704"/>
          </w:tcPr>
          <w:p>
            <w:pPr>
              <w:spacing w:after="0"/>
            </w:pPr>
            <w:r>
              <w:rPr>
                <w:rFonts w:ascii="Arial" w:hAnsi="Arial"/>
                <w:b w:val="0"/>
                <w:sz w:val="12"/>
              </w:rPr>
              <w:t>Responsibility tracking ≠ responsibility audit trails or accepted outcome compliance</w:t>
            </w:r>
          </w:p>
        </w:tc>
        <w:tc>
          <w:tcPr>
            <w:tcW w:type="dxa" w:w="1704"/>
          </w:tcPr>
          <w:p>
            <w:pPr>
              <w:spacing w:after="0"/>
            </w:pPr>
            <w:r>
              <w:rPr>
                <w:rFonts w:ascii="Arial" w:hAnsi="Arial"/>
                <w:b w:val="0"/>
                <w:sz w:val="12"/>
              </w:rPr>
              <w:t>Strong coverage; audit and accepted outcome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human-role-to-MAS mapping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requirement with MAS integration;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ALCS-02: Delegated Authority Boundary</w:t>
      </w:r>
    </w:p>
    <w:p>
      <w:pPr>
        <w:spacing w:after="56"/>
      </w:pPr>
      <w:r>
        <w:t>Core question: Does the system provide primitives for defining and enforcing delegated authority boundaries between humans and agents?</w:t>
      </w:r>
    </w:p>
    <w:p>
      <w:pPr>
        <w:spacing w:after="56"/>
      </w:pPr>
      <w:r>
        <w:t>What counts: Authority boundary definitions, authority delegation workflows, authority enforcement mechanisms, authority audit trails</w:t>
      </w:r>
    </w:p>
    <w:p>
      <w:pPr>
        <w:spacing w:after="56"/>
      </w:pPr>
      <w:r>
        <w:t>What does not count: General permission systems, authority without lifecycle integration, authority without delegation tracking</w:t>
      </w:r>
    </w:p>
    <w:p>
      <w:pPr>
        <w:keepNext/>
      </w:pPr>
      <w:r>
        <w:rPr>
          <w:b/>
          <w:sz w:val="16"/>
        </w:rPr>
        <w:t>Table T-F-02: ALCS-02 Delegated Authority Boundary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delegated authority boundary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authority boundary definitions, no delegation workflows, no enforcement</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delegated authority boundary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delegated authority boundary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Delegated authority mentioned in marketing docs but no implementation details</w:t>
            </w:r>
          </w:p>
        </w:tc>
        <w:tc>
          <w:tcPr>
            <w:tcW w:type="dxa" w:w="1704"/>
          </w:tcPr>
          <w:p>
            <w:pPr>
              <w:spacing w:after="0"/>
            </w:pPr>
            <w:r>
              <w:rPr>
                <w:rFonts w:ascii="Arial" w:hAnsi="Arial"/>
                <w:b w:val="0"/>
                <w:sz w:val="12"/>
              </w:rPr>
              <w:t>Authority mentioned ≠ authority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delegated authority boundary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Authority boundary definitions exist but no delegation workflows or enforcement</w:t>
            </w:r>
          </w:p>
        </w:tc>
        <w:tc>
          <w:tcPr>
            <w:tcW w:type="dxa" w:w="1704"/>
          </w:tcPr>
          <w:p>
            <w:pPr>
              <w:spacing w:after="0"/>
            </w:pPr>
            <w:r>
              <w:rPr>
                <w:rFonts w:ascii="Arial" w:hAnsi="Arial"/>
                <w:b w:val="0"/>
                <w:sz w:val="12"/>
              </w:rPr>
              <w:t>Authority definitions ≠ delegation workflows or enforcement</w:t>
            </w:r>
          </w:p>
        </w:tc>
        <w:tc>
          <w:tcPr>
            <w:tcW w:type="dxa" w:w="1704"/>
          </w:tcPr>
          <w:p>
            <w:pPr>
              <w:spacing w:after="0"/>
            </w:pPr>
            <w:r>
              <w:rPr>
                <w:rFonts w:ascii="Arial" w:hAnsi="Arial"/>
                <w:b w:val="0"/>
                <w:sz w:val="12"/>
              </w:rPr>
              <w:t>Partial coverage; delegation and enforcement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delegated authority boundary</w:t>
            </w:r>
          </w:p>
        </w:tc>
        <w:tc>
          <w:tcPr>
            <w:tcW w:type="dxa" w:w="1704"/>
          </w:tcPr>
          <w:p>
            <w:pPr>
              <w:spacing w:after="0"/>
            </w:pPr>
            <w:r>
              <w:rPr>
                <w:rFonts w:ascii="Arial" w:hAnsi="Arial"/>
                <w:b w:val="0"/>
                <w:sz w:val="12"/>
              </w:rPr>
              <w:t>Product documentation with authority boundaries and delegation</w:t>
            </w:r>
          </w:p>
        </w:tc>
        <w:tc>
          <w:tcPr>
            <w:tcW w:type="dxa" w:w="1704"/>
          </w:tcPr>
          <w:p>
            <w:pPr>
              <w:spacing w:after="0"/>
            </w:pPr>
            <w:r>
              <w:rPr>
                <w:rFonts w:ascii="Arial" w:hAnsi="Arial"/>
                <w:b w:val="0"/>
                <w:sz w:val="12"/>
              </w:rPr>
              <w:t>Authority boundary definitions, authority delegation workflows, basic enforcement mechanisms</w:t>
            </w:r>
          </w:p>
        </w:tc>
        <w:tc>
          <w:tcPr>
            <w:tcW w:type="dxa" w:w="1704"/>
          </w:tcPr>
          <w:p>
            <w:pPr>
              <w:spacing w:after="0"/>
            </w:pPr>
            <w:r>
              <w:rPr>
                <w:rFonts w:ascii="Arial" w:hAnsi="Arial"/>
                <w:b w:val="0"/>
                <w:sz w:val="12"/>
              </w:rPr>
              <w:t>Enforcement mechanisms ≠ authority audit trails or authority drift detection</w:t>
            </w:r>
          </w:p>
        </w:tc>
        <w:tc>
          <w:tcPr>
            <w:tcW w:type="dxa" w:w="1704"/>
          </w:tcPr>
          <w:p>
            <w:pPr>
              <w:spacing w:after="0"/>
            </w:pPr>
            <w:r>
              <w:rPr>
                <w:rFonts w:ascii="Arial" w:hAnsi="Arial"/>
                <w:b w:val="0"/>
                <w:sz w:val="12"/>
              </w:rPr>
              <w:t>Moderate coverage; audit and drift detection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delegated authority boundary</w:t>
            </w:r>
          </w:p>
        </w:tc>
        <w:tc>
          <w:tcPr>
            <w:tcW w:type="dxa" w:w="1704"/>
          </w:tcPr>
          <w:p>
            <w:pPr>
              <w:spacing w:after="0"/>
            </w:pPr>
            <w:r>
              <w:rPr>
                <w:rFonts w:ascii="Arial" w:hAnsi="Arial"/>
                <w:b w:val="0"/>
                <w:sz w:val="12"/>
              </w:rPr>
              <w:t>Product documentation with authority boundaries, delegation, and enforcement</w:t>
            </w:r>
          </w:p>
        </w:tc>
        <w:tc>
          <w:tcPr>
            <w:tcW w:type="dxa" w:w="1704"/>
          </w:tcPr>
          <w:p>
            <w:pPr>
              <w:spacing w:after="0"/>
            </w:pPr>
            <w:r>
              <w:rPr>
                <w:rFonts w:ascii="Arial" w:hAnsi="Arial"/>
                <w:b w:val="0"/>
                <w:sz w:val="12"/>
              </w:rPr>
              <w:t>Authority boundary definitions, authority delegation workflows, enforcement mechanisms, authority audit trails</w:t>
            </w:r>
          </w:p>
        </w:tc>
        <w:tc>
          <w:tcPr>
            <w:tcW w:type="dxa" w:w="1704"/>
          </w:tcPr>
          <w:p>
            <w:pPr>
              <w:spacing w:after="0"/>
            </w:pPr>
            <w:r>
              <w:rPr>
                <w:rFonts w:ascii="Arial" w:hAnsi="Arial"/>
                <w:b w:val="0"/>
                <w:sz w:val="12"/>
              </w:rPr>
              <w:t>Authority audit trails ≠ authority drift detection or responsibility transfer tracking</w:t>
            </w:r>
          </w:p>
        </w:tc>
        <w:tc>
          <w:tcPr>
            <w:tcW w:type="dxa" w:w="1704"/>
          </w:tcPr>
          <w:p>
            <w:pPr>
              <w:spacing w:after="0"/>
            </w:pPr>
            <w:r>
              <w:rPr>
                <w:rFonts w:ascii="Arial" w:hAnsi="Arial"/>
                <w:b w:val="0"/>
                <w:sz w:val="12"/>
              </w:rPr>
              <w:t>Strong coverage; drift detection and transfer tracking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delegated authority boundary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with authority boundary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ALCS-03: Agent Role vs Human Role Distinction</w:t>
      </w:r>
    </w:p>
    <w:p>
      <w:pPr>
        <w:spacing w:after="56"/>
      </w:pPr>
      <w:r>
        <w:t>Core question: Does the system provide primitives for distinguishing agent roles from human roles in lifecycle workflows?</w:t>
      </w:r>
    </w:p>
    <w:p>
      <w:pPr>
        <w:spacing w:after="56"/>
      </w:pPr>
      <w:r>
        <w:t>What counts: Agent role definitions, human role definitions, role distinction mechanisms, role-based access control, role audit trails</w:t>
      </w:r>
    </w:p>
    <w:p>
      <w:pPr>
        <w:spacing w:after="56"/>
      </w:pPr>
      <w:r>
        <w:t>What does not count: General role-based access control, role distinction without lifecycle integration, role distinction without accountability tracking</w:t>
      </w:r>
    </w:p>
    <w:p>
      <w:pPr>
        <w:keepNext/>
      </w:pPr>
      <w:r>
        <w:rPr>
          <w:b/>
          <w:sz w:val="16"/>
        </w:rPr>
        <w:t>Table T-F-03: ALCS-03 Agent Role vs Human Role Distinction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agent-human role distinction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agent role definitions, no human role definitions, no distinction mechanisms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agent-human role distinction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agent-human role distinction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Agent-human role distinction mentioned in marketing docs but no implementation details</w:t>
            </w:r>
          </w:p>
        </w:tc>
        <w:tc>
          <w:tcPr>
            <w:tcW w:type="dxa" w:w="1704"/>
          </w:tcPr>
          <w:p>
            <w:pPr>
              <w:spacing w:after="0"/>
            </w:pPr>
            <w:r>
              <w:rPr>
                <w:rFonts w:ascii="Arial" w:hAnsi="Arial"/>
                <w:b w:val="0"/>
                <w:sz w:val="12"/>
              </w:rPr>
              <w:t>Distinction mentioned ≠ distinction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agent-human role distinction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Agent role definitions exist but no human role definitions or distinction mechanisms</w:t>
            </w:r>
          </w:p>
        </w:tc>
        <w:tc>
          <w:tcPr>
            <w:tcW w:type="dxa" w:w="1704"/>
          </w:tcPr>
          <w:p>
            <w:pPr>
              <w:spacing w:after="0"/>
            </w:pPr>
            <w:r>
              <w:rPr>
                <w:rFonts w:ascii="Arial" w:hAnsi="Arial"/>
                <w:b w:val="0"/>
                <w:sz w:val="12"/>
              </w:rPr>
              <w:t>Agent roles ≠ human roles or distinction mechanisms</w:t>
            </w:r>
          </w:p>
        </w:tc>
        <w:tc>
          <w:tcPr>
            <w:tcW w:type="dxa" w:w="1704"/>
          </w:tcPr>
          <w:p>
            <w:pPr>
              <w:spacing w:after="0"/>
            </w:pPr>
            <w:r>
              <w:rPr>
                <w:rFonts w:ascii="Arial" w:hAnsi="Arial"/>
                <w:b w:val="0"/>
                <w:sz w:val="12"/>
              </w:rPr>
              <w:t>Partial coverage; human role and distinction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agent-human role distinction</w:t>
            </w:r>
          </w:p>
        </w:tc>
        <w:tc>
          <w:tcPr>
            <w:tcW w:type="dxa" w:w="1704"/>
          </w:tcPr>
          <w:p>
            <w:pPr>
              <w:spacing w:after="0"/>
            </w:pPr>
            <w:r>
              <w:rPr>
                <w:rFonts w:ascii="Arial" w:hAnsi="Arial"/>
                <w:b w:val="0"/>
                <w:sz w:val="12"/>
              </w:rPr>
              <w:t>Product documentation with agent roles, human roles, and distinction</w:t>
            </w:r>
          </w:p>
        </w:tc>
        <w:tc>
          <w:tcPr>
            <w:tcW w:type="dxa" w:w="1704"/>
          </w:tcPr>
          <w:p>
            <w:pPr>
              <w:spacing w:after="0"/>
            </w:pPr>
            <w:r>
              <w:rPr>
                <w:rFonts w:ascii="Arial" w:hAnsi="Arial"/>
                <w:b w:val="0"/>
                <w:sz w:val="12"/>
              </w:rPr>
              <w:t>Agent role definitions, human role definitions, basic role distinction mechanisms</w:t>
            </w:r>
          </w:p>
        </w:tc>
        <w:tc>
          <w:tcPr>
            <w:tcW w:type="dxa" w:w="1704"/>
          </w:tcPr>
          <w:p>
            <w:pPr>
              <w:spacing w:after="0"/>
            </w:pPr>
            <w:r>
              <w:rPr>
                <w:rFonts w:ascii="Arial" w:hAnsi="Arial"/>
                <w:b w:val="0"/>
                <w:sz w:val="12"/>
              </w:rPr>
              <w:t>Role distinction ≠ role-based access control or role audit trails</w:t>
            </w:r>
          </w:p>
        </w:tc>
        <w:tc>
          <w:tcPr>
            <w:tcW w:type="dxa" w:w="1704"/>
          </w:tcPr>
          <w:p>
            <w:pPr>
              <w:spacing w:after="0"/>
            </w:pPr>
            <w:r>
              <w:rPr>
                <w:rFonts w:ascii="Arial" w:hAnsi="Arial"/>
                <w:b w:val="0"/>
                <w:sz w:val="12"/>
              </w:rPr>
              <w:t>Moderate coverage; access control and audit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agent-human role distinction</w:t>
            </w:r>
          </w:p>
        </w:tc>
        <w:tc>
          <w:tcPr>
            <w:tcW w:type="dxa" w:w="1704"/>
          </w:tcPr>
          <w:p>
            <w:pPr>
              <w:spacing w:after="0"/>
            </w:pPr>
            <w:r>
              <w:rPr>
                <w:rFonts w:ascii="Arial" w:hAnsi="Arial"/>
                <w:b w:val="0"/>
                <w:sz w:val="12"/>
              </w:rPr>
              <w:t>Product documentation with agent roles, human roles, distinction, and access control</w:t>
            </w:r>
          </w:p>
        </w:tc>
        <w:tc>
          <w:tcPr>
            <w:tcW w:type="dxa" w:w="1704"/>
          </w:tcPr>
          <w:p>
            <w:pPr>
              <w:spacing w:after="0"/>
            </w:pPr>
            <w:r>
              <w:rPr>
                <w:rFonts w:ascii="Arial" w:hAnsi="Arial"/>
                <w:b w:val="0"/>
                <w:sz w:val="12"/>
              </w:rPr>
              <w:t>Agent role definitions, human role definitions, role distinction mechanisms, role-based access control</w:t>
            </w:r>
          </w:p>
        </w:tc>
        <w:tc>
          <w:tcPr>
            <w:tcW w:type="dxa" w:w="1704"/>
          </w:tcPr>
          <w:p>
            <w:pPr>
              <w:spacing w:after="0"/>
            </w:pPr>
            <w:r>
              <w:rPr>
                <w:rFonts w:ascii="Arial" w:hAnsi="Arial"/>
                <w:b w:val="0"/>
                <w:sz w:val="12"/>
              </w:rPr>
              <w:t>Role-based access control ≠ role audit trails or accountability tracking</w:t>
            </w:r>
          </w:p>
        </w:tc>
        <w:tc>
          <w:tcPr>
            <w:tcW w:type="dxa" w:w="1704"/>
          </w:tcPr>
          <w:p>
            <w:pPr>
              <w:spacing w:after="0"/>
            </w:pPr>
            <w:r>
              <w:rPr>
                <w:rFonts w:ascii="Arial" w:hAnsi="Arial"/>
                <w:b w:val="0"/>
                <w:sz w:val="12"/>
              </w:rPr>
              <w:t>Strong coverage; audit and accountability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agent-human role distinction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with role distinction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ALCS-04: Accepted Outcome Compliance</w:t>
      </w:r>
    </w:p>
    <w:p>
      <w:pPr>
        <w:spacing w:after="56"/>
      </w:pPr>
      <w:r>
        <w:t>Core question: Does the system provide primitives for tracking accepted outcomes and ensuring compliance with accepted outcome boundaries?</w:t>
      </w:r>
    </w:p>
    <w:p>
      <w:pPr>
        <w:spacing w:after="56"/>
      </w:pPr>
      <w:r>
        <w:t>What counts: Accepted outcome definitions, outcome acceptance workflows, outcome compliance tracking, outcome audit trails</w:t>
      </w:r>
    </w:p>
    <w:p>
      <w:pPr>
        <w:spacing w:after="56"/>
      </w:pPr>
      <w:r>
        <w:t>What does not count: General output validation, outcome tracking without acceptance workflows, outcome tracking without compliance enforcement</w:t>
      </w:r>
    </w:p>
    <w:p>
      <w:pPr>
        <w:keepNext/>
      </w:pPr>
      <w:r>
        <w:rPr>
          <w:b/>
          <w:sz w:val="16"/>
        </w:rPr>
        <w:t>Table T-F-04: ALCS-04 Accepted Outcome Compliance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accepted outcome compliance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accepted outcome definitions, no acceptance workflows, no compliance tracking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accepted outcome compliance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accepted outcome compliance</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Accepted outcome compliance mentioned in marketing docs but no implementation details</w:t>
            </w:r>
          </w:p>
        </w:tc>
        <w:tc>
          <w:tcPr>
            <w:tcW w:type="dxa" w:w="1704"/>
          </w:tcPr>
          <w:p>
            <w:pPr>
              <w:spacing w:after="0"/>
            </w:pPr>
            <w:r>
              <w:rPr>
                <w:rFonts w:ascii="Arial" w:hAnsi="Arial"/>
                <w:b w:val="0"/>
                <w:sz w:val="12"/>
              </w:rPr>
              <w:t>Compliance mentioned ≠ compliance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accepted outcome compliance</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Accepted outcome definitions exist but no acceptance workflows or compliance tracking</w:t>
            </w:r>
          </w:p>
        </w:tc>
        <w:tc>
          <w:tcPr>
            <w:tcW w:type="dxa" w:w="1704"/>
          </w:tcPr>
          <w:p>
            <w:pPr>
              <w:spacing w:after="0"/>
            </w:pPr>
            <w:r>
              <w:rPr>
                <w:rFonts w:ascii="Arial" w:hAnsi="Arial"/>
                <w:b w:val="0"/>
                <w:sz w:val="12"/>
              </w:rPr>
              <w:t>Outcome definitions ≠ acceptance workflows or compliance tracking</w:t>
            </w:r>
          </w:p>
        </w:tc>
        <w:tc>
          <w:tcPr>
            <w:tcW w:type="dxa" w:w="1704"/>
          </w:tcPr>
          <w:p>
            <w:pPr>
              <w:spacing w:after="0"/>
            </w:pPr>
            <w:r>
              <w:rPr>
                <w:rFonts w:ascii="Arial" w:hAnsi="Arial"/>
                <w:b w:val="0"/>
                <w:sz w:val="12"/>
              </w:rPr>
              <w:t>Partial coverage; acceptance and compliance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accepted outcome compliance</w:t>
            </w:r>
          </w:p>
        </w:tc>
        <w:tc>
          <w:tcPr>
            <w:tcW w:type="dxa" w:w="1704"/>
          </w:tcPr>
          <w:p>
            <w:pPr>
              <w:spacing w:after="0"/>
            </w:pPr>
            <w:r>
              <w:rPr>
                <w:rFonts w:ascii="Arial" w:hAnsi="Arial"/>
                <w:b w:val="0"/>
                <w:sz w:val="12"/>
              </w:rPr>
              <w:t>Product documentation with outcome definitions and acceptance workflows</w:t>
            </w:r>
          </w:p>
        </w:tc>
        <w:tc>
          <w:tcPr>
            <w:tcW w:type="dxa" w:w="1704"/>
          </w:tcPr>
          <w:p>
            <w:pPr>
              <w:spacing w:after="0"/>
            </w:pPr>
            <w:r>
              <w:rPr>
                <w:rFonts w:ascii="Arial" w:hAnsi="Arial"/>
                <w:b w:val="0"/>
                <w:sz w:val="12"/>
              </w:rPr>
              <w:t>Accepted outcome definitions, outcome acceptance workflows, basic compliance tracking</w:t>
            </w:r>
          </w:p>
        </w:tc>
        <w:tc>
          <w:tcPr>
            <w:tcW w:type="dxa" w:w="1704"/>
          </w:tcPr>
          <w:p>
            <w:pPr>
              <w:spacing w:after="0"/>
            </w:pPr>
            <w:r>
              <w:rPr>
                <w:rFonts w:ascii="Arial" w:hAnsi="Arial"/>
                <w:b w:val="0"/>
                <w:sz w:val="12"/>
              </w:rPr>
              <w:t>Compliance tracking ≠ outcome audit trails or compliance enforcement</w:t>
            </w:r>
          </w:p>
        </w:tc>
        <w:tc>
          <w:tcPr>
            <w:tcW w:type="dxa" w:w="1704"/>
          </w:tcPr>
          <w:p>
            <w:pPr>
              <w:spacing w:after="0"/>
            </w:pPr>
            <w:r>
              <w:rPr>
                <w:rFonts w:ascii="Arial" w:hAnsi="Arial"/>
                <w:b w:val="0"/>
                <w:sz w:val="12"/>
              </w:rPr>
              <w:t>Moderate coverage; audit and enforcement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accepted outcome compliance</w:t>
            </w:r>
          </w:p>
        </w:tc>
        <w:tc>
          <w:tcPr>
            <w:tcW w:type="dxa" w:w="1704"/>
          </w:tcPr>
          <w:p>
            <w:pPr>
              <w:spacing w:after="0"/>
            </w:pPr>
            <w:r>
              <w:rPr>
                <w:rFonts w:ascii="Arial" w:hAnsi="Arial"/>
                <w:b w:val="0"/>
                <w:sz w:val="12"/>
              </w:rPr>
              <w:t>Product documentation with outcome definitions, acceptance, and compliance</w:t>
            </w:r>
          </w:p>
        </w:tc>
        <w:tc>
          <w:tcPr>
            <w:tcW w:type="dxa" w:w="1704"/>
          </w:tcPr>
          <w:p>
            <w:pPr>
              <w:spacing w:after="0"/>
            </w:pPr>
            <w:r>
              <w:rPr>
                <w:rFonts w:ascii="Arial" w:hAnsi="Arial"/>
                <w:b w:val="0"/>
                <w:sz w:val="12"/>
              </w:rPr>
              <w:t>Accepted outcome definitions, outcome acceptance workflows, compliance tracking, outcome audit trails</w:t>
            </w:r>
          </w:p>
        </w:tc>
        <w:tc>
          <w:tcPr>
            <w:tcW w:type="dxa" w:w="1704"/>
          </w:tcPr>
          <w:p>
            <w:pPr>
              <w:spacing w:after="0"/>
            </w:pPr>
            <w:r>
              <w:rPr>
                <w:rFonts w:ascii="Arial" w:hAnsi="Arial"/>
                <w:b w:val="0"/>
                <w:sz w:val="12"/>
              </w:rPr>
              <w:t>Outcome audit trails ≠ compliance enforcement or responsibility transfer tracking</w:t>
            </w:r>
          </w:p>
        </w:tc>
        <w:tc>
          <w:tcPr>
            <w:tcW w:type="dxa" w:w="1704"/>
          </w:tcPr>
          <w:p>
            <w:pPr>
              <w:spacing w:after="0"/>
            </w:pPr>
            <w:r>
              <w:rPr>
                <w:rFonts w:ascii="Arial" w:hAnsi="Arial"/>
                <w:b w:val="0"/>
                <w:sz w:val="12"/>
              </w:rPr>
              <w:t>Strong coverage; enforcement and transfer tracking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accepted outcome compliance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with outcome acceptance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ALCS-05: Tool-Action Liability Boundary</w:t>
      </w:r>
    </w:p>
    <w:p>
      <w:pPr>
        <w:spacing w:after="56"/>
      </w:pPr>
      <w:r>
        <w:t>Core question: Does the system provide primitives for defining and tracking tool-action liability boundaries?</w:t>
      </w:r>
    </w:p>
    <w:p>
      <w:pPr>
        <w:spacing w:after="56"/>
      </w:pPr>
      <w:r>
        <w:t>What counts: Tool-action liability definitions, liability boundary enforcement, liability tracking, liability audit trails</w:t>
      </w:r>
    </w:p>
    <w:p>
      <w:pPr>
        <w:spacing w:after="56"/>
      </w:pPr>
      <w:r>
        <w:t>What does not count: General tool usage tracking, liability tracking without boundary enforcement, liability tracking without lifecycle integration</w:t>
      </w:r>
    </w:p>
    <w:p>
      <w:pPr>
        <w:keepNext/>
      </w:pPr>
      <w:r>
        <w:rPr>
          <w:b/>
          <w:sz w:val="16"/>
        </w:rPr>
        <w:t>Table T-F-05: ALCS-05 Tool-Action Liability Boundary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tool-action liability boundary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liability definitions, no boundary enforcement, no liability tracking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tool-action liability boundary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tool-action liability boundary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Tool-action liability mentioned in marketing docs but no implementation details</w:t>
            </w:r>
          </w:p>
        </w:tc>
        <w:tc>
          <w:tcPr>
            <w:tcW w:type="dxa" w:w="1704"/>
          </w:tcPr>
          <w:p>
            <w:pPr>
              <w:spacing w:after="0"/>
            </w:pPr>
            <w:r>
              <w:rPr>
                <w:rFonts w:ascii="Arial" w:hAnsi="Arial"/>
                <w:b w:val="0"/>
                <w:sz w:val="12"/>
              </w:rPr>
              <w:t>Liability mentioned ≠ liability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tool-action liability boundary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Liability definitions exist but no boundary enforcement or liability tracking</w:t>
            </w:r>
          </w:p>
        </w:tc>
        <w:tc>
          <w:tcPr>
            <w:tcW w:type="dxa" w:w="1704"/>
          </w:tcPr>
          <w:p>
            <w:pPr>
              <w:spacing w:after="0"/>
            </w:pPr>
            <w:r>
              <w:rPr>
                <w:rFonts w:ascii="Arial" w:hAnsi="Arial"/>
                <w:b w:val="0"/>
                <w:sz w:val="12"/>
              </w:rPr>
              <w:t>Liability definitions ≠ boundary enforcement or tracking</w:t>
            </w:r>
          </w:p>
        </w:tc>
        <w:tc>
          <w:tcPr>
            <w:tcW w:type="dxa" w:w="1704"/>
          </w:tcPr>
          <w:p>
            <w:pPr>
              <w:spacing w:after="0"/>
            </w:pPr>
            <w:r>
              <w:rPr>
                <w:rFonts w:ascii="Arial" w:hAnsi="Arial"/>
                <w:b w:val="0"/>
                <w:sz w:val="12"/>
              </w:rPr>
              <w:t>Partial coverage; enforcement and tracking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tool-action liability boundary</w:t>
            </w:r>
          </w:p>
        </w:tc>
        <w:tc>
          <w:tcPr>
            <w:tcW w:type="dxa" w:w="1704"/>
          </w:tcPr>
          <w:p>
            <w:pPr>
              <w:spacing w:after="0"/>
            </w:pPr>
            <w:r>
              <w:rPr>
                <w:rFonts w:ascii="Arial" w:hAnsi="Arial"/>
                <w:b w:val="0"/>
                <w:sz w:val="12"/>
              </w:rPr>
              <w:t>Product documentation with liability definitions and boundary enforcement</w:t>
            </w:r>
          </w:p>
        </w:tc>
        <w:tc>
          <w:tcPr>
            <w:tcW w:type="dxa" w:w="1704"/>
          </w:tcPr>
          <w:p>
            <w:pPr>
              <w:spacing w:after="0"/>
            </w:pPr>
            <w:r>
              <w:rPr>
                <w:rFonts w:ascii="Arial" w:hAnsi="Arial"/>
                <w:b w:val="0"/>
                <w:sz w:val="12"/>
              </w:rPr>
              <w:t>Tool-action liability definitions, liability boundary enforcement, basic liability tracking</w:t>
            </w:r>
          </w:p>
        </w:tc>
        <w:tc>
          <w:tcPr>
            <w:tcW w:type="dxa" w:w="1704"/>
          </w:tcPr>
          <w:p>
            <w:pPr>
              <w:spacing w:after="0"/>
            </w:pPr>
            <w:r>
              <w:rPr>
                <w:rFonts w:ascii="Arial" w:hAnsi="Arial"/>
                <w:b w:val="0"/>
                <w:sz w:val="12"/>
              </w:rPr>
              <w:t>Liability tracking ≠ liability audit trails or responsibility transfer tracking</w:t>
            </w:r>
          </w:p>
        </w:tc>
        <w:tc>
          <w:tcPr>
            <w:tcW w:type="dxa" w:w="1704"/>
          </w:tcPr>
          <w:p>
            <w:pPr>
              <w:spacing w:after="0"/>
            </w:pPr>
            <w:r>
              <w:rPr>
                <w:rFonts w:ascii="Arial" w:hAnsi="Arial"/>
                <w:b w:val="0"/>
                <w:sz w:val="12"/>
              </w:rPr>
              <w:t>Moderate coverage; audit and transfer tracking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tool-action liability boundary</w:t>
            </w:r>
          </w:p>
        </w:tc>
        <w:tc>
          <w:tcPr>
            <w:tcW w:type="dxa" w:w="1704"/>
          </w:tcPr>
          <w:p>
            <w:pPr>
              <w:spacing w:after="0"/>
            </w:pPr>
            <w:r>
              <w:rPr>
                <w:rFonts w:ascii="Arial" w:hAnsi="Arial"/>
                <w:b w:val="0"/>
                <w:sz w:val="12"/>
              </w:rPr>
              <w:t>Product documentation with liability definitions, enforcement, and tracking</w:t>
            </w:r>
          </w:p>
        </w:tc>
        <w:tc>
          <w:tcPr>
            <w:tcW w:type="dxa" w:w="1704"/>
          </w:tcPr>
          <w:p>
            <w:pPr>
              <w:spacing w:after="0"/>
            </w:pPr>
            <w:r>
              <w:rPr>
                <w:rFonts w:ascii="Arial" w:hAnsi="Arial"/>
                <w:b w:val="0"/>
                <w:sz w:val="12"/>
              </w:rPr>
              <w:t>Tool-action liability definitions, liability boundary enforcement, liability tracking, liability audit trails</w:t>
            </w:r>
          </w:p>
        </w:tc>
        <w:tc>
          <w:tcPr>
            <w:tcW w:type="dxa" w:w="1704"/>
          </w:tcPr>
          <w:p>
            <w:pPr>
              <w:spacing w:after="0"/>
            </w:pPr>
            <w:r>
              <w:rPr>
                <w:rFonts w:ascii="Arial" w:hAnsi="Arial"/>
                <w:b w:val="0"/>
                <w:sz w:val="12"/>
              </w:rPr>
              <w:t>Liability audit trails ≠ responsibility transfer tracking or accepted outcome compliance</w:t>
            </w:r>
          </w:p>
        </w:tc>
        <w:tc>
          <w:tcPr>
            <w:tcW w:type="dxa" w:w="1704"/>
          </w:tcPr>
          <w:p>
            <w:pPr>
              <w:spacing w:after="0"/>
            </w:pPr>
            <w:r>
              <w:rPr>
                <w:rFonts w:ascii="Arial" w:hAnsi="Arial"/>
                <w:b w:val="0"/>
                <w:sz w:val="12"/>
              </w:rPr>
              <w:t>Strong coverage; transfer tracking and accepted outcome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tool-action liability boundary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26 accountability with tool-action liability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ALCS-06: Responsibility Transfer Across Agents</w:t>
      </w:r>
    </w:p>
    <w:p>
      <w:pPr>
        <w:spacing w:after="56"/>
      </w:pPr>
      <w:r>
        <w:t>Core question: Does the system provide primitives for tracking responsibility transfer across agents in multi-agent workflows?</w:t>
      </w:r>
    </w:p>
    <w:p>
      <w:pPr>
        <w:spacing w:after="56"/>
      </w:pPr>
      <w:r>
        <w:t>What counts: Responsibility transfer definitions, transfer workflows, transfer tracking, transfer audit trails</w:t>
      </w:r>
    </w:p>
    <w:p>
      <w:pPr>
        <w:spacing w:after="56"/>
      </w:pPr>
      <w:r>
        <w:t>What does not count: General workflow orchestration, transfer tracking without responsibility mapping, transfer tracking without lifecycle integration</w:t>
      </w:r>
    </w:p>
    <w:p>
      <w:pPr>
        <w:keepNext/>
      </w:pPr>
      <w:r>
        <w:rPr>
          <w:b/>
          <w:sz w:val="16"/>
        </w:rPr>
        <w:t>Table T-F-06: ALCS-06 Responsibility Transfer Across Agents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responsibility transfer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transfer definitions, no transfer workflows, no transfer tracking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responsibility transfer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responsibility transfer</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Responsibility transfer mentioned in marketing docs but no implementation details</w:t>
            </w:r>
          </w:p>
        </w:tc>
        <w:tc>
          <w:tcPr>
            <w:tcW w:type="dxa" w:w="1704"/>
          </w:tcPr>
          <w:p>
            <w:pPr>
              <w:spacing w:after="0"/>
            </w:pPr>
            <w:r>
              <w:rPr>
                <w:rFonts w:ascii="Arial" w:hAnsi="Arial"/>
                <w:b w:val="0"/>
                <w:sz w:val="12"/>
              </w:rPr>
              <w:t>Transfer mentioned ≠ transfer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responsibility transfer</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Transfer definitions exist but no transfer workflows or transfer tracking</w:t>
            </w:r>
          </w:p>
        </w:tc>
        <w:tc>
          <w:tcPr>
            <w:tcW w:type="dxa" w:w="1704"/>
          </w:tcPr>
          <w:p>
            <w:pPr>
              <w:spacing w:after="0"/>
            </w:pPr>
            <w:r>
              <w:rPr>
                <w:rFonts w:ascii="Arial" w:hAnsi="Arial"/>
                <w:b w:val="0"/>
                <w:sz w:val="12"/>
              </w:rPr>
              <w:t>Transfer definitions ≠ transfer workflows or tracking</w:t>
            </w:r>
          </w:p>
        </w:tc>
        <w:tc>
          <w:tcPr>
            <w:tcW w:type="dxa" w:w="1704"/>
          </w:tcPr>
          <w:p>
            <w:pPr>
              <w:spacing w:after="0"/>
            </w:pPr>
            <w:r>
              <w:rPr>
                <w:rFonts w:ascii="Arial" w:hAnsi="Arial"/>
                <w:b w:val="0"/>
                <w:sz w:val="12"/>
              </w:rPr>
              <w:t>Partial coverage; workflow and tracking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responsibility transfer</w:t>
            </w:r>
          </w:p>
        </w:tc>
        <w:tc>
          <w:tcPr>
            <w:tcW w:type="dxa" w:w="1704"/>
          </w:tcPr>
          <w:p>
            <w:pPr>
              <w:spacing w:after="0"/>
            </w:pPr>
            <w:r>
              <w:rPr>
                <w:rFonts w:ascii="Arial" w:hAnsi="Arial"/>
                <w:b w:val="0"/>
                <w:sz w:val="12"/>
              </w:rPr>
              <w:t>Product documentation with transfer definitions and workflows</w:t>
            </w:r>
          </w:p>
        </w:tc>
        <w:tc>
          <w:tcPr>
            <w:tcW w:type="dxa" w:w="1704"/>
          </w:tcPr>
          <w:p>
            <w:pPr>
              <w:spacing w:after="0"/>
            </w:pPr>
            <w:r>
              <w:rPr>
                <w:rFonts w:ascii="Arial" w:hAnsi="Arial"/>
                <w:b w:val="0"/>
                <w:sz w:val="12"/>
              </w:rPr>
              <w:t>Responsibility transfer definitions, transfer workflows, basic transfer tracking</w:t>
            </w:r>
          </w:p>
        </w:tc>
        <w:tc>
          <w:tcPr>
            <w:tcW w:type="dxa" w:w="1704"/>
          </w:tcPr>
          <w:p>
            <w:pPr>
              <w:spacing w:after="0"/>
            </w:pPr>
            <w:r>
              <w:rPr>
                <w:rFonts w:ascii="Arial" w:hAnsi="Arial"/>
                <w:b w:val="0"/>
                <w:sz w:val="12"/>
              </w:rPr>
              <w:t>Transfer tracking ≠ transfer audit trails or cross-agent accountability</w:t>
            </w:r>
          </w:p>
        </w:tc>
        <w:tc>
          <w:tcPr>
            <w:tcW w:type="dxa" w:w="1704"/>
          </w:tcPr>
          <w:p>
            <w:pPr>
              <w:spacing w:after="0"/>
            </w:pPr>
            <w:r>
              <w:rPr>
                <w:rFonts w:ascii="Arial" w:hAnsi="Arial"/>
                <w:b w:val="0"/>
                <w:sz w:val="12"/>
              </w:rPr>
              <w:t>Moderate coverage; audit and accountability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responsibility transfer</w:t>
            </w:r>
          </w:p>
        </w:tc>
        <w:tc>
          <w:tcPr>
            <w:tcW w:type="dxa" w:w="1704"/>
          </w:tcPr>
          <w:p>
            <w:pPr>
              <w:spacing w:after="0"/>
            </w:pPr>
            <w:r>
              <w:rPr>
                <w:rFonts w:ascii="Arial" w:hAnsi="Arial"/>
                <w:b w:val="0"/>
                <w:sz w:val="12"/>
              </w:rPr>
              <w:t>Product documentation with transfer definitions, workflows, and tracking</w:t>
            </w:r>
          </w:p>
        </w:tc>
        <w:tc>
          <w:tcPr>
            <w:tcW w:type="dxa" w:w="1704"/>
          </w:tcPr>
          <w:p>
            <w:pPr>
              <w:spacing w:after="0"/>
            </w:pPr>
            <w:r>
              <w:rPr>
                <w:rFonts w:ascii="Arial" w:hAnsi="Arial"/>
                <w:b w:val="0"/>
                <w:sz w:val="12"/>
              </w:rPr>
              <w:t>Responsibility transfer definitions, transfer workflows, transfer tracking, transfer audit trails</w:t>
            </w:r>
          </w:p>
        </w:tc>
        <w:tc>
          <w:tcPr>
            <w:tcW w:type="dxa" w:w="1704"/>
          </w:tcPr>
          <w:p>
            <w:pPr>
              <w:spacing w:after="0"/>
            </w:pPr>
            <w:r>
              <w:rPr>
                <w:rFonts w:ascii="Arial" w:hAnsi="Arial"/>
                <w:b w:val="0"/>
                <w:sz w:val="12"/>
              </w:rPr>
              <w:t>Transfer audit trails ≠ cross-agent accountability or MAS evidence partitioning</w:t>
            </w:r>
          </w:p>
        </w:tc>
        <w:tc>
          <w:tcPr>
            <w:tcW w:type="dxa" w:w="1704"/>
          </w:tcPr>
          <w:p>
            <w:pPr>
              <w:spacing w:after="0"/>
            </w:pPr>
            <w:r>
              <w:rPr>
                <w:rFonts w:ascii="Arial" w:hAnsi="Arial"/>
                <w:b w:val="0"/>
                <w:sz w:val="12"/>
              </w:rPr>
              <w:t>Strong coverage; accountability and evidence partitioning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responsibility transfer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26 accountability with multi-agent responsibility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ALCS-07: Authority Drift Detection</w:t>
      </w:r>
    </w:p>
    <w:p>
      <w:pPr>
        <w:spacing w:after="56"/>
      </w:pPr>
      <w:r>
        <w:t>Core question: Does the system provide primitives for detecting authority drift where agents exceed delegated authority boundaries?</w:t>
      </w:r>
    </w:p>
    <w:p>
      <w:pPr>
        <w:spacing w:after="56"/>
      </w:pPr>
      <w:r>
        <w:t>What counts: Authority drift definitions, drift detection mechanisms, drift alerting, drift audit trails</w:t>
      </w:r>
    </w:p>
    <w:p>
      <w:pPr>
        <w:spacing w:after="56"/>
      </w:pPr>
      <w:r>
        <w:t>What does not count: General anomaly detection, drift detection without authority boundary integration, drift detection without lifecycle integration</w:t>
      </w:r>
    </w:p>
    <w:p>
      <w:pPr>
        <w:keepNext/>
      </w:pPr>
      <w:r>
        <w:rPr>
          <w:b/>
          <w:sz w:val="16"/>
        </w:rPr>
        <w:t>Table T-F-07: ALCS-07 Authority Drift Detection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authority drift detection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drift definitions, no drift detection, no drift alerting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authority drift detection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authority drift detection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Authority drift detection mentioned in marketing docs but no implementation details</w:t>
            </w:r>
          </w:p>
        </w:tc>
        <w:tc>
          <w:tcPr>
            <w:tcW w:type="dxa" w:w="1704"/>
          </w:tcPr>
          <w:p>
            <w:pPr>
              <w:spacing w:after="0"/>
            </w:pPr>
            <w:r>
              <w:rPr>
                <w:rFonts w:ascii="Arial" w:hAnsi="Arial"/>
                <w:b w:val="0"/>
                <w:sz w:val="12"/>
              </w:rPr>
              <w:t>Drift detection mentioned ≠ drift detection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authority drift detection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Drift definitions exist but no drift detection mechanisms or drift alerting</w:t>
            </w:r>
          </w:p>
        </w:tc>
        <w:tc>
          <w:tcPr>
            <w:tcW w:type="dxa" w:w="1704"/>
          </w:tcPr>
          <w:p>
            <w:pPr>
              <w:spacing w:after="0"/>
            </w:pPr>
            <w:r>
              <w:rPr>
                <w:rFonts w:ascii="Arial" w:hAnsi="Arial"/>
                <w:b w:val="0"/>
                <w:sz w:val="12"/>
              </w:rPr>
              <w:t>Drift definitions ≠ drift detection or alerting</w:t>
            </w:r>
          </w:p>
        </w:tc>
        <w:tc>
          <w:tcPr>
            <w:tcW w:type="dxa" w:w="1704"/>
          </w:tcPr>
          <w:p>
            <w:pPr>
              <w:spacing w:after="0"/>
            </w:pPr>
            <w:r>
              <w:rPr>
                <w:rFonts w:ascii="Arial" w:hAnsi="Arial"/>
                <w:b w:val="0"/>
                <w:sz w:val="12"/>
              </w:rPr>
              <w:t>Partial coverage; detection and alerting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authority drift detection</w:t>
            </w:r>
          </w:p>
        </w:tc>
        <w:tc>
          <w:tcPr>
            <w:tcW w:type="dxa" w:w="1704"/>
          </w:tcPr>
          <w:p>
            <w:pPr>
              <w:spacing w:after="0"/>
            </w:pPr>
            <w:r>
              <w:rPr>
                <w:rFonts w:ascii="Arial" w:hAnsi="Arial"/>
                <w:b w:val="0"/>
                <w:sz w:val="12"/>
              </w:rPr>
              <w:t>Product documentation with drift definitions and detection</w:t>
            </w:r>
          </w:p>
        </w:tc>
        <w:tc>
          <w:tcPr>
            <w:tcW w:type="dxa" w:w="1704"/>
          </w:tcPr>
          <w:p>
            <w:pPr>
              <w:spacing w:after="0"/>
            </w:pPr>
            <w:r>
              <w:rPr>
                <w:rFonts w:ascii="Arial" w:hAnsi="Arial"/>
                <w:b w:val="0"/>
                <w:sz w:val="12"/>
              </w:rPr>
              <w:t>Authority drift definitions, drift detection mechanisms, basic drift alerting</w:t>
            </w:r>
          </w:p>
        </w:tc>
        <w:tc>
          <w:tcPr>
            <w:tcW w:type="dxa" w:w="1704"/>
          </w:tcPr>
          <w:p>
            <w:pPr>
              <w:spacing w:after="0"/>
            </w:pPr>
            <w:r>
              <w:rPr>
                <w:rFonts w:ascii="Arial" w:hAnsi="Arial"/>
                <w:b w:val="0"/>
                <w:sz w:val="12"/>
              </w:rPr>
              <w:t>Drift alerting ≠ drift audit trails or drift remediation workflows</w:t>
            </w:r>
          </w:p>
        </w:tc>
        <w:tc>
          <w:tcPr>
            <w:tcW w:type="dxa" w:w="1704"/>
          </w:tcPr>
          <w:p>
            <w:pPr>
              <w:spacing w:after="0"/>
            </w:pPr>
            <w:r>
              <w:rPr>
                <w:rFonts w:ascii="Arial" w:hAnsi="Arial"/>
                <w:b w:val="0"/>
                <w:sz w:val="12"/>
              </w:rPr>
              <w:t>Moderate coverage; audit and remediation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authority drift detection</w:t>
            </w:r>
          </w:p>
        </w:tc>
        <w:tc>
          <w:tcPr>
            <w:tcW w:type="dxa" w:w="1704"/>
          </w:tcPr>
          <w:p>
            <w:pPr>
              <w:spacing w:after="0"/>
            </w:pPr>
            <w:r>
              <w:rPr>
                <w:rFonts w:ascii="Arial" w:hAnsi="Arial"/>
                <w:b w:val="0"/>
                <w:sz w:val="12"/>
              </w:rPr>
              <w:t>Product documentation with drift definitions, detection, and alerting</w:t>
            </w:r>
          </w:p>
        </w:tc>
        <w:tc>
          <w:tcPr>
            <w:tcW w:type="dxa" w:w="1704"/>
          </w:tcPr>
          <w:p>
            <w:pPr>
              <w:spacing w:after="0"/>
            </w:pPr>
            <w:r>
              <w:rPr>
                <w:rFonts w:ascii="Arial" w:hAnsi="Arial"/>
                <w:b w:val="0"/>
                <w:sz w:val="12"/>
              </w:rPr>
              <w:t>Authority drift definitions, drift detection mechanisms, drift alerting, drift audit trails</w:t>
            </w:r>
          </w:p>
        </w:tc>
        <w:tc>
          <w:tcPr>
            <w:tcW w:type="dxa" w:w="1704"/>
          </w:tcPr>
          <w:p>
            <w:pPr>
              <w:spacing w:after="0"/>
            </w:pPr>
            <w:r>
              <w:rPr>
                <w:rFonts w:ascii="Arial" w:hAnsi="Arial"/>
                <w:b w:val="0"/>
                <w:sz w:val="12"/>
              </w:rPr>
              <w:t>Drift audit trails ≠ drift remediation workflows or continuous monitoring</w:t>
            </w:r>
          </w:p>
        </w:tc>
        <w:tc>
          <w:tcPr>
            <w:tcW w:type="dxa" w:w="1704"/>
          </w:tcPr>
          <w:p>
            <w:pPr>
              <w:spacing w:after="0"/>
            </w:pPr>
            <w:r>
              <w:rPr>
                <w:rFonts w:ascii="Arial" w:hAnsi="Arial"/>
                <w:b w:val="0"/>
                <w:sz w:val="12"/>
              </w:rPr>
              <w:t>Strong coverage; remediation and continuous monitoring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authority drift detection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72 post-market monitoring with authority drift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ALCS-08: MAS Evidence Partitioning</w:t>
      </w:r>
    </w:p>
    <w:p>
      <w:pPr>
        <w:spacing w:after="56"/>
      </w:pPr>
      <w:r>
        <w:t>Core question: Does the system provide primitives for partitioning evidence by agent, role, and responsibility in multi-agent systems?</w:t>
      </w:r>
    </w:p>
    <w:p>
      <w:pPr>
        <w:spacing w:after="56"/>
      </w:pPr>
      <w:r>
        <w:t>What counts: Evidence partitioning definitions, partitioning mechanisms, partitioned evidence storage, partitioned evidence retrieval</w:t>
      </w:r>
    </w:p>
    <w:p>
      <w:pPr>
        <w:spacing w:after="56"/>
      </w:pPr>
      <w:r>
        <w:t>What does not count: General evidence storage, evidence partitioning without agent/role/responsibility mapping, evidence partitioning without lifecycle integration</w:t>
      </w:r>
    </w:p>
    <w:p>
      <w:pPr>
        <w:keepNext/>
      </w:pPr>
      <w:r>
        <w:rPr>
          <w:b/>
          <w:sz w:val="16"/>
        </w:rPr>
        <w:t>Table T-F-08: ALCS-08 MAS Evidence Partitioning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MAS evidence partitioning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partitioning definitions, no partitioning mechanisms, no partitioned storage</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MAS evidence partitioning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MAS evidence partitioning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MAS evidence partitioning mentioned in marketing docs but no implementation details</w:t>
            </w:r>
          </w:p>
        </w:tc>
        <w:tc>
          <w:tcPr>
            <w:tcW w:type="dxa" w:w="1704"/>
          </w:tcPr>
          <w:p>
            <w:pPr>
              <w:spacing w:after="0"/>
            </w:pPr>
            <w:r>
              <w:rPr>
                <w:rFonts w:ascii="Arial" w:hAnsi="Arial"/>
                <w:b w:val="0"/>
                <w:sz w:val="12"/>
              </w:rPr>
              <w:t>Partitioning mentioned ≠ partitioning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MAS evidence partitioning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Partitioning definitions exist but no partitioning mechanisms or partitioned storage</w:t>
            </w:r>
          </w:p>
        </w:tc>
        <w:tc>
          <w:tcPr>
            <w:tcW w:type="dxa" w:w="1704"/>
          </w:tcPr>
          <w:p>
            <w:pPr>
              <w:spacing w:after="0"/>
            </w:pPr>
            <w:r>
              <w:rPr>
                <w:rFonts w:ascii="Arial" w:hAnsi="Arial"/>
                <w:b w:val="0"/>
                <w:sz w:val="12"/>
              </w:rPr>
              <w:t>Partitioning definitions ≠ partitioning mechanisms or storage</w:t>
            </w:r>
          </w:p>
        </w:tc>
        <w:tc>
          <w:tcPr>
            <w:tcW w:type="dxa" w:w="1704"/>
          </w:tcPr>
          <w:p>
            <w:pPr>
              <w:spacing w:after="0"/>
            </w:pPr>
            <w:r>
              <w:rPr>
                <w:rFonts w:ascii="Arial" w:hAnsi="Arial"/>
                <w:b w:val="0"/>
                <w:sz w:val="12"/>
              </w:rPr>
              <w:t>Partial coverage; mechanism and storage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MAS evidence partitioning</w:t>
            </w:r>
          </w:p>
        </w:tc>
        <w:tc>
          <w:tcPr>
            <w:tcW w:type="dxa" w:w="1704"/>
          </w:tcPr>
          <w:p>
            <w:pPr>
              <w:spacing w:after="0"/>
            </w:pPr>
            <w:r>
              <w:rPr>
                <w:rFonts w:ascii="Arial" w:hAnsi="Arial"/>
                <w:b w:val="0"/>
                <w:sz w:val="12"/>
              </w:rPr>
              <w:t>Product documentation with partitioning definitions and mechanisms</w:t>
            </w:r>
          </w:p>
        </w:tc>
        <w:tc>
          <w:tcPr>
            <w:tcW w:type="dxa" w:w="1704"/>
          </w:tcPr>
          <w:p>
            <w:pPr>
              <w:spacing w:after="0"/>
            </w:pPr>
            <w:r>
              <w:rPr>
                <w:rFonts w:ascii="Arial" w:hAnsi="Arial"/>
                <w:b w:val="0"/>
                <w:sz w:val="12"/>
              </w:rPr>
              <w:t>Evidence partitioning definitions, partitioning mechanisms, basic partitioned evidence storage</w:t>
            </w:r>
          </w:p>
        </w:tc>
        <w:tc>
          <w:tcPr>
            <w:tcW w:type="dxa" w:w="1704"/>
          </w:tcPr>
          <w:p>
            <w:pPr>
              <w:spacing w:after="0"/>
            </w:pPr>
            <w:r>
              <w:rPr>
                <w:rFonts w:ascii="Arial" w:hAnsi="Arial"/>
                <w:b w:val="0"/>
                <w:sz w:val="12"/>
              </w:rPr>
              <w:t>Partitioned storage ≠ partitioned evidence retrieval or selective disclosure</w:t>
            </w:r>
          </w:p>
        </w:tc>
        <w:tc>
          <w:tcPr>
            <w:tcW w:type="dxa" w:w="1704"/>
          </w:tcPr>
          <w:p>
            <w:pPr>
              <w:spacing w:after="0"/>
            </w:pPr>
            <w:r>
              <w:rPr>
                <w:rFonts w:ascii="Arial" w:hAnsi="Arial"/>
                <w:b w:val="0"/>
                <w:sz w:val="12"/>
              </w:rPr>
              <w:t>Moderate coverage; retrieval and disclosure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MAS evidence partitioning</w:t>
            </w:r>
          </w:p>
        </w:tc>
        <w:tc>
          <w:tcPr>
            <w:tcW w:type="dxa" w:w="1704"/>
          </w:tcPr>
          <w:p>
            <w:pPr>
              <w:spacing w:after="0"/>
            </w:pPr>
            <w:r>
              <w:rPr>
                <w:rFonts w:ascii="Arial" w:hAnsi="Arial"/>
                <w:b w:val="0"/>
                <w:sz w:val="12"/>
              </w:rPr>
              <w:t>Product documentation with partitioning definitions, mechanisms, and storage</w:t>
            </w:r>
          </w:p>
        </w:tc>
        <w:tc>
          <w:tcPr>
            <w:tcW w:type="dxa" w:w="1704"/>
          </w:tcPr>
          <w:p>
            <w:pPr>
              <w:spacing w:after="0"/>
            </w:pPr>
            <w:r>
              <w:rPr>
                <w:rFonts w:ascii="Arial" w:hAnsi="Arial"/>
                <w:b w:val="0"/>
                <w:sz w:val="12"/>
              </w:rPr>
              <w:t>Evidence partitioning definitions, partitioning mechanisms, partitioned evidence storage, partitioned evidence retrieval</w:t>
            </w:r>
          </w:p>
        </w:tc>
        <w:tc>
          <w:tcPr>
            <w:tcW w:type="dxa" w:w="1704"/>
          </w:tcPr>
          <w:p>
            <w:pPr>
              <w:spacing w:after="0"/>
            </w:pPr>
            <w:r>
              <w:rPr>
                <w:rFonts w:ascii="Arial" w:hAnsi="Arial"/>
                <w:b w:val="0"/>
                <w:sz w:val="12"/>
              </w:rPr>
              <w:t>Partitioned retrieval ≠ selective disclosure or evidence minimization</w:t>
            </w:r>
          </w:p>
        </w:tc>
        <w:tc>
          <w:tcPr>
            <w:tcW w:type="dxa" w:w="1704"/>
          </w:tcPr>
          <w:p>
            <w:pPr>
              <w:spacing w:after="0"/>
            </w:pPr>
            <w:r>
              <w:rPr>
                <w:rFonts w:ascii="Arial" w:hAnsi="Arial"/>
                <w:b w:val="0"/>
                <w:sz w:val="12"/>
              </w:rPr>
              <w:t>Strong coverage; disclosure and minimization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MAS evidence partitioning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5 data minimization with MAS evidence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ALCS-09: Cross-Project Reuse Compliance</w:t>
      </w:r>
    </w:p>
    <w:p>
      <w:pPr>
        <w:spacing w:after="56"/>
      </w:pPr>
      <w:r>
        <w:t>Core question: Does the system provide primitives for ensuring compliance when reusing agents, models, or workflows across projects?</w:t>
      </w:r>
    </w:p>
    <w:p>
      <w:pPr>
        <w:spacing w:after="56"/>
      </w:pPr>
      <w:r>
        <w:t>What counts: Reuse compliance definitions, reuse tracking, reuse validation, reuse audit trails</w:t>
      </w:r>
    </w:p>
    <w:p>
      <w:pPr>
        <w:spacing w:after="56"/>
      </w:pPr>
      <w:r>
        <w:t>What does not count: General code reuse, reuse tracking without compliance validation, reuse tracking without lifecycle integration</w:t>
      </w:r>
    </w:p>
    <w:p>
      <w:pPr>
        <w:keepNext/>
      </w:pPr>
      <w:r>
        <w:rPr>
          <w:b/>
          <w:sz w:val="16"/>
        </w:rPr>
        <w:t>Table T-F-09: ALCS-09 Cross-Project Reuse Compliance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cross-project reuse compliance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reuse compliance definitions, no reuse tracking, no reuse validation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cross-project reuse compliance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cross-project reuse compliance</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Cross-project reuse compliance mentioned in marketing docs but no implementation details</w:t>
            </w:r>
          </w:p>
        </w:tc>
        <w:tc>
          <w:tcPr>
            <w:tcW w:type="dxa" w:w="1704"/>
          </w:tcPr>
          <w:p>
            <w:pPr>
              <w:spacing w:after="0"/>
            </w:pPr>
            <w:r>
              <w:rPr>
                <w:rFonts w:ascii="Arial" w:hAnsi="Arial"/>
                <w:b w:val="0"/>
                <w:sz w:val="12"/>
              </w:rPr>
              <w:t>Reuse compliance mentioned ≠ reuse compliance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cross-project reuse compliance</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Reuse compliance definitions exist but no reuse tracking or reuse validation</w:t>
            </w:r>
          </w:p>
        </w:tc>
        <w:tc>
          <w:tcPr>
            <w:tcW w:type="dxa" w:w="1704"/>
          </w:tcPr>
          <w:p>
            <w:pPr>
              <w:spacing w:after="0"/>
            </w:pPr>
            <w:r>
              <w:rPr>
                <w:rFonts w:ascii="Arial" w:hAnsi="Arial"/>
                <w:b w:val="0"/>
                <w:sz w:val="12"/>
              </w:rPr>
              <w:t>Reuse definitions ≠ reuse tracking or validation</w:t>
            </w:r>
          </w:p>
        </w:tc>
        <w:tc>
          <w:tcPr>
            <w:tcW w:type="dxa" w:w="1704"/>
          </w:tcPr>
          <w:p>
            <w:pPr>
              <w:spacing w:after="0"/>
            </w:pPr>
            <w:r>
              <w:rPr>
                <w:rFonts w:ascii="Arial" w:hAnsi="Arial"/>
                <w:b w:val="0"/>
                <w:sz w:val="12"/>
              </w:rPr>
              <w:t>Partial coverage; tracking and validation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cross-project reuse compliance</w:t>
            </w:r>
          </w:p>
        </w:tc>
        <w:tc>
          <w:tcPr>
            <w:tcW w:type="dxa" w:w="1704"/>
          </w:tcPr>
          <w:p>
            <w:pPr>
              <w:spacing w:after="0"/>
            </w:pPr>
            <w:r>
              <w:rPr>
                <w:rFonts w:ascii="Arial" w:hAnsi="Arial"/>
                <w:b w:val="0"/>
                <w:sz w:val="12"/>
              </w:rPr>
              <w:t>Product documentation with reuse definitions and tracking</w:t>
            </w:r>
          </w:p>
        </w:tc>
        <w:tc>
          <w:tcPr>
            <w:tcW w:type="dxa" w:w="1704"/>
          </w:tcPr>
          <w:p>
            <w:pPr>
              <w:spacing w:after="0"/>
            </w:pPr>
            <w:r>
              <w:rPr>
                <w:rFonts w:ascii="Arial" w:hAnsi="Arial"/>
                <w:b w:val="0"/>
                <w:sz w:val="12"/>
              </w:rPr>
              <w:t>Reuse compliance definitions, reuse tracking, basic reuse validation</w:t>
            </w:r>
          </w:p>
        </w:tc>
        <w:tc>
          <w:tcPr>
            <w:tcW w:type="dxa" w:w="1704"/>
          </w:tcPr>
          <w:p>
            <w:pPr>
              <w:spacing w:after="0"/>
            </w:pPr>
            <w:r>
              <w:rPr>
                <w:rFonts w:ascii="Arial" w:hAnsi="Arial"/>
                <w:b w:val="0"/>
                <w:sz w:val="12"/>
              </w:rPr>
              <w:t>Reuse validation ≠ reuse audit trails or compliance enforcement</w:t>
            </w:r>
          </w:p>
        </w:tc>
        <w:tc>
          <w:tcPr>
            <w:tcW w:type="dxa" w:w="1704"/>
          </w:tcPr>
          <w:p>
            <w:pPr>
              <w:spacing w:after="0"/>
            </w:pPr>
            <w:r>
              <w:rPr>
                <w:rFonts w:ascii="Arial" w:hAnsi="Arial"/>
                <w:b w:val="0"/>
                <w:sz w:val="12"/>
              </w:rPr>
              <w:t>Moderate coverage; audit and enforcement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cross-project reuse compliance</w:t>
            </w:r>
          </w:p>
        </w:tc>
        <w:tc>
          <w:tcPr>
            <w:tcW w:type="dxa" w:w="1704"/>
          </w:tcPr>
          <w:p>
            <w:pPr>
              <w:spacing w:after="0"/>
            </w:pPr>
            <w:r>
              <w:rPr>
                <w:rFonts w:ascii="Arial" w:hAnsi="Arial"/>
                <w:b w:val="0"/>
                <w:sz w:val="12"/>
              </w:rPr>
              <w:t>Product documentation with reuse definitions, tracking, and validation</w:t>
            </w:r>
          </w:p>
        </w:tc>
        <w:tc>
          <w:tcPr>
            <w:tcW w:type="dxa" w:w="1704"/>
          </w:tcPr>
          <w:p>
            <w:pPr>
              <w:spacing w:after="0"/>
            </w:pPr>
            <w:r>
              <w:rPr>
                <w:rFonts w:ascii="Arial" w:hAnsi="Arial"/>
                <w:b w:val="0"/>
                <w:sz w:val="12"/>
              </w:rPr>
              <w:t>Reuse compliance definitions, reuse tracking, reuse validation, reuse audit trails</w:t>
            </w:r>
          </w:p>
        </w:tc>
        <w:tc>
          <w:tcPr>
            <w:tcW w:type="dxa" w:w="1704"/>
          </w:tcPr>
          <w:p>
            <w:pPr>
              <w:spacing w:after="0"/>
            </w:pPr>
            <w:r>
              <w:rPr>
                <w:rFonts w:ascii="Arial" w:hAnsi="Arial"/>
                <w:b w:val="0"/>
                <w:sz w:val="12"/>
              </w:rPr>
              <w:t>Reuse audit trails ≠ compliance enforcement or vendor substitution conformance</w:t>
            </w:r>
          </w:p>
        </w:tc>
        <w:tc>
          <w:tcPr>
            <w:tcW w:type="dxa" w:w="1704"/>
          </w:tcPr>
          <w:p>
            <w:pPr>
              <w:spacing w:after="0"/>
            </w:pPr>
            <w:r>
              <w:rPr>
                <w:rFonts w:ascii="Arial" w:hAnsi="Arial"/>
                <w:b w:val="0"/>
                <w:sz w:val="12"/>
              </w:rPr>
              <w:t>Strong coverage; enforcement and substitution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cross-project reuse compliance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43 conformity assessment with reuse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ALCS-10: Privacy/GDPR Lifecycle Mapping</w:t>
      </w:r>
    </w:p>
    <w:p>
      <w:pPr>
        <w:spacing w:after="56"/>
      </w:pPr>
      <w:r>
        <w:t>Core question: Does the system provide primitives for mapping privacy and GDPR requirements to AI lifecycle stages?</w:t>
      </w:r>
    </w:p>
    <w:p>
      <w:pPr>
        <w:spacing w:after="56"/>
      </w:pPr>
      <w:r>
        <w:t>What counts: Privacy lifecycle mapping definitions, GDPR requirement mapping, lifecycle stage integration, privacy audit trails</w:t>
      </w:r>
    </w:p>
    <w:p>
      <w:pPr>
        <w:spacing w:after="56"/>
      </w:pPr>
      <w:r>
        <w:t>What does not count: General privacy controls, privacy mapping without lifecycle integration, privacy mapping without GDPR-specific requirements</w:t>
      </w:r>
    </w:p>
    <w:p>
      <w:pPr>
        <w:keepNext/>
      </w:pPr>
      <w:r>
        <w:rPr>
          <w:b/>
          <w:sz w:val="16"/>
        </w:rPr>
        <w:t>Table T-F-10: ALCS-10 Privacy/GDPR Lifecycle Mapping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privacy/GDPR lifecycle mapping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privacy mapping definitions, no GDPR requirement mapping, no lifecycle integration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privacy/GDPR lifecycle mapping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privacy/GDPR lifecycle mapping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Privacy/GDPR lifecycle mapping mentioned in marketing docs but no implementation details</w:t>
            </w:r>
          </w:p>
        </w:tc>
        <w:tc>
          <w:tcPr>
            <w:tcW w:type="dxa" w:w="1704"/>
          </w:tcPr>
          <w:p>
            <w:pPr>
              <w:spacing w:after="0"/>
            </w:pPr>
            <w:r>
              <w:rPr>
                <w:rFonts w:ascii="Arial" w:hAnsi="Arial"/>
                <w:b w:val="0"/>
                <w:sz w:val="12"/>
              </w:rPr>
              <w:t>Mapping mentioned ≠ mapping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privacy/GDPR lifecycle mapping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Privacy mapping definitions exist but no GDPR requirement mapping or lifecycle integration</w:t>
            </w:r>
          </w:p>
        </w:tc>
        <w:tc>
          <w:tcPr>
            <w:tcW w:type="dxa" w:w="1704"/>
          </w:tcPr>
          <w:p>
            <w:pPr>
              <w:spacing w:after="0"/>
            </w:pPr>
            <w:r>
              <w:rPr>
                <w:rFonts w:ascii="Arial" w:hAnsi="Arial"/>
                <w:b w:val="0"/>
                <w:sz w:val="12"/>
              </w:rPr>
              <w:t>Privacy definitions ≠ GDPR mapping or lifecycle integration</w:t>
            </w:r>
          </w:p>
        </w:tc>
        <w:tc>
          <w:tcPr>
            <w:tcW w:type="dxa" w:w="1704"/>
          </w:tcPr>
          <w:p>
            <w:pPr>
              <w:spacing w:after="0"/>
            </w:pPr>
            <w:r>
              <w:rPr>
                <w:rFonts w:ascii="Arial" w:hAnsi="Arial"/>
                <w:b w:val="0"/>
                <w:sz w:val="12"/>
              </w:rPr>
              <w:t>Partial coverage; GDPR and lifecycle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privacy/GDPR lifecycle mapping</w:t>
            </w:r>
          </w:p>
        </w:tc>
        <w:tc>
          <w:tcPr>
            <w:tcW w:type="dxa" w:w="1704"/>
          </w:tcPr>
          <w:p>
            <w:pPr>
              <w:spacing w:after="0"/>
            </w:pPr>
            <w:r>
              <w:rPr>
                <w:rFonts w:ascii="Arial" w:hAnsi="Arial"/>
                <w:b w:val="0"/>
                <w:sz w:val="12"/>
              </w:rPr>
              <w:t>Product documentation with privacy mapping and GDPR requirements</w:t>
            </w:r>
          </w:p>
        </w:tc>
        <w:tc>
          <w:tcPr>
            <w:tcW w:type="dxa" w:w="1704"/>
          </w:tcPr>
          <w:p>
            <w:pPr>
              <w:spacing w:after="0"/>
            </w:pPr>
            <w:r>
              <w:rPr>
                <w:rFonts w:ascii="Arial" w:hAnsi="Arial"/>
                <w:b w:val="0"/>
                <w:sz w:val="12"/>
              </w:rPr>
              <w:t>Privacy lifecycle mapping definitions, GDPR requirement mapping, basic lifecycle stage integration</w:t>
            </w:r>
          </w:p>
        </w:tc>
        <w:tc>
          <w:tcPr>
            <w:tcW w:type="dxa" w:w="1704"/>
          </w:tcPr>
          <w:p>
            <w:pPr>
              <w:spacing w:after="0"/>
            </w:pPr>
            <w:r>
              <w:rPr>
                <w:rFonts w:ascii="Arial" w:hAnsi="Arial"/>
                <w:b w:val="0"/>
                <w:sz w:val="12"/>
              </w:rPr>
              <w:t>Lifecycle integration ≠ privacy audit trails or data subject rights workflows</w:t>
            </w:r>
          </w:p>
        </w:tc>
        <w:tc>
          <w:tcPr>
            <w:tcW w:type="dxa" w:w="1704"/>
          </w:tcPr>
          <w:p>
            <w:pPr>
              <w:spacing w:after="0"/>
            </w:pPr>
            <w:r>
              <w:rPr>
                <w:rFonts w:ascii="Arial" w:hAnsi="Arial"/>
                <w:b w:val="0"/>
                <w:sz w:val="12"/>
              </w:rPr>
              <w:t>Moderate coverage; audit and data subject rights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privacy/GDPR lifecycle mapping</w:t>
            </w:r>
          </w:p>
        </w:tc>
        <w:tc>
          <w:tcPr>
            <w:tcW w:type="dxa" w:w="1704"/>
          </w:tcPr>
          <w:p>
            <w:pPr>
              <w:spacing w:after="0"/>
            </w:pPr>
            <w:r>
              <w:rPr>
                <w:rFonts w:ascii="Arial" w:hAnsi="Arial"/>
                <w:b w:val="0"/>
                <w:sz w:val="12"/>
              </w:rPr>
              <w:t>Product documentation with privacy mapping, GDPR requirements, and lifecycle integration</w:t>
            </w:r>
          </w:p>
        </w:tc>
        <w:tc>
          <w:tcPr>
            <w:tcW w:type="dxa" w:w="1704"/>
          </w:tcPr>
          <w:p>
            <w:pPr>
              <w:spacing w:after="0"/>
            </w:pPr>
            <w:r>
              <w:rPr>
                <w:rFonts w:ascii="Arial" w:hAnsi="Arial"/>
                <w:b w:val="0"/>
                <w:sz w:val="12"/>
              </w:rPr>
              <w:t>Privacy lifecycle mapping definitions, GDPR requirement mapping, lifecycle stage integration, privacy audit trails</w:t>
            </w:r>
          </w:p>
        </w:tc>
        <w:tc>
          <w:tcPr>
            <w:tcW w:type="dxa" w:w="1704"/>
          </w:tcPr>
          <w:p>
            <w:pPr>
              <w:spacing w:after="0"/>
            </w:pPr>
            <w:r>
              <w:rPr>
                <w:rFonts w:ascii="Arial" w:hAnsi="Arial"/>
                <w:b w:val="0"/>
                <w:sz w:val="12"/>
              </w:rPr>
              <w:t>Privacy audit trails ≠ data subject rights workflows or evidence minimization</w:t>
            </w:r>
          </w:p>
        </w:tc>
        <w:tc>
          <w:tcPr>
            <w:tcW w:type="dxa" w:w="1704"/>
          </w:tcPr>
          <w:p>
            <w:pPr>
              <w:spacing w:after="0"/>
            </w:pPr>
            <w:r>
              <w:rPr>
                <w:rFonts w:ascii="Arial" w:hAnsi="Arial"/>
                <w:b w:val="0"/>
                <w:sz w:val="12"/>
              </w:rPr>
              <w:t>Strong coverage; data subject rights and minimization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privacy/GDPR lifecycle mapping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25 data protection by design with AI lifecycle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ALCS-11: Privacy-Preserving Third-Party Validation</w:t>
      </w:r>
    </w:p>
    <w:p>
      <w:pPr>
        <w:spacing w:after="56"/>
      </w:pPr>
      <w:r>
        <w:t>Core question: Does the system provide primitives for third-party validation while preserving privacy and minimizing evidence disclosure?</w:t>
      </w:r>
    </w:p>
    <w:p>
      <w:pPr>
        <w:spacing w:after="56"/>
      </w:pPr>
      <w:r>
        <w:t>What counts: Privacy-preserving validation mechanisms, selective disclosure controls, third-party validation workflows, validation audit trails</w:t>
      </w:r>
    </w:p>
    <w:p>
      <w:pPr>
        <w:spacing w:after="56"/>
      </w:pPr>
      <w:r>
        <w:t>What does not count: General third-party access, validation without privacy controls, validation without selective disclosure</w:t>
      </w:r>
    </w:p>
    <w:p>
      <w:pPr>
        <w:keepNext/>
      </w:pPr>
      <w:r>
        <w:rPr>
          <w:b/>
          <w:sz w:val="16"/>
        </w:rPr>
        <w:t>Table T-F-11: ALCS-11 Privacy-Preserving Third-Party Validation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privacy-preserving third-party validation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privacy-preserving validation, no selective disclosure, no validation workflows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privacy-preserving third-party validation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privacy-preserving third-party validation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Privacy-preserving validation mentioned in marketing docs but no implementation details</w:t>
            </w:r>
          </w:p>
        </w:tc>
        <w:tc>
          <w:tcPr>
            <w:tcW w:type="dxa" w:w="1704"/>
          </w:tcPr>
          <w:p>
            <w:pPr>
              <w:spacing w:after="0"/>
            </w:pPr>
            <w:r>
              <w:rPr>
                <w:rFonts w:ascii="Arial" w:hAnsi="Arial"/>
                <w:b w:val="0"/>
                <w:sz w:val="12"/>
              </w:rPr>
              <w:t>Validation mentioned ≠ validation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privacy-preserving third-party validation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Privacy-preserving validation mechanisms exist but no selective disclosure or validation workflows</w:t>
            </w:r>
          </w:p>
        </w:tc>
        <w:tc>
          <w:tcPr>
            <w:tcW w:type="dxa" w:w="1704"/>
          </w:tcPr>
          <w:p>
            <w:pPr>
              <w:spacing w:after="0"/>
            </w:pPr>
            <w:r>
              <w:rPr>
                <w:rFonts w:ascii="Arial" w:hAnsi="Arial"/>
                <w:b w:val="0"/>
                <w:sz w:val="12"/>
              </w:rPr>
              <w:t>Privacy mechanisms ≠ selective disclosure or workflows</w:t>
            </w:r>
          </w:p>
        </w:tc>
        <w:tc>
          <w:tcPr>
            <w:tcW w:type="dxa" w:w="1704"/>
          </w:tcPr>
          <w:p>
            <w:pPr>
              <w:spacing w:after="0"/>
            </w:pPr>
            <w:r>
              <w:rPr>
                <w:rFonts w:ascii="Arial" w:hAnsi="Arial"/>
                <w:b w:val="0"/>
                <w:sz w:val="12"/>
              </w:rPr>
              <w:t>Partial coverage; disclosure and workflow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privacy-preserving third-party validation</w:t>
            </w:r>
          </w:p>
        </w:tc>
        <w:tc>
          <w:tcPr>
            <w:tcW w:type="dxa" w:w="1704"/>
          </w:tcPr>
          <w:p>
            <w:pPr>
              <w:spacing w:after="0"/>
            </w:pPr>
            <w:r>
              <w:rPr>
                <w:rFonts w:ascii="Arial" w:hAnsi="Arial"/>
                <w:b w:val="0"/>
                <w:sz w:val="12"/>
              </w:rPr>
              <w:t>Product documentation with privacy mechanisms and selective disclosure</w:t>
            </w:r>
          </w:p>
        </w:tc>
        <w:tc>
          <w:tcPr>
            <w:tcW w:type="dxa" w:w="1704"/>
          </w:tcPr>
          <w:p>
            <w:pPr>
              <w:spacing w:after="0"/>
            </w:pPr>
            <w:r>
              <w:rPr>
                <w:rFonts w:ascii="Arial" w:hAnsi="Arial"/>
                <w:b w:val="0"/>
                <w:sz w:val="12"/>
              </w:rPr>
              <w:t>Privacy-preserving validation mechanisms, selective disclosure controls, basic third-party validation workflows</w:t>
            </w:r>
          </w:p>
        </w:tc>
        <w:tc>
          <w:tcPr>
            <w:tcW w:type="dxa" w:w="1704"/>
          </w:tcPr>
          <w:p>
            <w:pPr>
              <w:spacing w:after="0"/>
            </w:pPr>
            <w:r>
              <w:rPr>
                <w:rFonts w:ascii="Arial" w:hAnsi="Arial"/>
                <w:b w:val="0"/>
                <w:sz w:val="12"/>
              </w:rPr>
              <w:t>Validation workflows ≠ validation audit trails or evidence minimization</w:t>
            </w:r>
          </w:p>
        </w:tc>
        <w:tc>
          <w:tcPr>
            <w:tcW w:type="dxa" w:w="1704"/>
          </w:tcPr>
          <w:p>
            <w:pPr>
              <w:spacing w:after="0"/>
            </w:pPr>
            <w:r>
              <w:rPr>
                <w:rFonts w:ascii="Arial" w:hAnsi="Arial"/>
                <w:b w:val="0"/>
                <w:sz w:val="12"/>
              </w:rPr>
              <w:t>Moderate coverage; audit and minimization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privacy-preserving third-party validation</w:t>
            </w:r>
          </w:p>
        </w:tc>
        <w:tc>
          <w:tcPr>
            <w:tcW w:type="dxa" w:w="1704"/>
          </w:tcPr>
          <w:p>
            <w:pPr>
              <w:spacing w:after="0"/>
            </w:pPr>
            <w:r>
              <w:rPr>
                <w:rFonts w:ascii="Arial" w:hAnsi="Arial"/>
                <w:b w:val="0"/>
                <w:sz w:val="12"/>
              </w:rPr>
              <w:t>Product documentation with privacy mechanisms, disclosure, and workflows</w:t>
            </w:r>
          </w:p>
        </w:tc>
        <w:tc>
          <w:tcPr>
            <w:tcW w:type="dxa" w:w="1704"/>
          </w:tcPr>
          <w:p>
            <w:pPr>
              <w:spacing w:after="0"/>
            </w:pPr>
            <w:r>
              <w:rPr>
                <w:rFonts w:ascii="Arial" w:hAnsi="Arial"/>
                <w:b w:val="0"/>
                <w:sz w:val="12"/>
              </w:rPr>
              <w:t>Privacy-preserving validation mechanisms, selective disclosure controls, third-party validation workflows, validation audit trails</w:t>
            </w:r>
          </w:p>
        </w:tc>
        <w:tc>
          <w:tcPr>
            <w:tcW w:type="dxa" w:w="1704"/>
          </w:tcPr>
          <w:p>
            <w:pPr>
              <w:spacing w:after="0"/>
            </w:pPr>
            <w:r>
              <w:rPr>
                <w:rFonts w:ascii="Arial" w:hAnsi="Arial"/>
                <w:b w:val="0"/>
                <w:sz w:val="12"/>
              </w:rPr>
              <w:t>Validation audit trails ≠ evidence minimization or zero-knowledge proofs</w:t>
            </w:r>
          </w:p>
        </w:tc>
        <w:tc>
          <w:tcPr>
            <w:tcW w:type="dxa" w:w="1704"/>
          </w:tcPr>
          <w:p>
            <w:pPr>
              <w:spacing w:after="0"/>
            </w:pPr>
            <w:r>
              <w:rPr>
                <w:rFonts w:ascii="Arial" w:hAnsi="Arial"/>
                <w:b w:val="0"/>
                <w:sz w:val="12"/>
              </w:rPr>
              <w:t>Strong coverage; minimization and zero-knowledge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privacy-preserving third-party validation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5 data minimization with third-party validation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ALCS-12: Evidence Minimization and Selective Disclosure</w:t>
      </w:r>
    </w:p>
    <w:p>
      <w:pPr>
        <w:spacing w:after="56"/>
      </w:pPr>
      <w:r>
        <w:t>Core question: Does the system provide primitives for evidence minimization and selective disclosure to reduce privacy risk?</w:t>
      </w:r>
    </w:p>
    <w:p>
      <w:pPr>
        <w:spacing w:after="56"/>
      </w:pPr>
      <w:r>
        <w:t>What counts: Evidence minimization policies, selective disclosure mechanisms, disclosure controls, minimization audit trails</w:t>
      </w:r>
    </w:p>
    <w:p>
      <w:pPr>
        <w:spacing w:after="56"/>
      </w:pPr>
      <w:r>
        <w:t>What does not count: General data minimization, minimization without lifecycle integration, minimization without selective disclosure controls</w:t>
      </w:r>
    </w:p>
    <w:p>
      <w:pPr>
        <w:keepNext/>
      </w:pPr>
      <w:r>
        <w:rPr>
          <w:b/>
          <w:sz w:val="16"/>
        </w:rPr>
        <w:t>Table T-F-12: ALCS-12 Evidence Minimization and Selective Disclosure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evidence minimization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minimization policies, no selective disclosure, no disclosure controls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evidence minimization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evidence minimization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Evidence minimization mentioned in marketing docs but no implementation details</w:t>
            </w:r>
          </w:p>
        </w:tc>
        <w:tc>
          <w:tcPr>
            <w:tcW w:type="dxa" w:w="1704"/>
          </w:tcPr>
          <w:p>
            <w:pPr>
              <w:spacing w:after="0"/>
            </w:pPr>
            <w:r>
              <w:rPr>
                <w:rFonts w:ascii="Arial" w:hAnsi="Arial"/>
                <w:b w:val="0"/>
                <w:sz w:val="12"/>
              </w:rPr>
              <w:t>Minimization mentioned ≠ minimization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evidence minimization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Minimization policies exist but no selective disclosure mechanisms or disclosure controls</w:t>
            </w:r>
          </w:p>
        </w:tc>
        <w:tc>
          <w:tcPr>
            <w:tcW w:type="dxa" w:w="1704"/>
          </w:tcPr>
          <w:p>
            <w:pPr>
              <w:spacing w:after="0"/>
            </w:pPr>
            <w:r>
              <w:rPr>
                <w:rFonts w:ascii="Arial" w:hAnsi="Arial"/>
                <w:b w:val="0"/>
                <w:sz w:val="12"/>
              </w:rPr>
              <w:t>Minimization policies ≠ selective disclosure or controls</w:t>
            </w:r>
          </w:p>
        </w:tc>
        <w:tc>
          <w:tcPr>
            <w:tcW w:type="dxa" w:w="1704"/>
          </w:tcPr>
          <w:p>
            <w:pPr>
              <w:spacing w:after="0"/>
            </w:pPr>
            <w:r>
              <w:rPr>
                <w:rFonts w:ascii="Arial" w:hAnsi="Arial"/>
                <w:b w:val="0"/>
                <w:sz w:val="12"/>
              </w:rPr>
              <w:t>Partial coverage; disclosure and control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evidence minimization</w:t>
            </w:r>
          </w:p>
        </w:tc>
        <w:tc>
          <w:tcPr>
            <w:tcW w:type="dxa" w:w="1704"/>
          </w:tcPr>
          <w:p>
            <w:pPr>
              <w:spacing w:after="0"/>
            </w:pPr>
            <w:r>
              <w:rPr>
                <w:rFonts w:ascii="Arial" w:hAnsi="Arial"/>
                <w:b w:val="0"/>
                <w:sz w:val="12"/>
              </w:rPr>
              <w:t>Product documentation with minimization policies and selective disclosure</w:t>
            </w:r>
          </w:p>
        </w:tc>
        <w:tc>
          <w:tcPr>
            <w:tcW w:type="dxa" w:w="1704"/>
          </w:tcPr>
          <w:p>
            <w:pPr>
              <w:spacing w:after="0"/>
            </w:pPr>
            <w:r>
              <w:rPr>
                <w:rFonts w:ascii="Arial" w:hAnsi="Arial"/>
                <w:b w:val="0"/>
                <w:sz w:val="12"/>
              </w:rPr>
              <w:t>Evidence minimization policies, selective disclosure mechanisms, basic disclosure controls</w:t>
            </w:r>
          </w:p>
        </w:tc>
        <w:tc>
          <w:tcPr>
            <w:tcW w:type="dxa" w:w="1704"/>
          </w:tcPr>
          <w:p>
            <w:pPr>
              <w:spacing w:after="0"/>
            </w:pPr>
            <w:r>
              <w:rPr>
                <w:rFonts w:ascii="Arial" w:hAnsi="Arial"/>
                <w:b w:val="0"/>
                <w:sz w:val="12"/>
              </w:rPr>
              <w:t>Disclosure controls ≠ minimization audit trails or retention enforcement</w:t>
            </w:r>
          </w:p>
        </w:tc>
        <w:tc>
          <w:tcPr>
            <w:tcW w:type="dxa" w:w="1704"/>
          </w:tcPr>
          <w:p>
            <w:pPr>
              <w:spacing w:after="0"/>
            </w:pPr>
            <w:r>
              <w:rPr>
                <w:rFonts w:ascii="Arial" w:hAnsi="Arial"/>
                <w:b w:val="0"/>
                <w:sz w:val="12"/>
              </w:rPr>
              <w:t>Moderate coverage; audit and retention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evidence minimization</w:t>
            </w:r>
          </w:p>
        </w:tc>
        <w:tc>
          <w:tcPr>
            <w:tcW w:type="dxa" w:w="1704"/>
          </w:tcPr>
          <w:p>
            <w:pPr>
              <w:spacing w:after="0"/>
            </w:pPr>
            <w:r>
              <w:rPr>
                <w:rFonts w:ascii="Arial" w:hAnsi="Arial"/>
                <w:b w:val="0"/>
                <w:sz w:val="12"/>
              </w:rPr>
              <w:t>Product documentation with minimization policies, disclosure, and controls</w:t>
            </w:r>
          </w:p>
        </w:tc>
        <w:tc>
          <w:tcPr>
            <w:tcW w:type="dxa" w:w="1704"/>
          </w:tcPr>
          <w:p>
            <w:pPr>
              <w:spacing w:after="0"/>
            </w:pPr>
            <w:r>
              <w:rPr>
                <w:rFonts w:ascii="Arial" w:hAnsi="Arial"/>
                <w:b w:val="0"/>
                <w:sz w:val="12"/>
              </w:rPr>
              <w:t>Evidence minimization policies, selective disclosure mechanisms, disclosure controls, minimization audit trails</w:t>
            </w:r>
          </w:p>
        </w:tc>
        <w:tc>
          <w:tcPr>
            <w:tcW w:type="dxa" w:w="1704"/>
          </w:tcPr>
          <w:p>
            <w:pPr>
              <w:spacing w:after="0"/>
            </w:pPr>
            <w:r>
              <w:rPr>
                <w:rFonts w:ascii="Arial" w:hAnsi="Arial"/>
                <w:b w:val="0"/>
                <w:sz w:val="12"/>
              </w:rPr>
              <w:t>Minimization audit trails ≠ retention enforcement or data subject rights integration</w:t>
            </w:r>
          </w:p>
        </w:tc>
        <w:tc>
          <w:tcPr>
            <w:tcW w:type="dxa" w:w="1704"/>
          </w:tcPr>
          <w:p>
            <w:pPr>
              <w:spacing w:after="0"/>
            </w:pPr>
            <w:r>
              <w:rPr>
                <w:rFonts w:ascii="Arial" w:hAnsi="Arial"/>
                <w:b w:val="0"/>
                <w:sz w:val="12"/>
              </w:rPr>
              <w:t>Strong coverage; retention and data subject rights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evidence minimization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5 data minimization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ALCS-13: Data Subject Rights vs Evidence Retention</w:t>
      </w:r>
    </w:p>
    <w:p>
      <w:pPr>
        <w:spacing w:after="56"/>
      </w:pPr>
      <w:r>
        <w:t>Core question: Does the system provide primitives for balancing data subject rights (erasure, portability) with evidence retention requirements?</w:t>
      </w:r>
    </w:p>
    <w:p>
      <w:pPr>
        <w:spacing w:after="56"/>
      </w:pPr>
      <w:r>
        <w:t>What counts: Data subject rights workflows, evidence retention policies, rights-retention conflict resolution, conflict audit trails</w:t>
      </w:r>
    </w:p>
    <w:p>
      <w:pPr>
        <w:spacing w:after="56"/>
      </w:pPr>
      <w:r>
        <w:t>What does not count: General data subject rights, rights workflows without evidence retention integration, rights workflows without conflict resolution</w:t>
      </w:r>
    </w:p>
    <w:p>
      <w:pPr>
        <w:keepNext/>
      </w:pPr>
      <w:r>
        <w:rPr>
          <w:b/>
          <w:sz w:val="16"/>
        </w:rPr>
        <w:t>Table T-F-13: ALCS-13 Data Subject Rights vs Evidence Retention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data subject rights vs evidence retention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data subject rights workflows, no evidence retention policies, no conflict resolution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data subject rights vs evidence retention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data subject rights vs evidence retention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Data subject rights vs evidence retention mentioned in marketing docs but no implementation details</w:t>
            </w:r>
          </w:p>
        </w:tc>
        <w:tc>
          <w:tcPr>
            <w:tcW w:type="dxa" w:w="1704"/>
          </w:tcPr>
          <w:p>
            <w:pPr>
              <w:spacing w:after="0"/>
            </w:pPr>
            <w:r>
              <w:rPr>
                <w:rFonts w:ascii="Arial" w:hAnsi="Arial"/>
                <w:b w:val="0"/>
                <w:sz w:val="12"/>
              </w:rPr>
              <w:t>Rights-retention mentioned ≠ rights-retention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data subject rights vs evidence retention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Data subject rights workflows exist but no evidence retention policies or conflict resolution</w:t>
            </w:r>
          </w:p>
        </w:tc>
        <w:tc>
          <w:tcPr>
            <w:tcW w:type="dxa" w:w="1704"/>
          </w:tcPr>
          <w:p>
            <w:pPr>
              <w:spacing w:after="0"/>
            </w:pPr>
            <w:r>
              <w:rPr>
                <w:rFonts w:ascii="Arial" w:hAnsi="Arial"/>
                <w:b w:val="0"/>
                <w:sz w:val="12"/>
              </w:rPr>
              <w:t>Rights workflows ≠ retention policies or conflict resolution</w:t>
            </w:r>
          </w:p>
        </w:tc>
        <w:tc>
          <w:tcPr>
            <w:tcW w:type="dxa" w:w="1704"/>
          </w:tcPr>
          <w:p>
            <w:pPr>
              <w:spacing w:after="0"/>
            </w:pPr>
            <w:r>
              <w:rPr>
                <w:rFonts w:ascii="Arial" w:hAnsi="Arial"/>
                <w:b w:val="0"/>
                <w:sz w:val="12"/>
              </w:rPr>
              <w:t>Partial coverage; retention and conflict resolution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data subject rights vs evidence retention</w:t>
            </w:r>
          </w:p>
        </w:tc>
        <w:tc>
          <w:tcPr>
            <w:tcW w:type="dxa" w:w="1704"/>
          </w:tcPr>
          <w:p>
            <w:pPr>
              <w:spacing w:after="0"/>
            </w:pPr>
            <w:r>
              <w:rPr>
                <w:rFonts w:ascii="Arial" w:hAnsi="Arial"/>
                <w:b w:val="0"/>
                <w:sz w:val="12"/>
              </w:rPr>
              <w:t>Product documentation with rights workflows and retention policies</w:t>
            </w:r>
          </w:p>
        </w:tc>
        <w:tc>
          <w:tcPr>
            <w:tcW w:type="dxa" w:w="1704"/>
          </w:tcPr>
          <w:p>
            <w:pPr>
              <w:spacing w:after="0"/>
            </w:pPr>
            <w:r>
              <w:rPr>
                <w:rFonts w:ascii="Arial" w:hAnsi="Arial"/>
                <w:b w:val="0"/>
                <w:sz w:val="12"/>
              </w:rPr>
              <w:t>Data subject rights workflows, evidence retention policies, basic rights-retention conflict resolution</w:t>
            </w:r>
          </w:p>
        </w:tc>
        <w:tc>
          <w:tcPr>
            <w:tcW w:type="dxa" w:w="1704"/>
          </w:tcPr>
          <w:p>
            <w:pPr>
              <w:spacing w:after="0"/>
            </w:pPr>
            <w:r>
              <w:rPr>
                <w:rFonts w:ascii="Arial" w:hAnsi="Arial"/>
                <w:b w:val="0"/>
                <w:sz w:val="12"/>
              </w:rPr>
              <w:t>Conflict resolution ≠ conflict audit trails or legal basis tracking</w:t>
            </w:r>
          </w:p>
        </w:tc>
        <w:tc>
          <w:tcPr>
            <w:tcW w:type="dxa" w:w="1704"/>
          </w:tcPr>
          <w:p>
            <w:pPr>
              <w:spacing w:after="0"/>
            </w:pPr>
            <w:r>
              <w:rPr>
                <w:rFonts w:ascii="Arial" w:hAnsi="Arial"/>
                <w:b w:val="0"/>
                <w:sz w:val="12"/>
              </w:rPr>
              <w:t>Moderate coverage; audit and legal basis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data subject rights vs evidence retention</w:t>
            </w:r>
          </w:p>
        </w:tc>
        <w:tc>
          <w:tcPr>
            <w:tcW w:type="dxa" w:w="1704"/>
          </w:tcPr>
          <w:p>
            <w:pPr>
              <w:spacing w:after="0"/>
            </w:pPr>
            <w:r>
              <w:rPr>
                <w:rFonts w:ascii="Arial" w:hAnsi="Arial"/>
                <w:b w:val="0"/>
                <w:sz w:val="12"/>
              </w:rPr>
              <w:t>Product documentation with rights workflows, retention policies, and conflict resolution</w:t>
            </w:r>
          </w:p>
        </w:tc>
        <w:tc>
          <w:tcPr>
            <w:tcW w:type="dxa" w:w="1704"/>
          </w:tcPr>
          <w:p>
            <w:pPr>
              <w:spacing w:after="0"/>
            </w:pPr>
            <w:r>
              <w:rPr>
                <w:rFonts w:ascii="Arial" w:hAnsi="Arial"/>
                <w:b w:val="0"/>
                <w:sz w:val="12"/>
              </w:rPr>
              <w:t>Data subject rights workflows, evidence retention policies, rights-retention conflict resolution, conflict audit trails</w:t>
            </w:r>
          </w:p>
        </w:tc>
        <w:tc>
          <w:tcPr>
            <w:tcW w:type="dxa" w:w="1704"/>
          </w:tcPr>
          <w:p>
            <w:pPr>
              <w:spacing w:after="0"/>
            </w:pPr>
            <w:r>
              <w:rPr>
                <w:rFonts w:ascii="Arial" w:hAnsi="Arial"/>
                <w:b w:val="0"/>
                <w:sz w:val="12"/>
              </w:rPr>
              <w:t>Conflict audit trails ≠ legal basis tracking or regulatory exemption tracking</w:t>
            </w:r>
          </w:p>
        </w:tc>
        <w:tc>
          <w:tcPr>
            <w:tcW w:type="dxa" w:w="1704"/>
          </w:tcPr>
          <w:p>
            <w:pPr>
              <w:spacing w:after="0"/>
            </w:pPr>
            <w:r>
              <w:rPr>
                <w:rFonts w:ascii="Arial" w:hAnsi="Arial"/>
                <w:b w:val="0"/>
                <w:sz w:val="12"/>
              </w:rPr>
              <w:t>Strong coverage; legal basis and exemption tracking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data subject rights vs evidence retention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17 right to erasure with legal basis exemptions;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ALCS-14: Third-Party Processor/Subprocessor Chain</w:t>
      </w:r>
    </w:p>
    <w:p>
      <w:pPr>
        <w:spacing w:after="56"/>
      </w:pPr>
      <w:r>
        <w:t>Core question: Does the system provide primitives for tracking third-party processor and subprocessor chains in AI lifecycle workflows?</w:t>
      </w:r>
    </w:p>
    <w:p>
      <w:pPr>
        <w:spacing w:after="56"/>
      </w:pPr>
      <w:r>
        <w:t>What counts: Processor chain definitions, processor tracking, processor compliance validation, processor audit trails</w:t>
      </w:r>
    </w:p>
    <w:p>
      <w:pPr>
        <w:spacing w:after="56"/>
      </w:pPr>
      <w:r>
        <w:t>What does not count: General vendor management, processor tracking without compliance validation, processor tracking without lifecycle integration</w:t>
      </w:r>
    </w:p>
    <w:p>
      <w:pPr>
        <w:keepNext/>
      </w:pPr>
      <w:r>
        <w:rPr>
          <w:b/>
          <w:sz w:val="16"/>
        </w:rPr>
        <w:t>Table T-F-14: ALCS-14 Third-Party Processor/Subprocessor Chain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third-party processor chain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processor chain definitions, no processor tracking, no compliance validation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third-party processor chain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third-party processor chain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Third-party processor chain mentioned in marketing docs but no implementation details</w:t>
            </w:r>
          </w:p>
        </w:tc>
        <w:tc>
          <w:tcPr>
            <w:tcW w:type="dxa" w:w="1704"/>
          </w:tcPr>
          <w:p>
            <w:pPr>
              <w:spacing w:after="0"/>
            </w:pPr>
            <w:r>
              <w:rPr>
                <w:rFonts w:ascii="Arial" w:hAnsi="Arial"/>
                <w:b w:val="0"/>
                <w:sz w:val="12"/>
              </w:rPr>
              <w:t>Processor chain mentioned ≠ processor chain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third-party processor chain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Processor chain definitions exist but no processor tracking or compliance validation</w:t>
            </w:r>
          </w:p>
        </w:tc>
        <w:tc>
          <w:tcPr>
            <w:tcW w:type="dxa" w:w="1704"/>
          </w:tcPr>
          <w:p>
            <w:pPr>
              <w:spacing w:after="0"/>
            </w:pPr>
            <w:r>
              <w:rPr>
                <w:rFonts w:ascii="Arial" w:hAnsi="Arial"/>
                <w:b w:val="0"/>
                <w:sz w:val="12"/>
              </w:rPr>
              <w:t>Processor definitions ≠ processor tracking or validation</w:t>
            </w:r>
          </w:p>
        </w:tc>
        <w:tc>
          <w:tcPr>
            <w:tcW w:type="dxa" w:w="1704"/>
          </w:tcPr>
          <w:p>
            <w:pPr>
              <w:spacing w:after="0"/>
            </w:pPr>
            <w:r>
              <w:rPr>
                <w:rFonts w:ascii="Arial" w:hAnsi="Arial"/>
                <w:b w:val="0"/>
                <w:sz w:val="12"/>
              </w:rPr>
              <w:t>Partial coverage; tracking and validation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third-party processor chain</w:t>
            </w:r>
          </w:p>
        </w:tc>
        <w:tc>
          <w:tcPr>
            <w:tcW w:type="dxa" w:w="1704"/>
          </w:tcPr>
          <w:p>
            <w:pPr>
              <w:spacing w:after="0"/>
            </w:pPr>
            <w:r>
              <w:rPr>
                <w:rFonts w:ascii="Arial" w:hAnsi="Arial"/>
                <w:b w:val="0"/>
                <w:sz w:val="12"/>
              </w:rPr>
              <w:t>Product documentation with processor definitions and tracking</w:t>
            </w:r>
          </w:p>
        </w:tc>
        <w:tc>
          <w:tcPr>
            <w:tcW w:type="dxa" w:w="1704"/>
          </w:tcPr>
          <w:p>
            <w:pPr>
              <w:spacing w:after="0"/>
            </w:pPr>
            <w:r>
              <w:rPr>
                <w:rFonts w:ascii="Arial" w:hAnsi="Arial"/>
                <w:b w:val="0"/>
                <w:sz w:val="12"/>
              </w:rPr>
              <w:t>Processor chain definitions, processor tracking, basic processor compliance validation</w:t>
            </w:r>
          </w:p>
        </w:tc>
        <w:tc>
          <w:tcPr>
            <w:tcW w:type="dxa" w:w="1704"/>
          </w:tcPr>
          <w:p>
            <w:pPr>
              <w:spacing w:after="0"/>
            </w:pPr>
            <w:r>
              <w:rPr>
                <w:rFonts w:ascii="Arial" w:hAnsi="Arial"/>
                <w:b w:val="0"/>
                <w:sz w:val="12"/>
              </w:rPr>
              <w:t>Compliance validation ≠ processor audit trails or subprocessor notification</w:t>
            </w:r>
          </w:p>
        </w:tc>
        <w:tc>
          <w:tcPr>
            <w:tcW w:type="dxa" w:w="1704"/>
          </w:tcPr>
          <w:p>
            <w:pPr>
              <w:spacing w:after="0"/>
            </w:pPr>
            <w:r>
              <w:rPr>
                <w:rFonts w:ascii="Arial" w:hAnsi="Arial"/>
                <w:b w:val="0"/>
                <w:sz w:val="12"/>
              </w:rPr>
              <w:t>Moderate coverage; audit and notification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third-party processor chain</w:t>
            </w:r>
          </w:p>
        </w:tc>
        <w:tc>
          <w:tcPr>
            <w:tcW w:type="dxa" w:w="1704"/>
          </w:tcPr>
          <w:p>
            <w:pPr>
              <w:spacing w:after="0"/>
            </w:pPr>
            <w:r>
              <w:rPr>
                <w:rFonts w:ascii="Arial" w:hAnsi="Arial"/>
                <w:b w:val="0"/>
                <w:sz w:val="12"/>
              </w:rPr>
              <w:t>Product documentation with processor definitions, tracking, and validation</w:t>
            </w:r>
          </w:p>
        </w:tc>
        <w:tc>
          <w:tcPr>
            <w:tcW w:type="dxa" w:w="1704"/>
          </w:tcPr>
          <w:p>
            <w:pPr>
              <w:spacing w:after="0"/>
            </w:pPr>
            <w:r>
              <w:rPr>
                <w:rFonts w:ascii="Arial" w:hAnsi="Arial"/>
                <w:b w:val="0"/>
                <w:sz w:val="12"/>
              </w:rPr>
              <w:t>Processor chain definitions, processor tracking, processor compliance validation, processor audit trails</w:t>
            </w:r>
          </w:p>
        </w:tc>
        <w:tc>
          <w:tcPr>
            <w:tcW w:type="dxa" w:w="1704"/>
          </w:tcPr>
          <w:p>
            <w:pPr>
              <w:spacing w:after="0"/>
            </w:pPr>
            <w:r>
              <w:rPr>
                <w:rFonts w:ascii="Arial" w:hAnsi="Arial"/>
                <w:b w:val="0"/>
                <w:sz w:val="12"/>
              </w:rPr>
              <w:t>Processor audit trails ≠ subprocessor notification or data transfer impact assessment</w:t>
            </w:r>
          </w:p>
        </w:tc>
        <w:tc>
          <w:tcPr>
            <w:tcW w:type="dxa" w:w="1704"/>
          </w:tcPr>
          <w:p>
            <w:pPr>
              <w:spacing w:after="0"/>
            </w:pPr>
            <w:r>
              <w:rPr>
                <w:rFonts w:ascii="Arial" w:hAnsi="Arial"/>
                <w:b w:val="0"/>
                <w:sz w:val="12"/>
              </w:rPr>
              <w:t>Strong coverage; notification and impact assessment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third-party processor chain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28 processor requirements with subprocessor chain tracking;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ALCS-15: Vendor/Model/Runtime Substitution Conformance</w:t>
      </w:r>
    </w:p>
    <w:p>
      <w:pPr>
        <w:spacing w:after="56"/>
      </w:pPr>
      <w:r>
        <w:t>Core question: Does the system provide primitives for ensuring conformance when substituting vendors, models, or runtimes?</w:t>
      </w:r>
    </w:p>
    <w:p>
      <w:pPr>
        <w:spacing w:after="56"/>
      </w:pPr>
      <w:r>
        <w:t>What counts: Substitution conformance definitions, substitution tracking, substitution validation, substitution audit trails</w:t>
      </w:r>
    </w:p>
    <w:p>
      <w:pPr>
        <w:spacing w:after="56"/>
      </w:pPr>
      <w:r>
        <w:t>What does not count: General configuration management, substitution tracking without conformance validation, substitution tracking without lifecycle integration</w:t>
      </w:r>
    </w:p>
    <w:p>
      <w:pPr>
        <w:keepNext/>
      </w:pPr>
      <w:r>
        <w:rPr>
          <w:b/>
          <w:sz w:val="16"/>
        </w:rPr>
        <w:t>Table T-F-15: ALCS-15 Vendor/Model/Runtime Substitution Conformance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vendor/model/runtime substitution conformance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substitution conformance definitions, no substitution tracking, no substitution validation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vendor/model/runtime substitution conformance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vendor/model/runtime substitution conformance</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Substitution conformance mentioned in marketing docs but no implementation details</w:t>
            </w:r>
          </w:p>
        </w:tc>
        <w:tc>
          <w:tcPr>
            <w:tcW w:type="dxa" w:w="1704"/>
          </w:tcPr>
          <w:p>
            <w:pPr>
              <w:spacing w:after="0"/>
            </w:pPr>
            <w:r>
              <w:rPr>
                <w:rFonts w:ascii="Arial" w:hAnsi="Arial"/>
                <w:b w:val="0"/>
                <w:sz w:val="12"/>
              </w:rPr>
              <w:t>Substitution mentioned ≠ substitution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vendor/model/runtime substitution conformance</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Substitution conformance definitions exist but no substitution tracking or substitution validation</w:t>
            </w:r>
          </w:p>
        </w:tc>
        <w:tc>
          <w:tcPr>
            <w:tcW w:type="dxa" w:w="1704"/>
          </w:tcPr>
          <w:p>
            <w:pPr>
              <w:spacing w:after="0"/>
            </w:pPr>
            <w:r>
              <w:rPr>
                <w:rFonts w:ascii="Arial" w:hAnsi="Arial"/>
                <w:b w:val="0"/>
                <w:sz w:val="12"/>
              </w:rPr>
              <w:t>Substitution definitions ≠ substitution tracking or validation</w:t>
            </w:r>
          </w:p>
        </w:tc>
        <w:tc>
          <w:tcPr>
            <w:tcW w:type="dxa" w:w="1704"/>
          </w:tcPr>
          <w:p>
            <w:pPr>
              <w:spacing w:after="0"/>
            </w:pPr>
            <w:r>
              <w:rPr>
                <w:rFonts w:ascii="Arial" w:hAnsi="Arial"/>
                <w:b w:val="0"/>
                <w:sz w:val="12"/>
              </w:rPr>
              <w:t>Partial coverage; tracking and validation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vendor/model/runtime substitution conformance</w:t>
            </w:r>
          </w:p>
        </w:tc>
        <w:tc>
          <w:tcPr>
            <w:tcW w:type="dxa" w:w="1704"/>
          </w:tcPr>
          <w:p>
            <w:pPr>
              <w:spacing w:after="0"/>
            </w:pPr>
            <w:r>
              <w:rPr>
                <w:rFonts w:ascii="Arial" w:hAnsi="Arial"/>
                <w:b w:val="0"/>
                <w:sz w:val="12"/>
              </w:rPr>
              <w:t>Product documentation with substitution definitions and tracking</w:t>
            </w:r>
          </w:p>
        </w:tc>
        <w:tc>
          <w:tcPr>
            <w:tcW w:type="dxa" w:w="1704"/>
          </w:tcPr>
          <w:p>
            <w:pPr>
              <w:spacing w:after="0"/>
            </w:pPr>
            <w:r>
              <w:rPr>
                <w:rFonts w:ascii="Arial" w:hAnsi="Arial"/>
                <w:b w:val="0"/>
                <w:sz w:val="12"/>
              </w:rPr>
              <w:t>Substitution conformance definitions, substitution tracking, basic substitution validation</w:t>
            </w:r>
          </w:p>
        </w:tc>
        <w:tc>
          <w:tcPr>
            <w:tcW w:type="dxa" w:w="1704"/>
          </w:tcPr>
          <w:p>
            <w:pPr>
              <w:spacing w:after="0"/>
            </w:pPr>
            <w:r>
              <w:rPr>
                <w:rFonts w:ascii="Arial" w:hAnsi="Arial"/>
                <w:b w:val="0"/>
                <w:sz w:val="12"/>
              </w:rPr>
              <w:t>Substitution validation ≠ substitution audit trails or cross-project reuse compliance</w:t>
            </w:r>
          </w:p>
        </w:tc>
        <w:tc>
          <w:tcPr>
            <w:tcW w:type="dxa" w:w="1704"/>
          </w:tcPr>
          <w:p>
            <w:pPr>
              <w:spacing w:after="0"/>
            </w:pPr>
            <w:r>
              <w:rPr>
                <w:rFonts w:ascii="Arial" w:hAnsi="Arial"/>
                <w:b w:val="0"/>
                <w:sz w:val="12"/>
              </w:rPr>
              <w:t>Moderate coverage; audit and reuse compliance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vendor/model/runtime substitution conformance</w:t>
            </w:r>
          </w:p>
        </w:tc>
        <w:tc>
          <w:tcPr>
            <w:tcW w:type="dxa" w:w="1704"/>
          </w:tcPr>
          <w:p>
            <w:pPr>
              <w:spacing w:after="0"/>
            </w:pPr>
            <w:r>
              <w:rPr>
                <w:rFonts w:ascii="Arial" w:hAnsi="Arial"/>
                <w:b w:val="0"/>
                <w:sz w:val="12"/>
              </w:rPr>
              <w:t>Product documentation with substitution definitions, tracking, and validation</w:t>
            </w:r>
          </w:p>
        </w:tc>
        <w:tc>
          <w:tcPr>
            <w:tcW w:type="dxa" w:w="1704"/>
          </w:tcPr>
          <w:p>
            <w:pPr>
              <w:spacing w:after="0"/>
            </w:pPr>
            <w:r>
              <w:rPr>
                <w:rFonts w:ascii="Arial" w:hAnsi="Arial"/>
                <w:b w:val="0"/>
                <w:sz w:val="12"/>
              </w:rPr>
              <w:t>Substitution conformance definitions, substitution tracking, substitution validation, substitution audit trails</w:t>
            </w:r>
          </w:p>
        </w:tc>
        <w:tc>
          <w:tcPr>
            <w:tcW w:type="dxa" w:w="1704"/>
          </w:tcPr>
          <w:p>
            <w:pPr>
              <w:spacing w:after="0"/>
            </w:pPr>
            <w:r>
              <w:rPr>
                <w:rFonts w:ascii="Arial" w:hAnsi="Arial"/>
                <w:b w:val="0"/>
                <w:sz w:val="12"/>
              </w:rPr>
              <w:t>Substitution audit trails ≠ cross-project reuse compliance or evidence re-partitioning</w:t>
            </w:r>
          </w:p>
        </w:tc>
        <w:tc>
          <w:tcPr>
            <w:tcW w:type="dxa" w:w="1704"/>
          </w:tcPr>
          <w:p>
            <w:pPr>
              <w:spacing w:after="0"/>
            </w:pPr>
            <w:r>
              <w:rPr>
                <w:rFonts w:ascii="Arial" w:hAnsi="Arial"/>
                <w:b w:val="0"/>
                <w:sz w:val="12"/>
              </w:rPr>
              <w:t>Strong coverage; reuse compliance and re-partitioning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vendor/model/runtime substitution conformance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43 conformity assessment with substitution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2"/>
      </w:pPr>
      <w:r>
        <w:t>F.3 ALCS Evidence Requirements</w:t>
      </w:r>
    </w:p>
    <w:p>
      <w:pPr>
        <w:spacing w:after="56"/>
      </w:pPr>
      <w:r>
        <w:t>Evidence hierarchy:</w:t>
      </w:r>
    </w:p>
    <w:p>
      <w:pPr>
        <w:pStyle w:val="ListBullet"/>
        <w:spacing w:after="56"/>
      </w:pPr>
      <w:r>
        <w:t>L1 (Binding Legal Text): EU AI Act, GDPR, Colorado AI Act, formal standards (NIST AI RMF, ISO/IEC 42001)</w:t>
      </w:r>
    </w:p>
    <w:p>
      <w:pPr>
        <w:pStyle w:val="ListBullet"/>
        <w:spacing w:after="56"/>
      </w:pPr>
      <w:r>
        <w:t>L2 (Product Docs): Official product documentation, protocol specifications, GitHub repositories</w:t>
      </w:r>
    </w:p>
    <w:p>
      <w:pPr>
        <w:pStyle w:val="ListBullet"/>
        <w:spacing w:after="56"/>
      </w:pPr>
      <w:r>
        <w:t>L3 (Audit Report): Third-party audit reports, academic papers, industry reports</w:t>
      </w:r>
    </w:p>
    <w:p>
      <w:pPr>
        <w:pStyle w:val="ListBullet"/>
        <w:spacing w:after="56"/>
      </w:pPr>
      <w:r>
        <w:t>L4 (Vendor Claim): Vendor claims, marketing materials, blog posts</w:t>
      </w:r>
    </w:p>
    <w:p>
      <w:pPr>
        <w:pStyle w:val="ListBullet"/>
        <w:spacing w:after="56"/>
      </w:pPr>
      <w:r>
        <w:t>L5 (Author Inference): Author inference, analytical framework, logical derivation</w:t>
      </w:r>
    </w:p>
    <w:p>
      <w:pPr>
        <w:spacing w:after="56"/>
      </w:pPr>
      <w:r>
        <w:t>Evidence multiplier application:</w:t>
      </w:r>
    </w:p>
    <w:p>
      <w:pPr>
        <w:spacing w:after="56"/>
      </w:pPr>
      <w:r>
        <w:t>Dimension Score = (Raw Score / 5) × 100 × Evidence Confidence Multiplier</w:t>
        <w:br/>
        <w:br/>
        <w:t>Where:</w:t>
        <w:br/>
        <w:t>Raw Score = 0-5 based on capability assessment</w:t>
        <w:br/>
        <w:t>Evidence Confidence Multiplier = L1=1.00, L2=0.85, L3=0.75, L4=0.55, L5=0.35</w:t>
      </w:r>
    </w:p>
    <w:p>
      <w:pPr>
        <w:spacing w:after="56"/>
      </w:pPr>
      <w:r>
        <w:t>Example:</w:t>
      </w:r>
    </w:p>
    <w:p>
      <w:pPr>
        <w:spacing w:after="56"/>
      </w:pPr>
      <w:r>
        <w:t>ALCS-01 Human-Role-to-MAS Responsibility Mapping</w:t>
        <w:br/>
        <w:t>Raw Score: 3 (Moderate capability)</w:t>
        <w:br/>
        <w:t>Evidence Level: L2 (Product documentation)</w:t>
        <w:br/>
        <w:t>Evidence Multiplier: 0.85</w:t>
        <w:br/>
        <w:t>Dimension Score: (3/5) × 100 × 0.85 = 51.0</w:t>
      </w:r>
    </w:p>
    <w:p>
      <w:pPr>
        <w:pStyle w:val="Heading2"/>
      </w:pPr>
      <w:r>
        <w:t>F.4 ALCS Scoring Notes and Negative Controls</w:t>
      </w:r>
    </w:p>
    <w:p>
      <w:pPr>
        <w:spacing w:after="56"/>
      </w:pPr>
      <w:r>
        <w:t>Negative controls prevent overclaim:</w:t>
      </w:r>
    </w:p>
    <w:p>
      <w:pPr>
        <w:pStyle w:val="ListNumber"/>
        <w:spacing w:after="56"/>
      </w:pPr>
      <w:r>
        <w:t>Human-role-to-MAS mapping mentioned ≠ mapping implemented</w:t>
      </w:r>
    </w:p>
    <w:p>
      <w:pPr>
        <w:pStyle w:val="ListBullet"/>
        <w:spacing w:after="56"/>
      </w:pPr>
      <w:r>
        <w:t>Vendor marketing materials may mention human-role-to-MAS mapping without providing implementation details</w:t>
      </w:r>
    </w:p>
    <w:p>
      <w:pPr>
        <w:pStyle w:val="ListBullet"/>
        <w:spacing w:after="56"/>
      </w:pPr>
      <w:r>
        <w:t>Require product documentation or audit evidence to validate implementation</w:t>
      </w:r>
    </w:p>
    <w:p>
      <w:pPr>
        <w:pStyle w:val="ListNumber"/>
        <w:spacing w:after="56"/>
      </w:pPr>
      <w:r>
        <w:t>Authority definitions ≠ delegation workflows or enforcement</w:t>
      </w:r>
    </w:p>
    <w:p>
      <w:pPr>
        <w:pStyle w:val="ListBullet"/>
        <w:spacing w:after="56"/>
      </w:pPr>
      <w:r>
        <w:t>Authority boundary definitions do not automatically provide delegation workflows or enforcement mechanisms</w:t>
      </w:r>
    </w:p>
    <w:p>
      <w:pPr>
        <w:pStyle w:val="ListBullet"/>
        <w:spacing w:after="56"/>
      </w:pPr>
      <w:r>
        <w:t>Require explicit evidence of delegation and enforcement capabilities</w:t>
      </w:r>
    </w:p>
    <w:p>
      <w:pPr>
        <w:pStyle w:val="ListNumber"/>
        <w:spacing w:after="56"/>
      </w:pPr>
      <w:r>
        <w:t>Agent roles ≠ human roles or distinction mechanisms</w:t>
      </w:r>
    </w:p>
    <w:p>
      <w:pPr>
        <w:pStyle w:val="ListBullet"/>
        <w:spacing w:after="56"/>
      </w:pPr>
      <w:r>
        <w:t>Agent role definitions do not automatically provide human role definitions or distinction mechanisms</w:t>
      </w:r>
    </w:p>
    <w:p>
      <w:pPr>
        <w:pStyle w:val="ListBullet"/>
        <w:spacing w:after="56"/>
      </w:pPr>
      <w:r>
        <w:t>Require explicit evidence of human roles and distinction capabilities</w:t>
      </w:r>
    </w:p>
    <w:p>
      <w:pPr>
        <w:pStyle w:val="ListNumber"/>
        <w:spacing w:after="56"/>
      </w:pPr>
      <w:r>
        <w:t>Outcome definitions ≠ acceptance workflows or compliance tracking</w:t>
      </w:r>
    </w:p>
    <w:p>
      <w:pPr>
        <w:pStyle w:val="ListBullet"/>
        <w:spacing w:after="56"/>
      </w:pPr>
      <w:r>
        <w:t>Accepted outcome definitions do not automatically provide acceptance workflows or compliance tracking</w:t>
      </w:r>
    </w:p>
    <w:p>
      <w:pPr>
        <w:pStyle w:val="ListBullet"/>
        <w:spacing w:after="56"/>
      </w:pPr>
      <w:r>
        <w:t>Require explicit evidence of acceptance and compliance capabilities</w:t>
      </w:r>
    </w:p>
    <w:p>
      <w:pPr>
        <w:pStyle w:val="ListNumber"/>
        <w:spacing w:after="56"/>
      </w:pPr>
      <w:r>
        <w:t>Liability definitions ≠ boundary enforcement or tracking</w:t>
      </w:r>
    </w:p>
    <w:p>
      <w:pPr>
        <w:pStyle w:val="ListBullet"/>
        <w:spacing w:after="56"/>
      </w:pPr>
      <w:r>
        <w:t>Tool-action liability definitions do not automatically provide boundary enforcement or liability tracking</w:t>
      </w:r>
    </w:p>
    <w:p>
      <w:pPr>
        <w:pStyle w:val="ListBullet"/>
        <w:spacing w:after="56"/>
      </w:pPr>
      <w:r>
        <w:t>Require explicit evidence of enforcement and tracking capabilities</w:t>
      </w:r>
    </w:p>
    <w:p>
      <w:pPr>
        <w:pStyle w:val="ListNumber"/>
        <w:spacing w:after="56"/>
      </w:pPr>
      <w:r>
        <w:t>Transfer definitions ≠ transfer workflows or tracking</w:t>
      </w:r>
    </w:p>
    <w:p>
      <w:pPr>
        <w:pStyle w:val="ListBullet"/>
        <w:spacing w:after="56"/>
      </w:pPr>
      <w:r>
        <w:t>Responsibility transfer definitions do not automatically provide transfer workflows or transfer tracking</w:t>
      </w:r>
    </w:p>
    <w:p>
      <w:pPr>
        <w:pStyle w:val="ListBullet"/>
        <w:spacing w:after="56"/>
      </w:pPr>
      <w:r>
        <w:t>Require explicit evidence of workflows and tracking capabilities</w:t>
      </w:r>
    </w:p>
    <w:p>
      <w:pPr>
        <w:pStyle w:val="ListNumber"/>
        <w:spacing w:after="56"/>
      </w:pPr>
      <w:r>
        <w:t>Drift definitions ≠ drift detection or alerting</w:t>
      </w:r>
    </w:p>
    <w:p>
      <w:pPr>
        <w:pStyle w:val="ListBullet"/>
        <w:spacing w:after="56"/>
      </w:pPr>
      <w:r>
        <w:t>Authority drift definitions do not automatically provide drift detection mechanisms or drift alerting</w:t>
      </w:r>
    </w:p>
    <w:p>
      <w:pPr>
        <w:pStyle w:val="ListBullet"/>
        <w:spacing w:after="56"/>
      </w:pPr>
      <w:r>
        <w:t>Require explicit evidence of detection and alerting capabilities</w:t>
      </w:r>
    </w:p>
    <w:p>
      <w:pPr>
        <w:pStyle w:val="ListNumber"/>
        <w:spacing w:after="56"/>
      </w:pPr>
      <w:r>
        <w:t>Partitioning definitions ≠ partitioning mechanisms or storage</w:t>
      </w:r>
    </w:p>
    <w:p>
      <w:pPr>
        <w:pStyle w:val="ListBullet"/>
        <w:spacing w:after="56"/>
      </w:pPr>
      <w:r>
        <w:t>Evidence partitioning definitions do not automatically provide partitioning mechanisms or partitioned storage</w:t>
      </w:r>
    </w:p>
    <w:p>
      <w:pPr>
        <w:pStyle w:val="ListBullet"/>
        <w:spacing w:after="56"/>
      </w:pPr>
      <w:r>
        <w:t>Require explicit evidence of mechanisms and storage capabilities</w:t>
      </w:r>
    </w:p>
    <w:p>
      <w:pPr>
        <w:pStyle w:val="ListNumber"/>
        <w:spacing w:after="56"/>
      </w:pPr>
      <w:r>
        <w:t>Reuse definitions ≠ reuse tracking or validation</w:t>
      </w:r>
    </w:p>
    <w:p>
      <w:pPr>
        <w:pStyle w:val="ListBullet"/>
        <w:spacing w:after="56"/>
      </w:pPr>
      <w:r>
        <w:t>Cross-project reuse compliance definitions do not automatically provide reuse tracking or reuse validation</w:t>
      </w:r>
    </w:p>
    <w:p>
      <w:pPr>
        <w:pStyle w:val="ListBullet"/>
        <w:spacing w:after="56"/>
      </w:pPr>
      <w:r>
        <w:t>Require explicit evidence of tracking and validation capabilities</w:t>
      </w:r>
    </w:p>
    <w:p>
      <w:pPr>
        <w:pStyle w:val="ListNumber"/>
        <w:spacing w:after="56"/>
      </w:pPr>
      <w:r>
        <w:t>Privacy definitions ≠ GDPR mapping or lifecycle integration</w:t>
      </w:r>
    </w:p>
    <w:p>
      <w:pPr>
        <w:pStyle w:val="ListBullet"/>
        <w:spacing w:after="56"/>
      </w:pPr>
      <w:r>
        <w:t>Privacy lifecycle mapping definitions do not automatically provide GDPR requirement mapping or lifecycle integration</w:t>
      </w:r>
    </w:p>
    <w:p>
      <w:pPr>
        <w:pStyle w:val="ListBullet"/>
        <w:spacing w:after="56"/>
      </w:pPr>
      <w:r>
        <w:t>Require explicit evidence of GDPR mapping and lifecycle integration capabilities</w:t>
      </w:r>
    </w:p>
    <w:p>
      <w:pPr>
        <w:pStyle w:val="ListNumber"/>
        <w:spacing w:after="56"/>
      </w:pPr>
      <w:r>
        <w:t>Privacy mechanisms ≠ selective disclosure or workflows</w:t>
      </w:r>
    </w:p>
    <w:p>
      <w:pPr>
        <w:pStyle w:val="ListBullet"/>
        <w:spacing w:after="56"/>
      </w:pPr>
      <w:r>
        <w:t>Privacy-preserving validation mechanisms do not automatically provide selective disclosure controls or validation workflows</w:t>
      </w:r>
    </w:p>
    <w:p>
      <w:pPr>
        <w:pStyle w:val="ListBullet"/>
        <w:spacing w:after="56"/>
      </w:pPr>
      <w:r>
        <w:t>Require explicit evidence of disclosure and workflow capabilities</w:t>
      </w:r>
    </w:p>
    <w:p>
      <w:pPr>
        <w:pStyle w:val="ListNumber"/>
        <w:spacing w:after="56"/>
      </w:pPr>
      <w:r>
        <w:t>Minimization policies ≠ selective disclosure or controls</w:t>
      </w:r>
    </w:p>
    <w:p>
      <w:pPr>
        <w:pStyle w:val="ListBullet"/>
        <w:spacing w:after="56"/>
      </w:pPr>
      <w:r>
        <w:t>Evidence minimization policies do not automatically provide selective disclosure mechanisms or disclosure controls</w:t>
      </w:r>
    </w:p>
    <w:p>
      <w:pPr>
        <w:pStyle w:val="ListBullet"/>
        <w:spacing w:after="56"/>
      </w:pPr>
      <w:r>
        <w:t>Require explicit evidence of disclosure and control capabilities</w:t>
      </w:r>
    </w:p>
    <w:p>
      <w:pPr>
        <w:pStyle w:val="ListNumber"/>
        <w:spacing w:after="56"/>
      </w:pPr>
      <w:r>
        <w:t>Rights workflows ≠ retention policies or conflict resolution</w:t>
      </w:r>
    </w:p>
    <w:p>
      <w:pPr>
        <w:pStyle w:val="ListBullet"/>
        <w:spacing w:after="56"/>
      </w:pPr>
      <w:r>
        <w:t>Data subject rights workflows do not automatically provide evidence retention policies or conflict resolution</w:t>
      </w:r>
    </w:p>
    <w:p>
      <w:pPr>
        <w:pStyle w:val="ListBullet"/>
        <w:spacing w:after="56"/>
      </w:pPr>
      <w:r>
        <w:t>Require explicit evidence of retention and conflict resolution capabilities</w:t>
      </w:r>
    </w:p>
    <w:p>
      <w:pPr>
        <w:pStyle w:val="ListNumber"/>
        <w:spacing w:after="56"/>
      </w:pPr>
      <w:r>
        <w:t>Processor definitions ≠ processor tracking or validation</w:t>
      </w:r>
    </w:p>
    <w:p>
      <w:pPr>
        <w:pStyle w:val="ListBullet"/>
        <w:spacing w:after="56"/>
      </w:pPr>
      <w:r>
        <w:t>Processor chain definitions do not automatically provide processor tracking or compliance validation</w:t>
      </w:r>
    </w:p>
    <w:p>
      <w:pPr>
        <w:pStyle w:val="ListBullet"/>
        <w:spacing w:after="56"/>
      </w:pPr>
      <w:r>
        <w:t>Require explicit evidence of tracking and validation capabilities</w:t>
      </w:r>
    </w:p>
    <w:p>
      <w:pPr>
        <w:pStyle w:val="ListNumber"/>
        <w:spacing w:after="56"/>
      </w:pPr>
      <w:r>
        <w:t>Substitution definitions ≠ substitution tracking or validation</w:t>
      </w:r>
    </w:p>
    <w:p>
      <w:pPr>
        <w:pStyle w:val="ListBullet"/>
        <w:spacing w:after="56"/>
      </w:pPr>
      <w:r>
        <w:t>Vendor/model/runtime substitution conformance definitions do not automatically provide substitution tracking or substitution validation</w:t>
      </w:r>
    </w:p>
    <w:p>
      <w:pPr>
        <w:pStyle w:val="ListBullet"/>
        <w:spacing w:after="56"/>
      </w:pPr>
      <w:r>
        <w:t>Require explicit evidence of tracking and validation capabilities</w:t>
      </w:r>
    </w:p>
    <w:p>
      <w:pPr>
        <w:spacing w:after="56"/>
      </w:pPr>
      <w:r>
        <w:t>Boundary discipline:</w:t>
      </w:r>
    </w:p>
    <w:p>
      <w:pPr>
        <w:pStyle w:val="ListBullet"/>
        <w:spacing w:after="56"/>
      </w:pPr>
      <w:r>
        <w:t>ALCS measures agentic lifecycle responsibility object maturity, not legal compliance</w:t>
      </w:r>
    </w:p>
    <w:p>
      <w:pPr>
        <w:pStyle w:val="ListBullet"/>
        <w:spacing w:after="56"/>
      </w:pPr>
      <w:r>
        <w:t>High ALCS scores do not prove legal compliance, regulatory approval, or certification</w:t>
      </w:r>
    </w:p>
    <w:p>
      <w:pPr>
        <w:pStyle w:val="ListBullet"/>
        <w:spacing w:after="56"/>
      </w:pPr>
      <w:r>
        <w:t>Low ALCS scores do not prove non-compliance or unsuitability</w:t>
      </w:r>
    </w:p>
    <w:p>
      <w:pPr>
        <w:pStyle w:val="ListBullet"/>
        <w:spacing w:after="56"/>
      </w:pPr>
      <w:r>
        <w:t>ALCS scores are context-independent; organizations must interpret within their legal, regulatory, and operational context</w:t>
      </w:r>
    </w:p>
    <w:p>
      <w:pPr>
        <w:pStyle w:val="ListBullet"/>
        <w:spacing w:after="56"/>
      </w:pPr>
      <w:r>
        <w:t>ALCS scores require evidence; evidence level affects score multiplier</w:t>
      </w:r>
    </w:p>
    <w:p>
      <w:pPr>
        <w:pStyle w:val="ListBullet"/>
        <w:spacing w:after="56"/>
      </w:pPr>
      <w:r>
        <w:t>ALCS scores are not product rankings; they compare systems by agentic lifecycle responsibility primitives</w:t>
      </w:r>
    </w:p>
    <w:p>
      <w:pPr>
        <w:spacing w:after="56"/>
      </w:pPr>
      <w:r>
        <w:t>ALCS vs RCCS distinction:</w:t>
      </w:r>
    </w:p>
    <w:p>
      <w:pPr>
        <w:pStyle w:val="ListBullet"/>
        <w:spacing w:after="56"/>
      </w:pPr>
      <w:r>
        <w:t>RCCS measures regulatory compliance coverage primitives (risk management, data governance, documentation, record-keeping, transparency, human oversight, security, accountability, contestability, monitoring)</w:t>
      </w:r>
    </w:p>
    <w:p>
      <w:pPr>
        <w:pStyle w:val="ListBullet"/>
        <w:spacing w:after="56"/>
      </w:pPr>
      <w:r>
        <w:t>ALCS measures agentic lifecycle responsibility object maturity (human-role-to-MAS mapping, delegated authority boundary, agent-human role distinction, accepted outcome compliance, tool-action liability boundary, responsibility transfer, authority drift detection, MAS evidence partitioning, cross-project reuse compliance, privacy/GDPR lifecycle mapping, privacy-preserving third-party validation, evidence minimization, data subject rights vs evidence retention, third-party processor chain, vendor/model/runtime substitution conformance)</w:t>
      </w:r>
    </w:p>
    <w:p>
      <w:pPr>
        <w:pStyle w:val="ListBullet"/>
        <w:spacing w:after="56"/>
      </w:pPr>
      <w:r>
        <w:t>RCCS focuses on regulatory compliance coverage capabilities</w:t>
      </w:r>
    </w:p>
    <w:p>
      <w:pPr>
        <w:pStyle w:val="ListBullet"/>
        <w:spacing w:after="56"/>
      </w:pPr>
      <w:r>
        <w:t>ALCS focuses on agentic lifecycle responsibility tracking and accountability capabilities</w:t>
      </w:r>
    </w:p>
    <w:p>
      <w:pPr>
        <w:pStyle w:val="ListBullet"/>
        <w:spacing w:after="56"/>
      </w:pPr>
      <w:r>
        <w:t>Both are analytical tools, not legal compliance scores</w:t>
      </w:r>
    </w:p>
    <w:p>
      <w:pPr>
        <w:spacing w:after="56"/>
      </w:pPr>
      <w:r>
        <w:t>Composite score formula (from Phase 1B-8C):</w:t>
      </w:r>
    </w:p>
    <w:p>
      <w:pPr>
        <w:spacing w:after="56"/>
      </w:pPr>
      <w:r>
        <w:t>Composite Score = 0.40 × RCCS + 0.60 × ALCS</w:t>
        <w:br/>
        <w:br/>
        <w:t>Where:</w:t>
        <w:br/>
        <w:t>RCCS = Average of 10 RCCS dimension scores (0-100)</w:t>
        <w:br/>
        <w:t>ALCS = Average of 15 ALCS dimension scores (0-100)</w:t>
        <w:br/>
        <w:t>Composite Score = Weighted average (0-100)</w:t>
      </w:r>
    </w:p>
    <w:p>
      <w:pPr>
        <w:spacing w:after="56"/>
      </w:pPr>
      <w:r>
        <w:t>Example:</w:t>
      </w:r>
    </w:p>
    <w:p>
      <w:pPr>
        <w:spacing w:after="56"/>
      </w:pPr>
      <w:r>
        <w:t>RCCS Adjusted Score: 65.0 (across 10 dimensions, 0-100)</w:t>
        <w:br/>
        <w:t>ALCS Adjusted Score: 55.0 (across 15 dimensions, 0-100)</w:t>
        <w:br/>
        <w:t>Composite Score: 0.40 × 65.0 + 0.60 × 55.0 = 26.0 + 33.0 = 59.0</w:t>
      </w:r>
    </w:p>
    <w:p>
      <w:pPr>
        <w:pStyle w:val="Heading1"/>
      </w:pPr>
      <w:r>
        <w:t>Appendix G — Expanded System-by-System Assessment</w:t>
      </w:r>
    </w:p>
    <w:p>
      <w:pPr>
        <w:spacing w:after="56"/>
      </w:pPr>
      <w:r>
        <w:t>Version: v0.3.2-FRC-R3</w:t>
      </w:r>
    </w:p>
    <w:p>
      <w:pPr>
        <w:pStyle w:val="Heading2"/>
      </w:pPr>
      <w:r>
        <w:t>G.0 Assessment Boundary and Provisional Status</w:t>
      </w:r>
    </w:p>
    <w:p>
      <w:pPr>
        <w:spacing w:after="56"/>
      </w:pPr>
      <w:r>
        <w:t>This appendix provides expanded system-by-system assessments for eight representative AI governance and agentic systems. These assessments are revalidated provisional after Phase 1C follow-up. Official source entry points were located for the required L2 product/protocol groups and material claims were either source-bound, narrowed, downgraded to L5 analytical interpretation, or retained as explicit lifecycle gaps. The assessments remain provisional because public documentation does not by itself prove deployed lifecycle responsibility-object implementation, audit readiness, legal compliance, procurement suitability, or operational effectiveness.</w:t>
      </w:r>
    </w:p>
    <w:p>
      <w:pPr>
        <w:spacing w:after="56"/>
      </w:pPr>
      <w:r>
        <w:t>CRITICAL BOUNDARY STATEMENT:</w:t>
      </w:r>
    </w:p>
    <w:p>
      <w:pPr>
        <w:pStyle w:val="ListBullet"/>
        <w:spacing w:after="56"/>
      </w:pPr>
      <w:r>
        <w:t>All assessments remain provisional. Phase 1C claim-level review located official source entry points and narrowed claims, but did not produce final vendor assessments.</w:t>
      </w:r>
    </w:p>
    <w:p>
      <w:pPr>
        <w:pStyle w:val="ListBullet"/>
        <w:spacing w:after="56"/>
      </w:pPr>
      <w:r>
        <w:t>L2 product documentation is source-bound, not final proof. Product documentation can support documented capability surfaces; it does not prove deployment practice, audit success, or lifecycle responsibility-object implementation.</w:t>
      </w:r>
    </w:p>
    <w:p>
      <w:pPr>
        <w:pStyle w:val="ListBullet"/>
        <w:spacing w:after="56"/>
      </w:pPr>
      <w:r>
        <w:t>This is not a product ordering. Systems are assessed by capability posture, not ordered by quality, market position, or procurement suitability.</w:t>
      </w:r>
    </w:p>
    <w:p>
      <w:pPr>
        <w:pStyle w:val="ListBullet"/>
        <w:spacing w:after="56"/>
      </w:pPr>
      <w:r>
        <w:t>This is not a procurement recommendation. Organizations must evaluate systems within their own legal, regulatory, operational, and business context.</w:t>
      </w:r>
    </w:p>
    <w:p>
      <w:pPr>
        <w:pStyle w:val="ListBullet"/>
        <w:spacing w:after="56"/>
      </w:pPr>
      <w:r>
        <w:t>This is not certification. Assessments measure capability posture against analytical frameworks (RCCS/ALCS), not legal compliance, regulatory approval, or certification status.</w:t>
      </w:r>
    </w:p>
    <w:p>
      <w:pPr>
        <w:pStyle w:val="ListBullet"/>
        <w:spacing w:after="56"/>
      </w:pPr>
      <w:r>
        <w:t>Assessments are context-independent. Organizations must interpret assessments within their legal, regulatory, and operational context.</w:t>
      </w:r>
    </w:p>
    <w:p>
      <w:pPr>
        <w:pStyle w:val="ListBullet"/>
        <w:spacing w:after="56"/>
      </w:pPr>
      <w:r>
        <w:t>Low provisional posture does not prove non-compliance or poor product quality. It indicates gaps in publicly visible evidence for specific capability primitives.</w:t>
      </w:r>
    </w:p>
    <w:p>
      <w:pPr>
        <w:pStyle w:val="ListBullet"/>
        <w:spacing w:after="56"/>
      </w:pPr>
      <w:r>
        <w:t>High provisional posture does not prove legal compliance, enterprise readiness, or operational effectiveness. It indicates stronger publicly visible evidence for specific capability primitives.</w:t>
      </w:r>
    </w:p>
    <w:p>
      <w:pPr>
        <w:spacing w:after="56"/>
      </w:pPr>
      <w:r>
        <w:t>Phase 1C follow-up result:</w:t>
      </w:r>
    </w:p>
    <w:p>
      <w:pPr>
        <w:pStyle w:val="ListNumber"/>
        <w:spacing w:after="56"/>
      </w:pPr>
      <w:r>
        <w:t>Official L2 source entry points were located for the eight assessed systems and required source groups.</w:t>
      </w:r>
    </w:p>
    <w:p>
      <w:pPr>
        <w:pStyle w:val="ListNumber"/>
        <w:spacing w:after="56"/>
      </w:pPr>
      <w:r>
        <w:t>Product/protocol capability claims were bound to source IDs where official documentation supports the surface capability.</w:t>
      </w:r>
    </w:p>
    <w:p>
      <w:pPr>
        <w:pStyle w:val="ListNumber"/>
        <w:spacing w:after="56"/>
      </w:pPr>
      <w:r>
        <w:t>Lifecycle responsibility-object mappings that are not directly stated in official documentation remain L5 analytical interpretation.</w:t>
      </w:r>
    </w:p>
    <w:p>
      <w:pPr>
        <w:pStyle w:val="ListNumber"/>
        <w:spacing w:after="56"/>
      </w:pPr>
      <w:r>
        <w:t>Unsupported or adjacent ALCS claims remain boundary-limited as "requires implementer integration", "not visible as lifecycle responsibility object", or "requires exact source support".</w:t>
      </w:r>
    </w:p>
    <w:p>
      <w:pPr>
        <w:pStyle w:val="ListNumber"/>
        <w:spacing w:after="56"/>
      </w:pPr>
      <w:r>
        <w:t>No numerical scores, ordering, procurement recommendation, certification claim, or legal compliance proof was introduced.</w:t>
      </w:r>
    </w:p>
    <w:p>
      <w:pPr>
        <w:pStyle w:val="Heading2"/>
      </w:pPr>
      <w:r>
        <w:t>G.1 How to Read the System Assessments</w:t>
      </w:r>
    </w:p>
    <w:p>
      <w:pPr>
        <w:spacing w:after="56"/>
      </w:pPr>
      <w:r>
        <w:t>Assessment structure:</w:t>
      </w:r>
    </w:p>
    <w:p>
      <w:pPr>
        <w:spacing w:after="56"/>
      </w:pPr>
      <w:r>
        <w:t>Each system assessment uses a qualitative provisional posture framework across key assessment areas. Assessments do not compute numerical scores, ordered comparisons, or composite metrics. After Phase 1C source binding, they remain revalidated provisional and non-ranking.</w:t>
      </w:r>
    </w:p>
    <w:p>
      <w:pPr>
        <w:spacing w:after="56"/>
      </w:pPr>
      <w:r>
        <w:t>Assessment areas:</w:t>
      </w:r>
    </w:p>
    <w:p>
      <w:pPr>
        <w:pStyle w:val="ListNumber"/>
        <w:spacing w:after="56"/>
      </w:pPr>
      <w:r>
        <w:t>Regulatory Compliance Coverage Primitives (RCCS-aligned): Risk management, data governance, documentation, record-keeping, transparency, human oversight, security, accountability, contestability, monitoring</w:t>
      </w:r>
    </w:p>
    <w:p>
      <w:pPr>
        <w:pStyle w:val="ListNumber"/>
        <w:spacing w:after="56"/>
      </w:pPr>
      <w:r>
        <w:t>Agentic Lifecycle Responsibility Objects (ALCS-aligned): Human-role-to-MAS mapping, delegated authority boundary, agent-human role distinction, accepted outcome compliance, tool-action liability boundary, responsibility transfer, authority drift detection, MAS evidence partitioning, cross-project reuse compliance, privacy/GDPR lifecycle mapping, privacy-preserving validation, evidence minimization, data subject rights vs retention, processor chain tracking, vendor/model/runtime substitution conformance</w:t>
      </w:r>
    </w:p>
    <w:p>
      <w:pPr>
        <w:spacing w:after="56"/>
      </w:pPr>
      <w:r>
        <w:t>Provisional posture levels:</w:t>
      </w:r>
    </w:p>
    <w:p>
      <w:pPr>
        <w:pStyle w:val="ListBullet"/>
        <w:spacing w:after="56"/>
      </w:pPr>
      <w:r>
        <w:t>Strong provisional posture: Multiple capability primitives visible in public product documentation with implementation details</w:t>
      </w:r>
    </w:p>
    <w:p>
      <w:pPr>
        <w:pStyle w:val="ListBullet"/>
        <w:spacing w:after="56"/>
      </w:pPr>
      <w:r>
        <w:t>Moderate provisional posture: Some capability primitives visible in public product documentation with partial implementation details</w:t>
      </w:r>
    </w:p>
    <w:p>
      <w:pPr>
        <w:pStyle w:val="ListBullet"/>
        <w:spacing w:after="56"/>
      </w:pPr>
      <w:r>
        <w:t>Partial provisional posture: Limited capability primitives visible in public product documentation with minimal implementation details</w:t>
      </w:r>
    </w:p>
    <w:p>
      <w:pPr>
        <w:pStyle w:val="ListBullet"/>
        <w:spacing w:after="56"/>
      </w:pPr>
      <w:r>
        <w:t>Weak / implementer-built posture: Few or no capability primitives visible in public product documentation; capabilities may exist but require implementer-built solutions</w:t>
      </w:r>
    </w:p>
    <w:p>
      <w:pPr>
        <w:pStyle w:val="ListBullet"/>
        <w:spacing w:after="56"/>
      </w:pPr>
      <w:r>
        <w:t>Not visible in public evidence: No publicly visible evidence for capability primitives; does not prove absence, only lack of public documentation</w:t>
      </w:r>
    </w:p>
    <w:p>
      <w:pPr>
        <w:spacing w:after="56"/>
      </w:pPr>
      <w:r>
        <w:t>Evidence types:</w:t>
      </w:r>
    </w:p>
    <w:p>
      <w:pPr>
        <w:pStyle w:val="ListBullet"/>
        <w:spacing w:after="56"/>
      </w:pPr>
      <w:r>
        <w:t>L1 (Binding Legal Text): EU AI Act, GDPR, formal standards</w:t>
      </w:r>
    </w:p>
    <w:p>
      <w:pPr>
        <w:pStyle w:val="ListBullet"/>
        <w:spacing w:after="56"/>
      </w:pPr>
      <w:r>
        <w:t>L2 (Product Docs): Official product documentation, protocol specifications, GitHub repositories</w:t>
      </w:r>
    </w:p>
    <w:p>
      <w:pPr>
        <w:pStyle w:val="ListBullet"/>
        <w:spacing w:after="56"/>
      </w:pPr>
      <w:r>
        <w:t>L3 (Audit Report): Third-party audit reports, academic papers</w:t>
      </w:r>
    </w:p>
    <w:p>
      <w:pPr>
        <w:pStyle w:val="ListBullet"/>
        <w:spacing w:after="56"/>
      </w:pPr>
      <w:r>
        <w:t>L4 (Vendor Claim): Vendor claims, marketing materials</w:t>
      </w:r>
    </w:p>
    <w:p>
      <w:pPr>
        <w:pStyle w:val="ListBullet"/>
        <w:spacing w:after="56"/>
      </w:pPr>
      <w:r>
        <w:t>L5 (Author Inference): Author inference, analytical framework</w:t>
      </w:r>
    </w:p>
    <w:p>
      <w:pPr>
        <w:spacing w:after="56"/>
      </w:pPr>
      <w:r>
        <w:t>What assessments do NOT provide:</w:t>
      </w:r>
    </w:p>
    <w:p>
      <w:pPr>
        <w:pStyle w:val="ListBullet"/>
        <w:spacing w:after="56"/>
      </w:pPr>
      <w:r>
        <w:t>Numerical scores or ordered comparisons</w:t>
      </w:r>
    </w:p>
    <w:p>
      <w:pPr>
        <w:pStyle w:val="ListBullet"/>
        <w:spacing w:after="56"/>
      </w:pPr>
      <w:r>
        <w:t>Composite metrics or weighted averages</w:t>
      </w:r>
    </w:p>
    <w:p>
      <w:pPr>
        <w:pStyle w:val="ListBullet"/>
        <w:spacing w:after="56"/>
      </w:pPr>
      <w:r>
        <w:t>Procurement recommendations or vendor preferences</w:t>
      </w:r>
    </w:p>
    <w:p>
      <w:pPr>
        <w:pStyle w:val="ListBullet"/>
        <w:spacing w:after="56"/>
      </w:pPr>
      <w:r>
        <w:t>Legal compliance proof or certification status</w:t>
      </w:r>
    </w:p>
    <w:p>
      <w:pPr>
        <w:pStyle w:val="ListBullet"/>
        <w:spacing w:after="56"/>
      </w:pPr>
      <w:r>
        <w:t>Regulatory approval or conformity assessment</w:t>
      </w:r>
    </w:p>
    <w:p>
      <w:pPr>
        <w:pStyle w:val="ListBullet"/>
        <w:spacing w:after="56"/>
      </w:pPr>
      <w:r>
        <w:t>Market endorsement or quality ratings</w:t>
      </w:r>
    </w:p>
    <w:p>
      <w:pPr>
        <w:pStyle w:val="ListBullet"/>
        <w:spacing w:after="56"/>
      </w:pPr>
      <w:r>
        <w:t>"Best" or "worst" designations</w:t>
      </w:r>
    </w:p>
    <w:p>
      <w:pPr>
        <w:pStyle w:val="ListBullet"/>
        <w:spacing w:after="56"/>
      </w:pPr>
      <w:r>
        <w:t>Market tier classifications</w:t>
      </w:r>
    </w:p>
    <w:p>
      <w:pPr>
        <w:pStyle w:val="Heading2"/>
      </w:pPr>
      <w:r>
        <w:t>G.2 System Assessment Profiles</w:t>
      </w:r>
    </w:p>
    <w:p>
      <w:pPr>
        <w:pStyle w:val="Heading3"/>
      </w:pPr>
      <w:r>
        <w:t>G.2.1 MPLP (Multi-Agent Lifecycle Protocol)</w:t>
      </w:r>
    </w:p>
    <w:p>
      <w:pPr>
        <w:keepNext/>
      </w:pPr>
      <w:r>
        <w:rPr>
          <w:b/>
          <w:sz w:val="16"/>
        </w:rPr>
        <w:t>Table T-G-01: MPLP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No formal risk assessment framework visible</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Data governance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 GitHub)</w:t>
            </w:r>
          </w:p>
        </w:tc>
        <w:tc>
          <w:tcPr>
            <w:tcW w:type="dxa" w:w="1704"/>
          </w:tcPr>
          <w:p>
            <w:pPr>
              <w:spacing w:after="0"/>
            </w:pPr>
            <w:r>
              <w:rPr>
                <w:rFonts w:ascii="Arial" w:hAnsi="Arial"/>
                <w:b w:val="0"/>
                <w:sz w:val="12"/>
              </w:rPr>
              <w:t>Protocol documentation strong; implementation documentation varies</w:t>
            </w:r>
          </w:p>
        </w:tc>
        <w:tc>
          <w:tcPr>
            <w:tcW w:type="dxa" w:w="1704"/>
          </w:tcPr>
          <w:p>
            <w:pPr>
              <w:spacing w:after="0"/>
            </w:pPr>
            <w:r>
              <w:rPr>
                <w:rFonts w:ascii="Arial" w:hAnsi="Arial"/>
                <w:b w:val="0"/>
                <w:sz w:val="12"/>
              </w:rPr>
              <w:t>source-bound at entry-point level; implementation examples remain deployment-context dependent</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Evidence pack structure visible; export/retention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Transparency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Human-role-to-MAS mapping visible in protocol; enforcement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Security primitives not protocol-level;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Responsibility mapping visible in protocol; tracking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Contestability primitives not protocol-level;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Monitoring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mapping visible; implementation varies</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boundary visible; enforcement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distinction visible; implementation varies</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outcome tracking visible; compliance enforcement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liability tracking visible; boundary enforcement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transfer tracking visible; implementation varies</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Drift detection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evidence partitioning visible; storage/retrieval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Reuse tracking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Privacy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Privacy-preserving validation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Minimization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Rights-retention conflict resolution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Processor chain tracking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Substitution conformance tracking requires implementer integration</w:t>
            </w:r>
          </w:p>
        </w:tc>
        <w:tc>
          <w:tcPr>
            <w:tcW w:type="dxa" w:w="1704"/>
          </w:tcPr>
          <w:p>
            <w:pPr>
              <w:spacing w:after="0"/>
            </w:pPr>
            <w:r>
              <w:rPr>
                <w:rFonts w:ascii="Arial" w:hAnsi="Arial"/>
                <w:b w:val="0"/>
                <w:sz w:val="12"/>
              </w:rPr>
              <w:t>source-bound at entry-point level; implementation conformance unresolved</w:t>
            </w:r>
          </w:p>
        </w:tc>
      </w:tr>
    </w:tbl>
    <w:p>
      <w:pPr>
        <w:spacing w:after="56"/>
      </w:pPr>
      <w:r>
        <w:t>MPLP Boundary Note:</w:t>
      </w:r>
    </w:p>
    <w:p>
      <w:pPr>
        <w:spacing w:after="56"/>
      </w:pPr>
      <w:r>
        <w:t>MPLP is positioned as a lifecycle protocol path with strong provisional ALCS semantic alignment at the protocol specification level. Protocol fit does not prove implementation conformance, legal compliance, enterprise readiness, adoption, or operational effectiveness. MPLP is not required, not exclusive, not certified, and not regulator-approved. Organizations may use MPLP, alternative protocols, or implementer-built solutions based on their requirements.</w:t>
      </w:r>
    </w:p>
    <w:p>
      <w:pPr>
        <w:spacing w:after="56"/>
      </w:pPr>
      <w:r>
        <w:t>Provisional Status: REVALIDATED PROVISIONAL — Official MPLP documentation entry point located. Protocol identity is L2-supported; protocol-to-MRO/ALCS mapping remains L5 analytical interpretation unless directly stated in protocol text. Implementation conformance remains unresolved.</w:t>
      </w:r>
    </w:p>
    <w:p>
      <w:pPr>
        <w:pStyle w:val="Heading3"/>
      </w:pPr>
      <w:r>
        <w:t>G.2.2 IBM watsonx.governance</w:t>
      </w:r>
    </w:p>
    <w:p>
      <w:pPr>
        <w:keepNext/>
      </w:pPr>
      <w:r>
        <w:rPr>
          <w:b/>
          <w:sz w:val="16"/>
        </w:rPr>
        <w:t>Table T-G-02: IBM watsonx.governance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Risk assessment framework visible; AI-specific risk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governance framework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cards and factsheets visible;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Audit records visible; evidence export capability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Explainability tools visible; interpretability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Approval workflows visible;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Enterprise security controls visible; AI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assignment visible; responsibility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Dispute resolution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monitoring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definitions visible; MAS responsibility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Authority boundary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distinction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Outcome compliance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Liability boundary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Transfer tracking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Evidence partitioning visible; MAS-specific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Reuse compliance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 controls visible;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minimization visible; evidence minimization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subject rights visible;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Processor chain tracking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substitution visible;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IBM source entry points located. RCCS-adjacent AI governance claims are L2-supported at source-entry level; ALCS-specific lifecycle responsibility-object claims remain L5 unless exact IBM documentation directly supports the object.</w:t>
      </w:r>
    </w:p>
    <w:p>
      <w:pPr>
        <w:pStyle w:val="Heading3"/>
      </w:pPr>
      <w:r>
        <w:t>G.2.3 Microsoft Azure AI Foundry</w:t>
      </w:r>
    </w:p>
    <w:p>
      <w:pPr>
        <w:keepNext/>
      </w:pPr>
      <w:r>
        <w:rPr>
          <w:b/>
          <w:sz w:val="16"/>
        </w:rPr>
        <w:t>Table T-G-03: Microsoft Azure AI Foundry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Risk monitoring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governance controls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Extensive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Logging and audit records visible; evidence export capability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Transparency tools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Human oversight workflows visible;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Enterprise security controls visible; AI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assignment visible;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Escalation workflows visible; formal contestability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Monitoring and metrics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mapping visible; MAS responsibility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Authority controls visible;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distinction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Outcome validation visible;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Action definitions visible;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Workflow handoff visible;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Evidence partitioning visible; MAS-specific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versioning visible;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 controls visible;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Log filtering visible; evidence minimization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Retention policies visible;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Shared responsibility model visible; processor chain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selection and versioning visible;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Microsoft source entry points located. Cloud AI platform, agent, tracing, evaluation, and monitoring claims are L2-supported at source-entry level; ALCS-specific lifecycle responsibility-object claims remain L5 unless exact Microsoft documentation directly supports the object.</w:t>
      </w:r>
    </w:p>
    <w:p>
      <w:pPr>
        <w:pStyle w:val="Heading3"/>
      </w:pPr>
      <w:r>
        <w:t>G.2.4 AWS Bedrock / Guardrails / AgentCore</w:t>
      </w:r>
    </w:p>
    <w:p>
      <w:pPr>
        <w:keepNext/>
      </w:pPr>
      <w:r>
        <w:rPr>
          <w:b/>
          <w:sz w:val="16"/>
        </w:rPr>
        <w:t>Table T-G-04: AWS Bedrock / Guardrails / AgentCore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Guardrails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governance controls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Extensive AWS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CloudWatch logging and audit records visible; evidence export capability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Trace logs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Action group approval visible;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integration and encryption visible; AI lifecycle security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roles visible;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Contestability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CloudWatch monitoring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role mapping visible; MAS responsibility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Action group permissions visible;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definitions and IAM roles visible;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Guardrails for outcome validation visible;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Action group definitions visible;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orchestration visible;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Per-agent CloudWatch logs visible;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versioning visible;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AWS compliance controls visible;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Log filtering visible; evidence minimization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Retention policies visible;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AWS shared responsibility model visible; processor chain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selection and versioning visible;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AWS source entry points located for Bedrock, Guardrails, and AgentCore. Guardrail, runtime, security, and observability claims are L2-supported at source-entry level; ALCS-specific lifecycle responsibility-object claims remain L5 unless exact AWS documentation directly supports the object.</w:t>
      </w:r>
    </w:p>
    <w:p>
      <w:pPr>
        <w:pStyle w:val="Heading3"/>
      </w:pPr>
      <w:r>
        <w:t>G.2.5 Google Vertex AI / ADK / Model Armor</w:t>
      </w:r>
    </w:p>
    <w:p>
      <w:pPr>
        <w:keepNext/>
      </w:pPr>
      <w:r>
        <w:rPr>
          <w:b/>
          <w:sz w:val="16"/>
        </w:rPr>
        <w:t>Table T-G-05: Google Vertex AI / ADK / Model Armor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monitoring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governance controls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Extensive Google Cloud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Cloud Logging and audit records visible; evidence export capability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Conversation logs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Human handoff visible;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integration and encryption visible; AI lifecycle security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roles visible;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Contestability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Cloud Monitoring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role mapping visible; MAS responsibility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Tool permissions visible;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definitions and IAM roles visible;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Response validation visible;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Tool definitions visible;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orchestration visible;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Per-agent Cloud Logging visible;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versioning visible;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Google Cloud compliance controls visible;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Log filtering visible; evidence minimization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Retention policies visible;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Google Cloud shared responsibility model visible; processor chain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selection and versioning visible;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Google source entry points located for Vertex AI, ADK, and Model Armor. Agent-development, model safety, evaluation, and platform claims are L2-supported at source-entry level; ALCS-specific lifecycle responsibility-object claims remain L5 unless exact Google documentation directly supports the object.</w:t>
      </w:r>
    </w:p>
    <w:p>
      <w:pPr>
        <w:pStyle w:val="Heading3"/>
      </w:pPr>
      <w:r>
        <w:t>G.2.6 LangGraph / LangSmith</w:t>
      </w:r>
    </w:p>
    <w:p>
      <w:pPr>
        <w:keepNext/>
      </w:pPr>
      <w:r>
        <w:rPr>
          <w:b/>
          <w:sz w:val="16"/>
        </w:rPr>
        <w:t>Table T-G-06: LangGraph / LangSmith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Callback mechanisms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Data loaders visible; formal data governance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Extensive API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LangSmith tracing visible; formal audit trail and evidence export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Graph visualization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Human-in-the-loop via interrupts visible; formal oversight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API key management visible; formal security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Node naming visible; formal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Contestability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LangSmith monitoring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Node definitions visible; formal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Tool definitions visible; formal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Node types visible; formal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Output validation visible; formal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Tool definitions visible; formal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Graph edges visible; formal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Drift detection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LangSmith per-node tracing visible; formal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Graph serialization visible; formal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Privacy/GDPR lifecycle mapping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Privacy-preserving validation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Evidence minimization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Rights-retention conflict resolution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Processor chain tracking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Model abstraction visible; formal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LangGraph and LangSmith source entry points located. Orchestration, persistence, human-in-the-loop, tracing, and evaluation/observability claims are L2-supported at source-entry level; ALCS-specific lifecycle responsibility-object claims remain L5 unless exact documentation directly supports the object.</w:t>
      </w:r>
    </w:p>
    <w:p>
      <w:pPr>
        <w:pStyle w:val="Heading3"/>
      </w:pPr>
      <w:r>
        <w:t>G.2.7 OpenAI Agents SDK</w:t>
      </w:r>
    </w:p>
    <w:p>
      <w:pPr>
        <w:keepNext/>
      </w:pPr>
      <w:r>
        <w:rPr>
          <w:b/>
          <w:sz w:val="16"/>
        </w:rPr>
        <w:t>Table T-G-07: OpenAI Agents SDK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Usage monitoring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File management visible; formal data governance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Extensive API documentation and model cards visible;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Thread history visible; formal audit trail and evidence export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Run steps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Function calling approval patterns visible; formal oversight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API key management and SOC 2 compliance visible; formal AI lifecycle security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Assistant naming visible; formal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Contestability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Usage metrics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Function calling visible; formal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Function definitions visible; formal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Assistant/user message distinction visible; formal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Output validation visible; formal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Function calling visible; formal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Thread management visible; formal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Per-thread history visible; formal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Assistant definitions visible; formal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retention controls visible; formal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Evidence minimization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deletion visible; formal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Processor chain tracking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selection visible; formal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OpenAI Agents SDK source entry point located, with platform docs requiring final citation rendering/access check where applicable. Agent execution, tools, handoffs, guardrails, sessions, and tracing claims are L2-supported at source-entry level; ALCS-specific lifecycle responsibility-object claims remain L5 unless exact documentation directly supports the object.</w:t>
      </w:r>
    </w:p>
    <w:p>
      <w:pPr>
        <w:pStyle w:val="Heading3"/>
      </w:pPr>
      <w:r>
        <w:t>G.2.8 CrewAI</w:t>
      </w:r>
    </w:p>
    <w:p>
      <w:pPr>
        <w:keepNext/>
      </w:pPr>
      <w:r>
        <w:rPr>
          <w:b/>
          <w:sz w:val="16"/>
        </w:rPr>
        <w:t>Table T-G-08: CrewAI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Risk management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Data governance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API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Task execution logs visible; formal audit trail and evidence export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Transparency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Human oversight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Security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Agent roles and task assignment visible; formal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Contestability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Monitoring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Agent roles and task delegation visible; formal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Authority boundary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Agent role definitions visible; formal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Outcome compliance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Liability boundary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Task delegation across agents visible; formal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Drift detection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Per-agent task logs visible; formal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Reuse compliance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Privacy/GDPR lifecycle mapping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Privacy-preserving validation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Evidence minimization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Rights-retention conflict resolution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Processor chain tracking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Model configuration visible; formal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CrewAI documentation and repository entry points located. Agent, task, crew/flow, tool, and orchestration claims are L2-supported at source-entry level; ALCS-specific lifecycle responsibility-object claims remain L5 unless exact CrewAI documentation directly supports the object.</w:t>
      </w:r>
    </w:p>
    <w:p>
      <w:pPr>
        <w:pStyle w:val="Heading2"/>
      </w:pPr>
      <w:r>
        <w:t>G.3 Cross-System Pattern Summary</w:t>
      </w:r>
    </w:p>
    <w:p>
      <w:pPr>
        <w:keepNext/>
      </w:pPr>
      <w:r>
        <w:rPr>
          <w:b/>
          <w:sz w:val="16"/>
        </w:rPr>
        <w:t>Table T-G-09: Cross-System Pattern Summary</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Pattern Area</w:t>
            </w:r>
          </w:p>
        </w:tc>
        <w:tc>
          <w:tcPr>
            <w:tcW w:type="dxa" w:w="2045"/>
          </w:tcPr>
          <w:p>
            <w:pPr>
              <w:spacing w:after="0"/>
            </w:pPr>
            <w:r>
              <w:rPr>
                <w:rFonts w:ascii="Arial" w:hAnsi="Arial"/>
                <w:b/>
                <w:sz w:val="14"/>
              </w:rPr>
              <w:t>Observed Pattern</w:t>
            </w:r>
          </w:p>
        </w:tc>
        <w:tc>
          <w:tcPr>
            <w:tcW w:type="dxa" w:w="2045"/>
          </w:tcPr>
          <w:p>
            <w:pPr>
              <w:spacing w:after="0"/>
            </w:pPr>
            <w:r>
              <w:rPr>
                <w:rFonts w:ascii="Arial" w:hAnsi="Arial"/>
                <w:b/>
                <w:sz w:val="14"/>
              </w:rPr>
              <w:t>Systems with More Visible Posture</w:t>
            </w:r>
          </w:p>
        </w:tc>
        <w:tc>
          <w:tcPr>
            <w:tcW w:type="dxa" w:w="2045"/>
          </w:tcPr>
          <w:p>
            <w:pPr>
              <w:spacing w:after="0"/>
            </w:pPr>
            <w:r>
              <w:rPr>
                <w:rFonts w:ascii="Arial" w:hAnsi="Arial"/>
                <w:b/>
                <w:sz w:val="14"/>
              </w:rPr>
              <w:t>Systems with More Limited Visible Posture</w:t>
            </w:r>
          </w:p>
        </w:tc>
        <w:tc>
          <w:tcPr>
            <w:tcW w:type="dxa" w:w="2045"/>
          </w:tcPr>
          <w:p>
            <w:pPr>
              <w:spacing w:after="0"/>
            </w:pPr>
            <w:r>
              <w:rPr>
                <w:rFonts w:ascii="Arial" w:hAnsi="Arial"/>
                <w:b/>
                <w:sz w:val="14"/>
              </w:rPr>
              <w:t>Claim-Level Support Status</w:t>
            </w:r>
          </w:p>
        </w:tc>
      </w:tr>
      <w:tr>
        <w:tc>
          <w:tcPr>
            <w:tcW w:type="dxa" w:w="2045"/>
          </w:tcPr>
          <w:p>
            <w:pPr>
              <w:spacing w:after="0"/>
            </w:pPr>
            <w:r>
              <w:rPr>
                <w:rFonts w:ascii="Arial" w:hAnsi="Arial"/>
                <w:b w:val="0"/>
                <w:sz w:val="14"/>
              </w:rPr>
              <w:t>RCCS Coverage</w:t>
            </w:r>
          </w:p>
        </w:tc>
        <w:tc>
          <w:tcPr>
            <w:tcW w:type="dxa" w:w="2045"/>
          </w:tcPr>
          <w:p>
            <w:pPr>
              <w:spacing w:after="0"/>
            </w:pPr>
            <w:r>
              <w:rPr>
                <w:rFonts w:ascii="Arial" w:hAnsi="Arial"/>
                <w:b w:val="0"/>
                <w:sz w:val="14"/>
              </w:rPr>
              <w:t>Enterprise cloud platforms show stronger RCCS provisional posture due to integrated monitoring, logging, security, and governance controls</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 LangGraph/LangSmith, OpenAI Agents SDK</w:t>
            </w:r>
          </w:p>
        </w:tc>
        <w:tc>
          <w:tcPr>
            <w:tcW w:type="dxa" w:w="2045"/>
          </w:tcPr>
          <w:p>
            <w:pPr>
              <w:spacing w:after="0"/>
            </w:pPr>
            <w:r>
              <w:rPr>
                <w:rFonts w:ascii="Arial" w:hAnsi="Arial"/>
                <w:b w:val="0"/>
                <w:sz w:val="14"/>
              </w:rPr>
              <w:t>source-bound at entry-point level; integration support remains deployment-context dependent</w:t>
            </w:r>
          </w:p>
        </w:tc>
      </w:tr>
      <w:tr>
        <w:tc>
          <w:tcPr>
            <w:tcW w:type="dxa" w:w="2045"/>
          </w:tcPr>
          <w:p>
            <w:pPr>
              <w:spacing w:after="0"/>
            </w:pPr>
            <w:r>
              <w:rPr>
                <w:rFonts w:ascii="Arial" w:hAnsi="Arial"/>
                <w:b w:val="0"/>
                <w:sz w:val="14"/>
              </w:rPr>
              <w:t>ALCS Coverage</w:t>
            </w:r>
          </w:p>
        </w:tc>
        <w:tc>
          <w:tcPr>
            <w:tcW w:type="dxa" w:w="2045"/>
          </w:tcPr>
          <w:p>
            <w:pPr>
              <w:spacing w:after="0"/>
            </w:pPr>
            <w:r>
              <w:rPr>
                <w:rFonts w:ascii="Arial" w:hAnsi="Arial"/>
                <w:b w:val="0"/>
                <w:sz w:val="14"/>
              </w:rPr>
              <w:t>MPLP shows stronger visible ALCS provisional posture at protocol specification level; enterprise platforms show moderate visible posture; open-source frameworks show more limited visible posture</w:t>
            </w:r>
          </w:p>
        </w:tc>
        <w:tc>
          <w:tcPr>
            <w:tcW w:type="dxa" w:w="2045"/>
          </w:tcPr>
          <w:p>
            <w:pPr>
              <w:spacing w:after="0"/>
            </w:pPr>
            <w:r>
              <w:rPr>
                <w:rFonts w:ascii="Arial" w:hAnsi="Arial"/>
                <w:b w:val="0"/>
                <w:sz w:val="14"/>
              </w:rPr>
              <w:t>MPLP (protocol-level), Microsoft Azure AI Foundry, AWS Bedrock, Google Vertex AI</w:t>
            </w:r>
          </w:p>
        </w:tc>
        <w:tc>
          <w:tcPr>
            <w:tcW w:type="dxa" w:w="2045"/>
          </w:tcPr>
          <w:p>
            <w:pPr>
              <w:spacing w:after="0"/>
            </w:pPr>
            <w:r>
              <w:rPr>
                <w:rFonts w:ascii="Arial" w:hAnsi="Arial"/>
                <w:b w:val="0"/>
                <w:sz w:val="14"/>
              </w:rPr>
              <w:t>CrewAI, LangGraph/LangSmith, OpenAI Agents SDK</w:t>
            </w:r>
          </w:p>
        </w:tc>
        <w:tc>
          <w:tcPr>
            <w:tcW w:type="dxa" w:w="2045"/>
          </w:tcPr>
          <w:p>
            <w:pPr>
              <w:spacing w:after="0"/>
            </w:pPr>
            <w:r>
              <w:rPr>
                <w:rFonts w:ascii="Arial" w:hAnsi="Arial"/>
                <w:b w:val="0"/>
                <w:sz w:val="14"/>
              </w:rPr>
              <w:t>source-bound at entry-point level; ALCS implementation conformance unresolved</w:t>
            </w:r>
          </w:p>
        </w:tc>
      </w:tr>
      <w:tr>
        <w:tc>
          <w:tcPr>
            <w:tcW w:type="dxa" w:w="2045"/>
          </w:tcPr>
          <w:p>
            <w:pPr>
              <w:spacing w:after="0"/>
            </w:pPr>
            <w:r>
              <w:rPr>
                <w:rFonts w:ascii="Arial" w:hAnsi="Arial"/>
                <w:b w:val="0"/>
                <w:sz w:val="14"/>
              </w:rPr>
              <w:t>Documentation</w:t>
            </w:r>
          </w:p>
        </w:tc>
        <w:tc>
          <w:tcPr>
            <w:tcW w:type="dxa" w:w="2045"/>
          </w:tcPr>
          <w:p>
            <w:pPr>
              <w:spacing w:after="0"/>
            </w:pPr>
            <w:r>
              <w:rPr>
                <w:rFonts w:ascii="Arial" w:hAnsi="Arial"/>
                <w:b w:val="0"/>
                <w:sz w:val="14"/>
              </w:rPr>
              <w:t>All systems show strong to moderate documentation provisional posture; model cards and system cards require validation across all systems</w:t>
            </w:r>
          </w:p>
        </w:tc>
        <w:tc>
          <w:tcPr>
            <w:tcW w:type="dxa" w:w="2045"/>
          </w:tcPr>
          <w:p>
            <w:pPr>
              <w:spacing w:after="0"/>
            </w:pPr>
            <w:r>
              <w:rPr>
                <w:rFonts w:ascii="Arial" w:hAnsi="Arial"/>
                <w:b w:val="0"/>
                <w:sz w:val="14"/>
              </w:rPr>
              <w:t>All systems</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source-bound at entry-point level; system-card support remains product- and deployment-dependent</w:t>
            </w:r>
          </w:p>
        </w:tc>
      </w:tr>
      <w:tr>
        <w:tc>
          <w:tcPr>
            <w:tcW w:type="dxa" w:w="2045"/>
          </w:tcPr>
          <w:p>
            <w:pPr>
              <w:spacing w:after="0"/>
            </w:pPr>
            <w:r>
              <w:rPr>
                <w:rFonts w:ascii="Arial" w:hAnsi="Arial"/>
                <w:b w:val="0"/>
                <w:sz w:val="14"/>
              </w:rPr>
              <w:t>Record-Keeping</w:t>
            </w:r>
          </w:p>
        </w:tc>
        <w:tc>
          <w:tcPr>
            <w:tcW w:type="dxa" w:w="2045"/>
          </w:tcPr>
          <w:p>
            <w:pPr>
              <w:spacing w:after="0"/>
            </w:pPr>
            <w:r>
              <w:rPr>
                <w:rFonts w:ascii="Arial" w:hAnsi="Arial"/>
                <w:b w:val="0"/>
                <w:sz w:val="14"/>
              </w:rPr>
              <w:t>Enterprise platforms show strong record-keeping provisional posture with cloud logging integration; open-source frameworks show partial to moderate posture</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w:t>
            </w:r>
          </w:p>
        </w:tc>
        <w:tc>
          <w:tcPr>
            <w:tcW w:type="dxa" w:w="2045"/>
          </w:tcPr>
          <w:p>
            <w:pPr>
              <w:spacing w:after="0"/>
            </w:pPr>
            <w:r>
              <w:rPr>
                <w:rFonts w:ascii="Arial" w:hAnsi="Arial"/>
                <w:b w:val="0"/>
                <w:sz w:val="14"/>
              </w:rPr>
              <w:t>source-bound at entry-point level; evidence export support remains deployment-context dependent</w:t>
            </w:r>
          </w:p>
        </w:tc>
      </w:tr>
      <w:tr>
        <w:tc>
          <w:tcPr>
            <w:tcW w:type="dxa" w:w="2045"/>
          </w:tcPr>
          <w:p>
            <w:pPr>
              <w:spacing w:after="0"/>
            </w:pPr>
            <w:r>
              <w:rPr>
                <w:rFonts w:ascii="Arial" w:hAnsi="Arial"/>
                <w:b w:val="0"/>
                <w:sz w:val="14"/>
              </w:rPr>
              <w:t>Human Oversight</w:t>
            </w:r>
          </w:p>
        </w:tc>
        <w:tc>
          <w:tcPr>
            <w:tcW w:type="dxa" w:w="2045"/>
          </w:tcPr>
          <w:p>
            <w:pPr>
              <w:spacing w:after="0"/>
            </w:pPr>
            <w:r>
              <w:rPr>
                <w:rFonts w:ascii="Arial" w:hAnsi="Arial"/>
                <w:b w:val="0"/>
                <w:sz w:val="14"/>
              </w:rPr>
              <w:t>Microsoft Azure AI Foundry shows stronger visible human oversight provisional posture; MPLP shows strong protocol-level posture; other systems show moderate to more limited visible posture</w:t>
            </w:r>
          </w:p>
        </w:tc>
        <w:tc>
          <w:tcPr>
            <w:tcW w:type="dxa" w:w="2045"/>
          </w:tcPr>
          <w:p>
            <w:pPr>
              <w:spacing w:after="0"/>
            </w:pPr>
            <w:r>
              <w:rPr>
                <w:rFonts w:ascii="Arial" w:hAnsi="Arial"/>
                <w:b w:val="0"/>
                <w:sz w:val="14"/>
              </w:rPr>
              <w:t>Microsoft Azure AI Foundry, MPLP (protocol-level)</w:t>
            </w:r>
          </w:p>
        </w:tc>
        <w:tc>
          <w:tcPr>
            <w:tcW w:type="dxa" w:w="2045"/>
          </w:tcPr>
          <w:p>
            <w:pPr>
              <w:spacing w:after="0"/>
            </w:pPr>
            <w:r>
              <w:rPr>
                <w:rFonts w:ascii="Arial" w:hAnsi="Arial"/>
                <w:b w:val="0"/>
                <w:sz w:val="14"/>
              </w:rPr>
              <w:t>CrewAI, LangGraph/LangSmith</w:t>
            </w:r>
          </w:p>
        </w:tc>
        <w:tc>
          <w:tcPr>
            <w:tcW w:type="dxa" w:w="2045"/>
          </w:tcPr>
          <w:p>
            <w:pPr>
              <w:spacing w:after="0"/>
            </w:pPr>
            <w:r>
              <w:rPr>
                <w:rFonts w:ascii="Arial" w:hAnsi="Arial"/>
                <w:b w:val="0"/>
                <w:sz w:val="14"/>
              </w:rPr>
              <w:t>source-bound at entry-point level; lifecycle responsibility-object support remains L5 unless directly stated</w:t>
            </w:r>
          </w:p>
        </w:tc>
      </w:tr>
      <w:tr>
        <w:tc>
          <w:tcPr>
            <w:tcW w:type="dxa" w:w="2045"/>
          </w:tcPr>
          <w:p>
            <w:pPr>
              <w:spacing w:after="0"/>
            </w:pPr>
            <w:r>
              <w:rPr>
                <w:rFonts w:ascii="Arial" w:hAnsi="Arial"/>
                <w:b w:val="0"/>
                <w:sz w:val="14"/>
              </w:rPr>
              <w:t>Security</w:t>
            </w:r>
          </w:p>
        </w:tc>
        <w:tc>
          <w:tcPr>
            <w:tcW w:type="dxa" w:w="2045"/>
          </w:tcPr>
          <w:p>
            <w:pPr>
              <w:spacing w:after="0"/>
            </w:pPr>
            <w:r>
              <w:rPr>
                <w:rFonts w:ascii="Arial" w:hAnsi="Arial"/>
                <w:b w:val="0"/>
                <w:sz w:val="14"/>
              </w:rPr>
              <w:t>Enterprise platforms show strong security provisional posture with IAM integration; open-source frameworks show weak to partial posture</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 LangGraph/LangSmith, OpenAI Agents SDK</w:t>
            </w:r>
          </w:p>
        </w:tc>
        <w:tc>
          <w:tcPr>
            <w:tcW w:type="dxa" w:w="2045"/>
          </w:tcPr>
          <w:p>
            <w:pPr>
              <w:spacing w:after="0"/>
            </w:pPr>
            <w:r>
              <w:rPr>
                <w:rFonts w:ascii="Arial" w:hAnsi="Arial"/>
                <w:b w:val="0"/>
                <w:sz w:val="14"/>
              </w:rPr>
              <w:t>source-bound at entry-point level; AI lifecycle security integration remains deployment-context dependent</w:t>
            </w:r>
          </w:p>
        </w:tc>
      </w:tr>
      <w:tr>
        <w:tc>
          <w:tcPr>
            <w:tcW w:type="dxa" w:w="2045"/>
          </w:tcPr>
          <w:p>
            <w:pPr>
              <w:spacing w:after="0"/>
            </w:pPr>
            <w:r>
              <w:rPr>
                <w:rFonts w:ascii="Arial" w:hAnsi="Arial"/>
                <w:b w:val="0"/>
                <w:sz w:val="14"/>
              </w:rPr>
              <w:t>Accountability</w:t>
            </w:r>
          </w:p>
        </w:tc>
        <w:tc>
          <w:tcPr>
            <w:tcW w:type="dxa" w:w="2045"/>
          </w:tcPr>
          <w:p>
            <w:pPr>
              <w:spacing w:after="0"/>
            </w:pPr>
            <w:r>
              <w:rPr>
                <w:rFonts w:ascii="Arial" w:hAnsi="Arial"/>
                <w:b w:val="0"/>
                <w:sz w:val="14"/>
              </w:rPr>
              <w:t>All systems show partial to moderate accountability provisional posture; formal accountability tracking requires validation across all systems</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source-bound at entry-point level; accountability tracking remains L5 unless directly stated</w:t>
            </w:r>
          </w:p>
        </w:tc>
      </w:tr>
      <w:tr>
        <w:tc>
          <w:tcPr>
            <w:tcW w:type="dxa" w:w="2045"/>
          </w:tcPr>
          <w:p>
            <w:pPr>
              <w:spacing w:after="0"/>
            </w:pPr>
            <w:r>
              <w:rPr>
                <w:rFonts w:ascii="Arial" w:hAnsi="Arial"/>
                <w:b w:val="0"/>
                <w:sz w:val="14"/>
              </w:rPr>
              <w:t>Contestability</w:t>
            </w:r>
          </w:p>
        </w:tc>
        <w:tc>
          <w:tcPr>
            <w:tcW w:type="dxa" w:w="2045"/>
          </w:tcPr>
          <w:p>
            <w:pPr>
              <w:spacing w:after="0"/>
            </w:pPr>
            <w:r>
              <w:rPr>
                <w:rFonts w:ascii="Arial" w:hAnsi="Arial"/>
                <w:b w:val="0"/>
                <w:sz w:val="14"/>
              </w:rPr>
              <w:t>All systems show weak to partial contestability provisional posture; contestability primitives require implementer integration or validation</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All systems</w:t>
            </w:r>
          </w:p>
        </w:tc>
        <w:tc>
          <w:tcPr>
            <w:tcW w:type="dxa" w:w="2045"/>
          </w:tcPr>
          <w:p>
            <w:pPr>
              <w:spacing w:after="0"/>
            </w:pPr>
            <w:r>
              <w:rPr>
                <w:rFonts w:ascii="Arial" w:hAnsi="Arial"/>
                <w:b w:val="0"/>
                <w:sz w:val="14"/>
              </w:rPr>
              <w:t>source-bound at entry-point level; contestability support remains implementation-context dependent</w:t>
            </w:r>
          </w:p>
        </w:tc>
      </w:tr>
      <w:tr>
        <w:tc>
          <w:tcPr>
            <w:tcW w:type="dxa" w:w="2045"/>
          </w:tcPr>
          <w:p>
            <w:pPr>
              <w:spacing w:after="0"/>
            </w:pPr>
            <w:r>
              <w:rPr>
                <w:rFonts w:ascii="Arial" w:hAnsi="Arial"/>
                <w:b w:val="0"/>
                <w:sz w:val="14"/>
              </w:rPr>
              <w:t>Authority Drift Detection</w:t>
            </w:r>
          </w:p>
        </w:tc>
        <w:tc>
          <w:tcPr>
            <w:tcW w:type="dxa" w:w="2045"/>
          </w:tcPr>
          <w:p>
            <w:pPr>
              <w:spacing w:after="0"/>
            </w:pPr>
            <w:r>
              <w:rPr>
                <w:rFonts w:ascii="Arial" w:hAnsi="Arial"/>
                <w:b w:val="0"/>
                <w:sz w:val="14"/>
              </w:rPr>
              <w:t>All systems show weak to partial authority drift detection provisional posture; drift detection primitives require implementer integration or validation</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All systems</w:t>
            </w:r>
          </w:p>
        </w:tc>
        <w:tc>
          <w:tcPr>
            <w:tcW w:type="dxa" w:w="2045"/>
          </w:tcPr>
          <w:p>
            <w:pPr>
              <w:spacing w:after="0"/>
            </w:pPr>
            <w:r>
              <w:rPr>
                <w:rFonts w:ascii="Arial" w:hAnsi="Arial"/>
                <w:b w:val="0"/>
                <w:sz w:val="14"/>
              </w:rPr>
              <w:t>source-bound at entry-point level; authority drift support remains L5 unless directly stated</w:t>
            </w:r>
          </w:p>
        </w:tc>
      </w:tr>
      <w:tr>
        <w:tc>
          <w:tcPr>
            <w:tcW w:type="dxa" w:w="2045"/>
          </w:tcPr>
          <w:p>
            <w:pPr>
              <w:spacing w:after="0"/>
            </w:pPr>
            <w:r>
              <w:rPr>
                <w:rFonts w:ascii="Arial" w:hAnsi="Arial"/>
                <w:b w:val="0"/>
                <w:sz w:val="14"/>
              </w:rPr>
              <w:t>Privacy/GDPR Lifecycle Mapping</w:t>
            </w:r>
          </w:p>
        </w:tc>
        <w:tc>
          <w:tcPr>
            <w:tcW w:type="dxa" w:w="2045"/>
          </w:tcPr>
          <w:p>
            <w:pPr>
              <w:spacing w:after="0"/>
            </w:pPr>
            <w:r>
              <w:rPr>
                <w:rFonts w:ascii="Arial" w:hAnsi="Arial"/>
                <w:b w:val="0"/>
                <w:sz w:val="14"/>
              </w:rPr>
              <w:t>Enterprise platforms show moderate privacy provisional posture; open-source frameworks show more limited visible posture; formal GDPR lifecycle mapping requires validation</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 LangGraph/LangSmith, OpenAI Agents SDK</w:t>
            </w:r>
          </w:p>
        </w:tc>
        <w:tc>
          <w:tcPr>
            <w:tcW w:type="dxa" w:w="2045"/>
          </w:tcPr>
          <w:p>
            <w:pPr>
              <w:spacing w:after="0"/>
            </w:pPr>
            <w:r>
              <w:rPr>
                <w:rFonts w:ascii="Arial" w:hAnsi="Arial"/>
                <w:b w:val="0"/>
                <w:sz w:val="14"/>
              </w:rPr>
              <w:t>source-bound at entry-point level; GDPR lifecycle-object support remains L5 unless directly stated</w:t>
            </w:r>
          </w:p>
        </w:tc>
      </w:tr>
      <w:tr>
        <w:tc>
          <w:tcPr>
            <w:tcW w:type="dxa" w:w="2045"/>
          </w:tcPr>
          <w:p>
            <w:pPr>
              <w:spacing w:after="0"/>
            </w:pPr>
            <w:r>
              <w:rPr>
                <w:rFonts w:ascii="Arial" w:hAnsi="Arial"/>
                <w:b w:val="0"/>
                <w:sz w:val="14"/>
              </w:rPr>
              <w:t>Implementer-Built Gap</w:t>
            </w:r>
          </w:p>
        </w:tc>
        <w:tc>
          <w:tcPr>
            <w:tcW w:type="dxa" w:w="2045"/>
          </w:tcPr>
          <w:p>
            <w:pPr>
              <w:spacing w:after="0"/>
            </w:pPr>
            <w:r>
              <w:rPr>
                <w:rFonts w:ascii="Arial" w:hAnsi="Arial"/>
                <w:b w:val="0"/>
                <w:sz w:val="14"/>
              </w:rPr>
              <w:t>Open-source frameworks (CrewAI, LangGraph/LangSmith) show significant implementer-built gaps across multiple assessment areas; enterprise platforms show fewer gaps</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 LangGraph/LangSmith</w:t>
            </w:r>
          </w:p>
        </w:tc>
        <w:tc>
          <w:tcPr>
            <w:tcW w:type="dxa" w:w="2045"/>
          </w:tcPr>
          <w:p>
            <w:pPr>
              <w:spacing w:after="0"/>
            </w:pPr>
            <w:r>
              <w:rPr>
                <w:rFonts w:ascii="Arial" w:hAnsi="Arial"/>
                <w:b w:val="0"/>
                <w:sz w:val="14"/>
              </w:rPr>
              <w:t>source-bound at entry-point level; platform-provided primitive boundaries remain provisional</w:t>
            </w:r>
          </w:p>
        </w:tc>
      </w:tr>
    </w:tbl>
    <w:p>
      <w:pPr>
        <w:spacing w:after="56"/>
      </w:pPr>
      <w:r>
        <w:t>Key Observations (Provisional):</w:t>
      </w:r>
    </w:p>
    <w:p>
      <w:pPr>
        <w:pStyle w:val="ListNumber"/>
        <w:spacing w:after="56"/>
      </w:pPr>
      <w:r>
        <w:t>Enterprise platforms show stronger RCCS provisional posture due to integrated cloud platform capabilities (monitoring, logging, security, governance)</w:t>
      </w:r>
    </w:p>
    <w:p>
      <w:pPr>
        <w:pStyle w:val="ListNumber"/>
        <w:spacing w:after="56"/>
      </w:pPr>
      <w:r>
        <w:t>MPLP shows stronger visible ALCS provisional posture at protocol specification level but requires implementer integration for operational deployment</w:t>
      </w:r>
    </w:p>
    <w:p>
      <w:pPr>
        <w:pStyle w:val="ListNumber"/>
        <w:spacing w:after="56"/>
      </w:pPr>
      <w:r>
        <w:t>All systems show gaps in contestability and authority drift detection indicating industry-wide gaps in these capability primitives</w:t>
      </w:r>
    </w:p>
    <w:p>
      <w:pPr>
        <w:pStyle w:val="ListNumber"/>
        <w:spacing w:after="56"/>
      </w:pPr>
      <w:r>
        <w:t>Open-source frameworks show significant implementer-built gaps requiring organizations to build additional governance layers</w:t>
      </w:r>
    </w:p>
    <w:p>
      <w:pPr>
        <w:pStyle w:val="ListNumber"/>
        <w:spacing w:after="56"/>
      </w:pPr>
      <w:r>
        <w:t>All assessments are provisional after Phase 1C source binding and require final publication proofing before any finalized assessment posture</w:t>
      </w:r>
    </w:p>
    <w:p>
      <w:pPr>
        <w:spacing w:after="56"/>
      </w:pPr>
      <w:r>
        <w:t>CRITICAL REMINDER: These patterns are provisional observations after Phase 1C claim-level source binding. They are not final assessment postures, product ordering, procurement recommendations, or certification.</w:t>
      </w:r>
    </w:p>
    <w:p>
      <w:pPr>
        <w:pStyle w:val="Heading2"/>
      </w:pPr>
      <w:r>
        <w:t>G.4 Claim-Level Source Support Note</w:t>
      </w:r>
    </w:p>
    <w:p>
      <w:pPr>
        <w:spacing w:after="56"/>
      </w:pPr>
      <w:r>
        <w:t>Appendix G has completed Phase 1C claim-level source binding and remains revalidated provisional.</w:t>
      </w:r>
    </w:p>
    <w:p>
      <w:pPr>
        <w:spacing w:after="56"/>
      </w:pPr>
      <w:r>
        <w:t>Remaining finalization scope:</w:t>
      </w:r>
    </w:p>
    <w:p>
      <w:pPr>
        <w:pStyle w:val="ListNumber"/>
        <w:spacing w:after="56"/>
      </w:pPr>
      <w:r>
        <w:t>Pin exact source pages for each source-bound claim — Source entry points have been located, but some claims still need exact page-level citation pinning.</w:t>
      </w:r>
    </w:p>
    <w:p>
      <w:pPr>
        <w:pStyle w:val="ListNumber"/>
        <w:spacing w:after="56"/>
      </w:pPr>
      <w:r>
        <w:t>Preserve L5 mapping discipline — Product documentation supporting adjacent platform features must not be treated as direct ALCS lifecycle responsibility-object proof.</w:t>
      </w:r>
    </w:p>
    <w:p>
      <w:pPr>
        <w:pStyle w:val="ListNumber"/>
        <w:spacing w:after="56"/>
      </w:pPr>
      <w:r>
        <w:t>Retain no-score/no-ranking posture — Qualitative postures remain analytical and provisional.</w:t>
      </w:r>
    </w:p>
    <w:p>
      <w:pPr>
        <w:pStyle w:val="ListNumber"/>
        <w:spacing w:after="56"/>
      </w:pPr>
      <w:r>
        <w:t>Perform final citation rendering QA in Phase 1D — No DOCX/PDF citation rendering has been generated in this phase.</w:t>
      </w:r>
    </w:p>
    <w:p>
      <w:pPr>
        <w:spacing w:after="56"/>
      </w:pPr>
      <w:r>
        <w:t>Systems not assessed in Appendix G:</w:t>
      </w:r>
    </w:p>
    <w:p>
      <w:pPr>
        <w:spacing w:after="56"/>
      </w:pPr>
      <w:r>
        <w:t>The following systems were mentioned in earlier phases but are not assessed in Appendix G. They may be considered for future versions:</w:t>
      </w:r>
    </w:p>
    <w:p>
      <w:pPr>
        <w:pStyle w:val="ListBullet"/>
        <w:spacing w:after="56"/>
      </w:pPr>
      <w:r>
        <w:t>LangChain (standalone framework; LangGraph/LangSmith assessed instead as representative LangChain ecosystem system)</w:t>
      </w:r>
    </w:p>
    <w:p>
      <w:pPr>
        <w:pStyle w:val="ListBullet"/>
        <w:spacing w:after="56"/>
      </w:pPr>
      <w:r>
        <w:t>AutoGen (not included in representative system set)</w:t>
      </w:r>
    </w:p>
    <w:p>
      <w:pPr>
        <w:pStyle w:val="ListBullet"/>
        <w:spacing w:after="56"/>
      </w:pPr>
      <w:r>
        <w:t>Semantic Kernel (not included in representative system set)</w:t>
      </w:r>
    </w:p>
    <w:p>
      <w:pPr>
        <w:pStyle w:val="ListBullet"/>
        <w:spacing w:after="56"/>
      </w:pPr>
      <w:r>
        <w:t>Microsoft Copilot Studio (Microsoft Azure AI Foundry assessed instead as representative Microsoft system)</w:t>
      </w:r>
    </w:p>
    <w:p>
      <w:pPr>
        <w:pStyle w:val="ListBullet"/>
        <w:spacing w:after="56"/>
      </w:pPr>
      <w:r>
        <w:t>Anthropic Claude API (not included in representative system set)</w:t>
      </w:r>
    </w:p>
    <w:p>
      <w:pPr>
        <w:pStyle w:val="ListBullet"/>
        <w:spacing w:after="56"/>
      </w:pPr>
      <w:r>
        <w:t>OpenAI Assistants API (OpenAI Agents SDK assessed instead as representative OpenAI system)</w:t>
      </w:r>
    </w:p>
    <w:p>
      <w:pPr>
        <w:pStyle w:val="ListBullet"/>
        <w:spacing w:after="56"/>
      </w:pPr>
      <w:r>
        <w:t>Amazon Bedrock Agents (AWS Bedrock / Guardrails / AgentCore assessed instead as comprehensive AWS system)</w:t>
      </w:r>
    </w:p>
    <w:p>
      <w:pPr>
        <w:pStyle w:val="ListBullet"/>
        <w:spacing w:after="56"/>
      </w:pPr>
      <w:r>
        <w:t>Google Vertex AI Agent Builder (Google Vertex AI / ADK / Model Armor assessed instead as comprehensive Google system)</w:t>
      </w:r>
    </w:p>
    <w:p>
      <w:pPr>
        <w:spacing w:after="56"/>
      </w:pPr>
      <w:r>
        <w:t>Validation Lab Note:</w:t>
      </w:r>
    </w:p>
    <w:p>
      <w:pPr>
        <w:spacing w:after="56"/>
      </w:pPr>
      <w:r>
        <w:t>Validation Lab is mentioned in Chapter 14 as a non-certifying evidence adjudication example. It is not assessed in Appendix G as it is not positioned as a required, exclusive, or certified validation path. Organizations may use Validation Lab, alternative validation approaches, or implementer-built validation solutions based on their requirements.</w:t>
      </w:r>
    </w:p>
    <w:p>
      <w:pPr>
        <w:pStyle w:val="Heading1"/>
      </w:pPr>
      <w:r>
        <w:t>Appendix H — Enterprise Procurement Scorecard</w:t>
      </w:r>
    </w:p>
    <w:p>
      <w:pPr>
        <w:spacing w:after="56"/>
      </w:pPr>
      <w:r>
        <w:t>Version: v0.3.2-FRC-R3</w:t>
      </w:r>
    </w:p>
    <w:p>
      <w:pPr>
        <w:pStyle w:val="Heading2"/>
      </w:pPr>
      <w:r>
        <w:t>H.0 Procurement Boundary</w:t>
      </w:r>
    </w:p>
    <w:p>
      <w:pPr>
        <w:spacing w:after="56"/>
      </w:pPr>
      <w:r>
        <w:t>This appendix provides an enterprise procurement-oriented checklist and scorecard template for evaluating agentic AI systems using RCCS, ALCS, and lifecycle governance requirements.</w:t>
      </w:r>
    </w:p>
    <w:p>
      <w:pPr>
        <w:spacing w:after="56"/>
      </w:pPr>
      <w:r>
        <w:t>This appendix is a buyer diligence aid. It is not a procurement recommendation, vendor ranking, legal compliance determination, certification checklist, market endorsement, or substitute for human review. It helps enterprise buyers ask better governance questions before adopting agentic AI systems.</w:t>
      </w:r>
    </w:p>
    <w:p>
      <w:pPr>
        <w:spacing w:after="56"/>
      </w:pPr>
      <w:r>
        <w:t>The scorecard may reference RCCS and ALCS dimensions as analytical prompts. It must not be read as proof that a vendor, platform, protocol, or implementation is legally compliant, operationally effective, enterprise-ready, certified, or regulator-approved.</w:t>
      </w:r>
    </w:p>
    <w:p>
      <w:pPr>
        <w:spacing w:after="56"/>
      </w:pPr>
      <w:r>
        <w:t>Appendix G may be used only as an example of qualitative provisional assessment categories. Appendix G provisional postures must not be reused as vendor selection advice without enterprise-specific review, page-level citation support, and accountable buyer judgment.</w:t>
      </w:r>
    </w:p>
    <w:p>
      <w:pPr>
        <w:pStyle w:val="Heading2"/>
      </w:pPr>
      <w:r>
        <w:t>H.1 How Enterprises Should Use This Scorecard</w:t>
      </w:r>
    </w:p>
    <w:p>
      <w:pPr>
        <w:spacing w:after="56"/>
      </w:pPr>
      <w:r>
        <w:t>Enterprises should use this scorecard during early diligence, request-for-information review, request-for-proposal design, architecture review, and internal governance review. The scorecard is intended to structure questions, evidence requests, and review boundaries.</w:t>
      </w:r>
    </w:p>
    <w:p>
      <w:pPr>
        <w:spacing w:after="56"/>
      </w:pPr>
      <w:r>
        <w:t>Recommended use sequence:</w:t>
      </w:r>
    </w:p>
    <w:p>
      <w:pPr>
        <w:pStyle w:val="ListNumber"/>
        <w:spacing w:after="56"/>
      </w:pPr>
      <w:r>
        <w:t>Identify the intended agentic AI use case, deployment context, and lifecycle risk profile.</w:t>
      </w:r>
    </w:p>
    <w:p>
      <w:pPr>
        <w:pStyle w:val="ListNumber"/>
        <w:spacing w:after="56"/>
      </w:pPr>
      <w:r>
        <w:t>Select the relevant RCCS and ALCS dimensions for that use case.</w:t>
      </w:r>
    </w:p>
    <w:p>
      <w:pPr>
        <w:pStyle w:val="ListNumber"/>
        <w:spacing w:after="56"/>
      </w:pPr>
      <w:r>
        <w:t>Request evidence from vendors or implementation teams using the evidence request template.</w:t>
      </w:r>
    </w:p>
    <w:p>
      <w:pPr>
        <w:pStyle w:val="ListNumber"/>
        <w:spacing w:after="56"/>
      </w:pPr>
      <w:r>
        <w:t>Record gaps, red flags, and unresolved assumptions.</w:t>
      </w:r>
    </w:p>
    <w:p>
      <w:pPr>
        <w:pStyle w:val="ListNumber"/>
        <w:spacing w:after="56"/>
      </w:pPr>
      <w:r>
        <w:t>Escalate material gaps to legal, security, privacy, risk, procurement, and business owners.</w:t>
      </w:r>
    </w:p>
    <w:p>
      <w:pPr>
        <w:pStyle w:val="ListNumber"/>
        <w:spacing w:after="56"/>
      </w:pPr>
      <w:r>
        <w:t>Defer final evidence interpretation to publication / enterprise review.</w:t>
      </w:r>
    </w:p>
    <w:p>
      <w:pPr>
        <w:spacing w:after="56"/>
      </w:pPr>
      <w:r>
        <w:t>This appendix does not tell an enterprise which system to buy. It supports disciplined questioning and evidence collection.</w:t>
      </w:r>
    </w:p>
    <w:p>
      <w:pPr>
        <w:pStyle w:val="Heading2"/>
      </w:pPr>
      <w:r>
        <w:t>H.2 Procurement Due Diligence Questions</w:t>
      </w:r>
    </w:p>
    <w:p>
      <w:pPr>
        <w:keepNext/>
      </w:pPr>
      <w:r>
        <w:rPr>
          <w:b/>
          <w:sz w:val="16"/>
        </w:rPr>
        <w:t>Table T-H-01: Enterprise Procurement Scorecard</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Area</w:t>
            </w:r>
          </w:p>
        </w:tc>
        <w:tc>
          <w:tcPr>
            <w:tcW w:type="dxa" w:w="1704"/>
          </w:tcPr>
          <w:p>
            <w:pPr>
              <w:spacing w:after="0"/>
            </w:pPr>
            <w:r>
              <w:rPr>
                <w:rFonts w:ascii="Arial" w:hAnsi="Arial"/>
                <w:b/>
                <w:sz w:val="12"/>
              </w:rPr>
              <w:t>Procurement Question</w:t>
            </w:r>
          </w:p>
        </w:tc>
        <w:tc>
          <w:tcPr>
            <w:tcW w:type="dxa" w:w="1704"/>
          </w:tcPr>
          <w:p>
            <w:pPr>
              <w:spacing w:after="0"/>
            </w:pPr>
            <w:r>
              <w:rPr>
                <w:rFonts w:ascii="Arial" w:hAnsi="Arial"/>
                <w:b/>
                <w:sz w:val="12"/>
              </w:rPr>
              <w:t>Related RCCS/ALCS</w:t>
            </w:r>
          </w:p>
        </w:tc>
        <w:tc>
          <w:tcPr>
            <w:tcW w:type="dxa" w:w="1704"/>
          </w:tcPr>
          <w:p>
            <w:pPr>
              <w:spacing w:after="0"/>
            </w:pPr>
            <w:r>
              <w:rPr>
                <w:rFonts w:ascii="Arial" w:hAnsi="Arial"/>
                <w:b/>
                <w:sz w:val="12"/>
              </w:rPr>
              <w:t>Required Vendor Evidence</w:t>
            </w:r>
          </w:p>
        </w:tc>
        <w:tc>
          <w:tcPr>
            <w:tcW w:type="dxa" w:w="1704"/>
          </w:tcPr>
          <w:p>
            <w:pPr>
              <w:spacing w:after="0"/>
            </w:pPr>
            <w:r>
              <w:rPr>
                <w:rFonts w:ascii="Arial" w:hAnsi="Arial"/>
                <w:b/>
                <w:sz w:val="12"/>
              </w:rPr>
              <w:t>Red Flag</w:t>
            </w:r>
          </w:p>
        </w:tc>
        <w:tc>
          <w:tcPr>
            <w:tcW w:type="dxa" w:w="1704"/>
          </w:tcPr>
          <w:p>
            <w:pPr>
              <w:spacing w:after="0"/>
            </w:pPr>
            <w:r>
              <w:rPr>
                <w:rFonts w:ascii="Arial" w:hAnsi="Arial"/>
                <w:b/>
                <w:sz w:val="12"/>
              </w:rPr>
              <w:t>Buyer Note</w:t>
            </w:r>
          </w:p>
        </w:tc>
      </w:tr>
      <w:tr>
        <w:tc>
          <w:tcPr>
            <w:tcW w:type="dxa" w:w="1704"/>
          </w:tcPr>
          <w:p>
            <w:pPr>
              <w:spacing w:after="0"/>
            </w:pPr>
            <w:r>
              <w:rPr>
                <w:rFonts w:ascii="Arial" w:hAnsi="Arial"/>
                <w:b w:val="0"/>
                <w:sz w:val="12"/>
              </w:rPr>
              <w:t>Governance scope</w:t>
            </w:r>
          </w:p>
        </w:tc>
        <w:tc>
          <w:tcPr>
            <w:tcW w:type="dxa" w:w="1704"/>
          </w:tcPr>
          <w:p>
            <w:pPr>
              <w:spacing w:after="0"/>
            </w:pPr>
            <w:r>
              <w:rPr>
                <w:rFonts w:ascii="Arial" w:hAnsi="Arial"/>
                <w:b w:val="0"/>
                <w:sz w:val="12"/>
              </w:rPr>
              <w:t>What agentic workflows, tools, models, and runtime components are covered by the governance controls?</w:t>
            </w:r>
          </w:p>
        </w:tc>
        <w:tc>
          <w:tcPr>
            <w:tcW w:type="dxa" w:w="1704"/>
          </w:tcPr>
          <w:p>
            <w:pPr>
              <w:spacing w:after="0"/>
            </w:pPr>
            <w:r>
              <w:rPr>
                <w:rFonts w:ascii="Arial" w:hAnsi="Arial"/>
                <w:b w:val="0"/>
                <w:sz w:val="12"/>
              </w:rPr>
              <w:t>RCCS-03, ALCS-15</w:t>
            </w:r>
          </w:p>
        </w:tc>
        <w:tc>
          <w:tcPr>
            <w:tcW w:type="dxa" w:w="1704"/>
          </w:tcPr>
          <w:p>
            <w:pPr>
              <w:spacing w:after="0"/>
            </w:pPr>
            <w:r>
              <w:rPr>
                <w:rFonts w:ascii="Arial" w:hAnsi="Arial"/>
                <w:b w:val="0"/>
                <w:sz w:val="12"/>
              </w:rPr>
              <w:t>Scope statement, architecture diagram, runtime inventory</w:t>
            </w:r>
          </w:p>
        </w:tc>
        <w:tc>
          <w:tcPr>
            <w:tcW w:type="dxa" w:w="1704"/>
          </w:tcPr>
          <w:p>
            <w:pPr>
              <w:spacing w:after="0"/>
            </w:pPr>
            <w:r>
              <w:rPr>
                <w:rFonts w:ascii="Arial" w:hAnsi="Arial"/>
                <w:b w:val="0"/>
                <w:sz w:val="12"/>
              </w:rPr>
              <w:t>Governance claims cover only model behavior while agent workflow remains undefined</w:t>
            </w:r>
          </w:p>
        </w:tc>
        <w:tc>
          <w:tcPr>
            <w:tcW w:type="dxa" w:w="1704"/>
          </w:tcPr>
          <w:p>
            <w:pPr>
              <w:spacing w:after="0"/>
            </w:pPr>
            <w:r>
              <w:rPr>
                <w:rFonts w:ascii="Arial" w:hAnsi="Arial"/>
                <w:b w:val="0"/>
                <w:sz w:val="12"/>
              </w:rPr>
              <w:t>Confirm whether controls apply to the full lifecycle, not only model invocation</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How are agentic risks identified, assessed, mitigated, and monitored over time?</w:t>
            </w:r>
          </w:p>
        </w:tc>
        <w:tc>
          <w:tcPr>
            <w:tcW w:type="dxa" w:w="1704"/>
          </w:tcPr>
          <w:p>
            <w:pPr>
              <w:spacing w:after="0"/>
            </w:pPr>
            <w:r>
              <w:rPr>
                <w:rFonts w:ascii="Arial" w:hAnsi="Arial"/>
                <w:b w:val="0"/>
                <w:sz w:val="12"/>
              </w:rPr>
              <w:t>RCCS-01, RCCS-10</w:t>
            </w:r>
          </w:p>
        </w:tc>
        <w:tc>
          <w:tcPr>
            <w:tcW w:type="dxa" w:w="1704"/>
          </w:tcPr>
          <w:p>
            <w:pPr>
              <w:spacing w:after="0"/>
            </w:pPr>
            <w:r>
              <w:rPr>
                <w:rFonts w:ascii="Arial" w:hAnsi="Arial"/>
                <w:b w:val="0"/>
                <w:sz w:val="12"/>
              </w:rPr>
              <w:t>Risk register template, monitoring policy, escalation workflow</w:t>
            </w:r>
          </w:p>
        </w:tc>
        <w:tc>
          <w:tcPr>
            <w:tcW w:type="dxa" w:w="1704"/>
          </w:tcPr>
          <w:p>
            <w:pPr>
              <w:spacing w:after="0"/>
            </w:pPr>
            <w:r>
              <w:rPr>
                <w:rFonts w:ascii="Arial" w:hAnsi="Arial"/>
                <w:b w:val="0"/>
                <w:sz w:val="12"/>
              </w:rPr>
              <w:t>Risk management is described only as a general platform feature</w:t>
            </w:r>
          </w:p>
        </w:tc>
        <w:tc>
          <w:tcPr>
            <w:tcW w:type="dxa" w:w="1704"/>
          </w:tcPr>
          <w:p>
            <w:pPr>
              <w:spacing w:after="0"/>
            </w:pPr>
            <w:r>
              <w:rPr>
                <w:rFonts w:ascii="Arial" w:hAnsi="Arial"/>
                <w:b w:val="0"/>
                <w:sz w:val="12"/>
              </w:rPr>
              <w:t>Require AI-agent-specific risk handling evidence</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How are input data, context data, generated evidence, and retained records governed?</w:t>
            </w:r>
          </w:p>
        </w:tc>
        <w:tc>
          <w:tcPr>
            <w:tcW w:type="dxa" w:w="1704"/>
          </w:tcPr>
          <w:p>
            <w:pPr>
              <w:spacing w:after="0"/>
            </w:pPr>
            <w:r>
              <w:rPr>
                <w:rFonts w:ascii="Arial" w:hAnsi="Arial"/>
                <w:b w:val="0"/>
                <w:sz w:val="12"/>
              </w:rPr>
              <w:t>RCCS-02, ALCS-10, ALCS-13</w:t>
            </w:r>
          </w:p>
        </w:tc>
        <w:tc>
          <w:tcPr>
            <w:tcW w:type="dxa" w:w="1704"/>
          </w:tcPr>
          <w:p>
            <w:pPr>
              <w:spacing w:after="0"/>
            </w:pPr>
            <w:r>
              <w:rPr>
                <w:rFonts w:ascii="Arial" w:hAnsi="Arial"/>
                <w:b w:val="0"/>
                <w:sz w:val="12"/>
              </w:rPr>
              <w:t>Data flow map, retention policy, access control description</w:t>
            </w:r>
          </w:p>
        </w:tc>
        <w:tc>
          <w:tcPr>
            <w:tcW w:type="dxa" w:w="1704"/>
          </w:tcPr>
          <w:p>
            <w:pPr>
              <w:spacing w:after="0"/>
            </w:pPr>
            <w:r>
              <w:rPr>
                <w:rFonts w:ascii="Arial" w:hAnsi="Arial"/>
                <w:b w:val="0"/>
                <w:sz w:val="12"/>
              </w:rPr>
              <w:t>Retention and deletion duties are described without lifecycle evidence handling</w:t>
            </w:r>
          </w:p>
        </w:tc>
        <w:tc>
          <w:tcPr>
            <w:tcW w:type="dxa" w:w="1704"/>
          </w:tcPr>
          <w:p>
            <w:pPr>
              <w:spacing w:after="0"/>
            </w:pPr>
            <w:r>
              <w:rPr>
                <w:rFonts w:ascii="Arial" w:hAnsi="Arial"/>
                <w:b w:val="0"/>
                <w:sz w:val="12"/>
              </w:rPr>
              <w:t>Verify privacy and retention conflicts during publication / enterprise review</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What documentation exists for model use, agent role, tool access, and deployment configuration?</w:t>
            </w:r>
          </w:p>
        </w:tc>
        <w:tc>
          <w:tcPr>
            <w:tcW w:type="dxa" w:w="1704"/>
          </w:tcPr>
          <w:p>
            <w:pPr>
              <w:spacing w:after="0"/>
            </w:pPr>
            <w:r>
              <w:rPr>
                <w:rFonts w:ascii="Arial" w:hAnsi="Arial"/>
                <w:b w:val="0"/>
                <w:sz w:val="12"/>
              </w:rPr>
              <w:t>RCCS-03, ALCS-03, ALCS-15</w:t>
            </w:r>
          </w:p>
        </w:tc>
        <w:tc>
          <w:tcPr>
            <w:tcW w:type="dxa" w:w="1704"/>
          </w:tcPr>
          <w:p>
            <w:pPr>
              <w:spacing w:after="0"/>
            </w:pPr>
            <w:r>
              <w:rPr>
                <w:rFonts w:ascii="Arial" w:hAnsi="Arial"/>
                <w:b w:val="0"/>
                <w:sz w:val="12"/>
              </w:rPr>
              <w:t>System card, model card, deployment record, configuration manifest</w:t>
            </w:r>
          </w:p>
        </w:tc>
        <w:tc>
          <w:tcPr>
            <w:tcW w:type="dxa" w:w="1704"/>
          </w:tcPr>
          <w:p>
            <w:pPr>
              <w:spacing w:after="0"/>
            </w:pPr>
            <w:r>
              <w:rPr>
                <w:rFonts w:ascii="Arial" w:hAnsi="Arial"/>
                <w:b w:val="0"/>
                <w:sz w:val="12"/>
              </w:rPr>
              <w:t>Documentation exists for models but not agents or tool actions</w:t>
            </w:r>
          </w:p>
        </w:tc>
        <w:tc>
          <w:tcPr>
            <w:tcW w:type="dxa" w:w="1704"/>
          </w:tcPr>
          <w:p>
            <w:pPr>
              <w:spacing w:after="0"/>
            </w:pPr>
            <w:r>
              <w:rPr>
                <w:rFonts w:ascii="Arial" w:hAnsi="Arial"/>
                <w:b w:val="0"/>
                <w:sz w:val="12"/>
              </w:rPr>
              <w:t>Separate model documentation from agent lifecycle documentation</w:t>
            </w:r>
          </w:p>
        </w:tc>
      </w:tr>
      <w:tr>
        <w:tc>
          <w:tcPr>
            <w:tcW w:type="dxa" w:w="1704"/>
          </w:tcPr>
          <w:p>
            <w:pPr>
              <w:spacing w:after="0"/>
            </w:pPr>
            <w:r>
              <w:rPr>
                <w:rFonts w:ascii="Arial" w:hAnsi="Arial"/>
                <w:b w:val="0"/>
                <w:sz w:val="12"/>
              </w:rPr>
              <w:t>Record keeping</w:t>
            </w:r>
          </w:p>
        </w:tc>
        <w:tc>
          <w:tcPr>
            <w:tcW w:type="dxa" w:w="1704"/>
          </w:tcPr>
          <w:p>
            <w:pPr>
              <w:spacing w:after="0"/>
            </w:pPr>
            <w:r>
              <w:rPr>
                <w:rFonts w:ascii="Arial" w:hAnsi="Arial"/>
                <w:b w:val="0"/>
                <w:sz w:val="12"/>
              </w:rPr>
              <w:t>What records are created for plans, tool actions, authority grants, evidence packs, reviews, and accepted outcomes?</w:t>
            </w:r>
          </w:p>
        </w:tc>
        <w:tc>
          <w:tcPr>
            <w:tcW w:type="dxa" w:w="1704"/>
          </w:tcPr>
          <w:p>
            <w:pPr>
              <w:spacing w:after="0"/>
            </w:pPr>
            <w:r>
              <w:rPr>
                <w:rFonts w:ascii="Arial" w:hAnsi="Arial"/>
                <w:b w:val="0"/>
                <w:sz w:val="12"/>
              </w:rPr>
              <w:t>RCCS-04, ALCS-08, ALCS-12</w:t>
            </w:r>
          </w:p>
        </w:tc>
        <w:tc>
          <w:tcPr>
            <w:tcW w:type="dxa" w:w="1704"/>
          </w:tcPr>
          <w:p>
            <w:pPr>
              <w:spacing w:after="0"/>
            </w:pPr>
            <w:r>
              <w:rPr>
                <w:rFonts w:ascii="Arial" w:hAnsi="Arial"/>
                <w:b w:val="0"/>
                <w:sz w:val="12"/>
              </w:rPr>
              <w:t>Log schema, evidence export sample, retention rule</w:t>
            </w:r>
          </w:p>
        </w:tc>
        <w:tc>
          <w:tcPr>
            <w:tcW w:type="dxa" w:w="1704"/>
          </w:tcPr>
          <w:p>
            <w:pPr>
              <w:spacing w:after="0"/>
            </w:pPr>
            <w:r>
              <w:rPr>
                <w:rFonts w:ascii="Arial" w:hAnsi="Arial"/>
                <w:b w:val="0"/>
                <w:sz w:val="12"/>
              </w:rPr>
              <w:t>Logs cannot be connected to lifecycle responsibility objects</w:t>
            </w:r>
          </w:p>
        </w:tc>
        <w:tc>
          <w:tcPr>
            <w:tcW w:type="dxa" w:w="1704"/>
          </w:tcPr>
          <w:p>
            <w:pPr>
              <w:spacing w:after="0"/>
            </w:pPr>
            <w:r>
              <w:rPr>
                <w:rFonts w:ascii="Arial" w:hAnsi="Arial"/>
                <w:b w:val="0"/>
                <w:sz w:val="12"/>
              </w:rPr>
              <w:t>Ask whether records are exportable and reviewable</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How are human roles mapped to agent responsibilities, review points, and escalation authority?</w:t>
            </w:r>
          </w:p>
        </w:tc>
        <w:tc>
          <w:tcPr>
            <w:tcW w:type="dxa" w:w="1704"/>
          </w:tcPr>
          <w:p>
            <w:pPr>
              <w:spacing w:after="0"/>
            </w:pPr>
            <w:r>
              <w:rPr>
                <w:rFonts w:ascii="Arial" w:hAnsi="Arial"/>
                <w:b w:val="0"/>
                <w:sz w:val="12"/>
              </w:rPr>
              <w:t>RCCS-06, ALCS-01, ALCS-02</w:t>
            </w:r>
          </w:p>
        </w:tc>
        <w:tc>
          <w:tcPr>
            <w:tcW w:type="dxa" w:w="1704"/>
          </w:tcPr>
          <w:p>
            <w:pPr>
              <w:spacing w:after="0"/>
            </w:pPr>
            <w:r>
              <w:rPr>
                <w:rFonts w:ascii="Arial" w:hAnsi="Arial"/>
                <w:b w:val="0"/>
                <w:sz w:val="12"/>
              </w:rPr>
              <w:t>Responsibility matrix, review workflow, escalation rule</w:t>
            </w:r>
          </w:p>
        </w:tc>
        <w:tc>
          <w:tcPr>
            <w:tcW w:type="dxa" w:w="1704"/>
          </w:tcPr>
          <w:p>
            <w:pPr>
              <w:spacing w:after="0"/>
            </w:pPr>
            <w:r>
              <w:rPr>
                <w:rFonts w:ascii="Arial" w:hAnsi="Arial"/>
                <w:b w:val="0"/>
                <w:sz w:val="12"/>
              </w:rPr>
              <w:t>Human oversight is described as a generic approval button</w:t>
            </w:r>
          </w:p>
        </w:tc>
        <w:tc>
          <w:tcPr>
            <w:tcW w:type="dxa" w:w="1704"/>
          </w:tcPr>
          <w:p>
            <w:pPr>
              <w:spacing w:after="0"/>
            </w:pPr>
            <w:r>
              <w:rPr>
                <w:rFonts w:ascii="Arial" w:hAnsi="Arial"/>
                <w:b w:val="0"/>
                <w:sz w:val="12"/>
              </w:rPr>
              <w:t>Require role-to-responsibility mapping</w:t>
            </w:r>
          </w:p>
        </w:tc>
      </w:tr>
      <w:tr>
        <w:tc>
          <w:tcPr>
            <w:tcW w:type="dxa" w:w="1704"/>
          </w:tcPr>
          <w:p>
            <w:pPr>
              <w:spacing w:after="0"/>
            </w:pPr>
            <w:r>
              <w:rPr>
                <w:rFonts w:ascii="Arial" w:hAnsi="Arial"/>
                <w:b w:val="0"/>
                <w:sz w:val="12"/>
              </w:rPr>
              <w:t>Authority boundaries</w:t>
            </w:r>
          </w:p>
        </w:tc>
        <w:tc>
          <w:tcPr>
            <w:tcW w:type="dxa" w:w="1704"/>
          </w:tcPr>
          <w:p>
            <w:pPr>
              <w:spacing w:after="0"/>
            </w:pPr>
            <w:r>
              <w:rPr>
                <w:rFonts w:ascii="Arial" w:hAnsi="Arial"/>
                <w:b w:val="0"/>
                <w:sz w:val="12"/>
              </w:rPr>
              <w:t>How are delegated authority limits defined, enforced, and changed?</w:t>
            </w:r>
          </w:p>
        </w:tc>
        <w:tc>
          <w:tcPr>
            <w:tcW w:type="dxa" w:w="1704"/>
          </w:tcPr>
          <w:p>
            <w:pPr>
              <w:spacing w:after="0"/>
            </w:pPr>
            <w:r>
              <w:rPr>
                <w:rFonts w:ascii="Arial" w:hAnsi="Arial"/>
                <w:b w:val="0"/>
                <w:sz w:val="12"/>
              </w:rPr>
              <w:t>ALCS-02, ALCS-07</w:t>
            </w:r>
          </w:p>
        </w:tc>
        <w:tc>
          <w:tcPr>
            <w:tcW w:type="dxa" w:w="1704"/>
          </w:tcPr>
          <w:p>
            <w:pPr>
              <w:spacing w:after="0"/>
            </w:pPr>
            <w:r>
              <w:rPr>
                <w:rFonts w:ascii="Arial" w:hAnsi="Arial"/>
                <w:b w:val="0"/>
                <w:sz w:val="12"/>
              </w:rPr>
              <w:t>Authority policy, change log, exception workflow</w:t>
            </w:r>
          </w:p>
        </w:tc>
        <w:tc>
          <w:tcPr>
            <w:tcW w:type="dxa" w:w="1704"/>
          </w:tcPr>
          <w:p>
            <w:pPr>
              <w:spacing w:after="0"/>
            </w:pPr>
            <w:r>
              <w:rPr>
                <w:rFonts w:ascii="Arial" w:hAnsi="Arial"/>
                <w:b w:val="0"/>
                <w:sz w:val="12"/>
              </w:rPr>
              <w:t>Agents can acquire or use tools without visible authority boundaries</w:t>
            </w:r>
          </w:p>
        </w:tc>
        <w:tc>
          <w:tcPr>
            <w:tcW w:type="dxa" w:w="1704"/>
          </w:tcPr>
          <w:p>
            <w:pPr>
              <w:spacing w:after="0"/>
            </w:pPr>
            <w:r>
              <w:rPr>
                <w:rFonts w:ascii="Arial" w:hAnsi="Arial"/>
                <w:b w:val="0"/>
                <w:sz w:val="12"/>
              </w:rPr>
              <w:t>Require authority drift review before deployment</w:t>
            </w:r>
          </w:p>
        </w:tc>
      </w:tr>
      <w:tr>
        <w:tc>
          <w:tcPr>
            <w:tcW w:type="dxa" w:w="1704"/>
          </w:tcPr>
          <w:p>
            <w:pPr>
              <w:spacing w:after="0"/>
            </w:pPr>
            <w:r>
              <w:rPr>
                <w:rFonts w:ascii="Arial" w:hAnsi="Arial"/>
                <w:b w:val="0"/>
                <w:sz w:val="12"/>
              </w:rPr>
              <w:t>Tool action liability</w:t>
            </w:r>
          </w:p>
        </w:tc>
        <w:tc>
          <w:tcPr>
            <w:tcW w:type="dxa" w:w="1704"/>
          </w:tcPr>
          <w:p>
            <w:pPr>
              <w:spacing w:after="0"/>
            </w:pPr>
            <w:r>
              <w:rPr>
                <w:rFonts w:ascii="Arial" w:hAnsi="Arial"/>
                <w:b w:val="0"/>
                <w:sz w:val="12"/>
              </w:rPr>
              <w:t>How are tool calls, side effects, and responsibility transfers recorded?</w:t>
            </w:r>
          </w:p>
        </w:tc>
        <w:tc>
          <w:tcPr>
            <w:tcW w:type="dxa" w:w="1704"/>
          </w:tcPr>
          <w:p>
            <w:pPr>
              <w:spacing w:after="0"/>
            </w:pPr>
            <w:r>
              <w:rPr>
                <w:rFonts w:ascii="Arial" w:hAnsi="Arial"/>
                <w:b w:val="0"/>
                <w:sz w:val="12"/>
              </w:rPr>
              <w:t>ALCS-05, ALCS-06</w:t>
            </w:r>
          </w:p>
        </w:tc>
        <w:tc>
          <w:tcPr>
            <w:tcW w:type="dxa" w:w="1704"/>
          </w:tcPr>
          <w:p>
            <w:pPr>
              <w:spacing w:after="0"/>
            </w:pPr>
            <w:r>
              <w:rPr>
                <w:rFonts w:ascii="Arial" w:hAnsi="Arial"/>
                <w:b w:val="0"/>
                <w:sz w:val="12"/>
              </w:rPr>
              <w:t>Tool registry, action log schema, handoff record</w:t>
            </w:r>
          </w:p>
        </w:tc>
        <w:tc>
          <w:tcPr>
            <w:tcW w:type="dxa" w:w="1704"/>
          </w:tcPr>
          <w:p>
            <w:pPr>
              <w:spacing w:after="0"/>
            </w:pPr>
            <w:r>
              <w:rPr>
                <w:rFonts w:ascii="Arial" w:hAnsi="Arial"/>
                <w:b w:val="0"/>
                <w:sz w:val="12"/>
              </w:rPr>
              <w:t>Tool execution is visible but responsibility assignment is not</w:t>
            </w:r>
          </w:p>
        </w:tc>
        <w:tc>
          <w:tcPr>
            <w:tcW w:type="dxa" w:w="1704"/>
          </w:tcPr>
          <w:p>
            <w:pPr>
              <w:spacing w:after="0"/>
            </w:pPr>
            <w:r>
              <w:rPr>
                <w:rFonts w:ascii="Arial" w:hAnsi="Arial"/>
                <w:b w:val="0"/>
                <w:sz w:val="12"/>
              </w:rPr>
              <w:t>Require traceability from tool action to accountable review owner</w:t>
            </w:r>
          </w:p>
        </w:tc>
      </w:tr>
      <w:tr>
        <w:tc>
          <w:tcPr>
            <w:tcW w:type="dxa" w:w="1704"/>
          </w:tcPr>
          <w:p>
            <w:pPr>
              <w:spacing w:after="0"/>
            </w:pPr>
            <w:r>
              <w:rPr>
                <w:rFonts w:ascii="Arial" w:hAnsi="Arial"/>
                <w:b w:val="0"/>
                <w:sz w:val="12"/>
              </w:rPr>
              <w:t>Contestability and remediation</w:t>
            </w:r>
          </w:p>
        </w:tc>
        <w:tc>
          <w:tcPr>
            <w:tcW w:type="dxa" w:w="1704"/>
          </w:tcPr>
          <w:p>
            <w:pPr>
              <w:spacing w:after="0"/>
            </w:pPr>
            <w:r>
              <w:rPr>
                <w:rFonts w:ascii="Arial" w:hAnsi="Arial"/>
                <w:b w:val="0"/>
                <w:sz w:val="12"/>
              </w:rPr>
              <w:t>How can contested outputs, incidents, and remediation actions be recorded and closed?</w:t>
            </w:r>
          </w:p>
        </w:tc>
        <w:tc>
          <w:tcPr>
            <w:tcW w:type="dxa" w:w="1704"/>
          </w:tcPr>
          <w:p>
            <w:pPr>
              <w:spacing w:after="0"/>
            </w:pPr>
            <w:r>
              <w:rPr>
                <w:rFonts w:ascii="Arial" w:hAnsi="Arial"/>
                <w:b w:val="0"/>
                <w:sz w:val="12"/>
              </w:rPr>
              <w:t>RCCS-09, MRO-16</w:t>
            </w:r>
          </w:p>
        </w:tc>
        <w:tc>
          <w:tcPr>
            <w:tcW w:type="dxa" w:w="1704"/>
          </w:tcPr>
          <w:p>
            <w:pPr>
              <w:spacing w:after="0"/>
            </w:pPr>
            <w:r>
              <w:rPr>
                <w:rFonts w:ascii="Arial" w:hAnsi="Arial"/>
                <w:b w:val="0"/>
                <w:sz w:val="12"/>
              </w:rPr>
              <w:t>Dispute workflow, incident record, remediation closure template</w:t>
            </w:r>
          </w:p>
        </w:tc>
        <w:tc>
          <w:tcPr>
            <w:tcW w:type="dxa" w:w="1704"/>
          </w:tcPr>
          <w:p>
            <w:pPr>
              <w:spacing w:after="0"/>
            </w:pPr>
            <w:r>
              <w:rPr>
                <w:rFonts w:ascii="Arial" w:hAnsi="Arial"/>
                <w:b w:val="0"/>
                <w:sz w:val="12"/>
              </w:rPr>
              <w:t>No clear path for dispute intake or closure evidence</w:t>
            </w:r>
          </w:p>
        </w:tc>
        <w:tc>
          <w:tcPr>
            <w:tcW w:type="dxa" w:w="1704"/>
          </w:tcPr>
          <w:p>
            <w:pPr>
              <w:spacing w:after="0"/>
            </w:pPr>
            <w:r>
              <w:rPr>
                <w:rFonts w:ascii="Arial" w:hAnsi="Arial"/>
                <w:b w:val="0"/>
                <w:sz w:val="12"/>
              </w:rPr>
              <w:t>Align with enterprise incident and dispute processes</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How are model, tool, vendor, and runtime changes evaluated before reuse or substitution?</w:t>
            </w:r>
          </w:p>
        </w:tc>
        <w:tc>
          <w:tcPr>
            <w:tcW w:type="dxa" w:w="1704"/>
          </w:tcPr>
          <w:p>
            <w:pPr>
              <w:spacing w:after="0"/>
            </w:pPr>
            <w:r>
              <w:rPr>
                <w:rFonts w:ascii="Arial" w:hAnsi="Arial"/>
                <w:b w:val="0"/>
                <w:sz w:val="12"/>
              </w:rPr>
              <w:t>ALCS-09, ALCS-15</w:t>
            </w:r>
          </w:p>
        </w:tc>
        <w:tc>
          <w:tcPr>
            <w:tcW w:type="dxa" w:w="1704"/>
          </w:tcPr>
          <w:p>
            <w:pPr>
              <w:spacing w:after="0"/>
            </w:pPr>
            <w:r>
              <w:rPr>
                <w:rFonts w:ascii="Arial" w:hAnsi="Arial"/>
                <w:b w:val="0"/>
                <w:sz w:val="12"/>
              </w:rPr>
              <w:t>Change approval record, substitution policy, version manifest</w:t>
            </w:r>
          </w:p>
        </w:tc>
        <w:tc>
          <w:tcPr>
            <w:tcW w:type="dxa" w:w="1704"/>
          </w:tcPr>
          <w:p>
            <w:pPr>
              <w:spacing w:after="0"/>
            </w:pPr>
            <w:r>
              <w:rPr>
                <w:rFonts w:ascii="Arial" w:hAnsi="Arial"/>
                <w:b w:val="0"/>
                <w:sz w:val="12"/>
              </w:rPr>
              <w:t>Substitution can occur without lifecycle impact review</w:t>
            </w:r>
          </w:p>
        </w:tc>
        <w:tc>
          <w:tcPr>
            <w:tcW w:type="dxa" w:w="1704"/>
          </w:tcPr>
          <w:p>
            <w:pPr>
              <w:spacing w:after="0"/>
            </w:pPr>
            <w:r>
              <w:rPr>
                <w:rFonts w:ascii="Arial" w:hAnsi="Arial"/>
                <w:b w:val="0"/>
                <w:sz w:val="12"/>
              </w:rPr>
              <w:t>Require substitution conformance evidence</w:t>
            </w:r>
          </w:p>
        </w:tc>
      </w:tr>
    </w:tbl>
    <w:p>
      <w:pPr>
        <w:pStyle w:val="Heading2"/>
      </w:pPr>
      <w:r>
        <w:t>H.3 Lifecycle Governance Procurement Checklist</w:t>
      </w:r>
    </w:p>
    <w:p>
      <w:pPr>
        <w:spacing w:after="56"/>
      </w:pPr>
      <w:r>
        <w:t>The following checklist organizes lifecycle governance diligence. Buyers may adapt the checklist for internal approval gates, but should preserve the distinction between evidence request, evidence review, and final enterprise decision.</w:t>
      </w:r>
    </w:p>
    <w:p>
      <w:pPr>
        <w:spacing w:after="56"/>
      </w:pPr>
      <w:r>
        <w:t>Checklist areas:</w:t>
      </w:r>
    </w:p>
    <w:p>
      <w:pPr>
        <w:pStyle w:val="ListNumber"/>
        <w:spacing w:after="56"/>
      </w:pPr>
      <w:r>
        <w:t>Lifecycle scope and system boundary</w:t>
      </w:r>
    </w:p>
    <w:p>
      <w:pPr>
        <w:pStyle w:val="ListNumber"/>
        <w:spacing w:after="56"/>
      </w:pPr>
      <w:r>
        <w:t>Human role and responsibility mapping</w:t>
      </w:r>
    </w:p>
    <w:p>
      <w:pPr>
        <w:pStyle w:val="ListNumber"/>
        <w:spacing w:after="56"/>
      </w:pPr>
      <w:r>
        <w:t>Delegated authority and tool boundary</w:t>
      </w:r>
    </w:p>
    <w:p>
      <w:pPr>
        <w:pStyle w:val="ListNumber"/>
        <w:spacing w:after="56"/>
      </w:pPr>
      <w:r>
        <w:t>Evidence creation, retention, minimization, and export</w:t>
      </w:r>
    </w:p>
    <w:p>
      <w:pPr>
        <w:pStyle w:val="ListNumber"/>
        <w:spacing w:after="56"/>
      </w:pPr>
      <w:r>
        <w:t>Privacy and data subject rights handling</w:t>
      </w:r>
    </w:p>
    <w:p>
      <w:pPr>
        <w:pStyle w:val="ListNumber"/>
        <w:spacing w:after="56"/>
      </w:pPr>
      <w:r>
        <w:t>Monitoring, incident, dispute, and remediation closure</w:t>
      </w:r>
    </w:p>
    <w:p>
      <w:pPr>
        <w:pStyle w:val="ListNumber"/>
        <w:spacing w:after="56"/>
      </w:pPr>
      <w:r>
        <w:t>Vendor, model, tool, and runtime substitution control</w:t>
      </w:r>
    </w:p>
    <w:p>
      <w:pPr>
        <w:pStyle w:val="ListNumber"/>
        <w:spacing w:after="56"/>
      </w:pPr>
      <w:r>
        <w:t>Evidence level and source quality review</w:t>
      </w:r>
    </w:p>
    <w:p>
      <w:pPr>
        <w:spacing w:after="56"/>
      </w:pPr>
      <w:r>
        <w:t>The checklist should be completed by a cross-functional review group. Procurement alone should not decide lifecycle governance sufficiency.</w:t>
      </w:r>
    </w:p>
    <w:p>
      <w:pPr>
        <w:pStyle w:val="Heading2"/>
      </w:pPr>
      <w:r>
        <w:t>H.4 Evidence Request Template</w:t>
      </w:r>
    </w:p>
    <w:p>
      <w:pPr>
        <w:keepNext/>
      </w:pPr>
      <w:r>
        <w:rPr>
          <w:b/>
          <w:sz w:val="16"/>
        </w:rPr>
        <w:t>Table T-H-02: Vendor Evidence Request Template</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Evidence Area</w:t>
            </w:r>
          </w:p>
        </w:tc>
        <w:tc>
          <w:tcPr>
            <w:tcW w:type="dxa" w:w="2045"/>
          </w:tcPr>
          <w:p>
            <w:pPr>
              <w:spacing w:after="0"/>
            </w:pPr>
            <w:r>
              <w:rPr>
                <w:rFonts w:ascii="Arial" w:hAnsi="Arial"/>
                <w:b/>
                <w:sz w:val="14"/>
              </w:rPr>
              <w:t>Requested Artifact</w:t>
            </w:r>
          </w:p>
        </w:tc>
        <w:tc>
          <w:tcPr>
            <w:tcW w:type="dxa" w:w="2045"/>
          </w:tcPr>
          <w:p>
            <w:pPr>
              <w:spacing w:after="0"/>
            </w:pPr>
            <w:r>
              <w:rPr>
                <w:rFonts w:ascii="Arial" w:hAnsi="Arial"/>
                <w:b/>
                <w:sz w:val="14"/>
              </w:rPr>
              <w:t>Minimum Acceptable Evidence</w:t>
            </w:r>
          </w:p>
        </w:tc>
        <w:tc>
          <w:tcPr>
            <w:tcW w:type="dxa" w:w="2045"/>
          </w:tcPr>
          <w:p>
            <w:pPr>
              <w:spacing w:after="0"/>
            </w:pPr>
            <w:r>
              <w:rPr>
                <w:rFonts w:ascii="Arial" w:hAnsi="Arial"/>
                <w:b/>
                <w:sz w:val="14"/>
              </w:rPr>
              <w:t>Preferred Evidence</w:t>
            </w:r>
          </w:p>
        </w:tc>
        <w:tc>
          <w:tcPr>
            <w:tcW w:type="dxa" w:w="2045"/>
          </w:tcPr>
          <w:p>
            <w:pPr>
              <w:spacing w:after="0"/>
            </w:pPr>
            <w:r>
              <w:rPr>
                <w:rFonts w:ascii="Arial" w:hAnsi="Arial"/>
                <w:b/>
                <w:sz w:val="14"/>
              </w:rPr>
              <w:t>Publication / Enterprise Review Note</w:t>
            </w:r>
          </w:p>
        </w:tc>
      </w:tr>
      <w:tr>
        <w:tc>
          <w:tcPr>
            <w:tcW w:type="dxa" w:w="2045"/>
          </w:tcPr>
          <w:p>
            <w:pPr>
              <w:spacing w:after="0"/>
            </w:pPr>
            <w:r>
              <w:rPr>
                <w:rFonts w:ascii="Arial" w:hAnsi="Arial"/>
                <w:b w:val="0"/>
                <w:sz w:val="14"/>
              </w:rPr>
              <w:t>System boundary</w:t>
            </w:r>
          </w:p>
        </w:tc>
        <w:tc>
          <w:tcPr>
            <w:tcW w:type="dxa" w:w="2045"/>
          </w:tcPr>
          <w:p>
            <w:pPr>
              <w:spacing w:after="0"/>
            </w:pPr>
            <w:r>
              <w:rPr>
                <w:rFonts w:ascii="Arial" w:hAnsi="Arial"/>
                <w:b w:val="0"/>
                <w:sz w:val="14"/>
              </w:rPr>
              <w:t>Product scope statement and deployment architecture</w:t>
            </w:r>
          </w:p>
        </w:tc>
        <w:tc>
          <w:tcPr>
            <w:tcW w:type="dxa" w:w="2045"/>
          </w:tcPr>
          <w:p>
            <w:pPr>
              <w:spacing w:after="0"/>
            </w:pPr>
            <w:r>
              <w:rPr>
                <w:rFonts w:ascii="Arial" w:hAnsi="Arial"/>
                <w:b w:val="0"/>
                <w:sz w:val="14"/>
              </w:rPr>
              <w:t>Official documentation or implementation description</w:t>
            </w:r>
          </w:p>
        </w:tc>
        <w:tc>
          <w:tcPr>
            <w:tcW w:type="dxa" w:w="2045"/>
          </w:tcPr>
          <w:p>
            <w:pPr>
              <w:spacing w:after="0"/>
            </w:pPr>
            <w:r>
              <w:rPr>
                <w:rFonts w:ascii="Arial" w:hAnsi="Arial"/>
                <w:b w:val="0"/>
                <w:sz w:val="14"/>
              </w:rPr>
              <w:t>Versioned architecture record tied to deployed configuration</w:t>
            </w:r>
          </w:p>
        </w:tc>
        <w:tc>
          <w:tcPr>
            <w:tcW w:type="dxa" w:w="2045"/>
          </w:tcPr>
          <w:p>
            <w:pPr>
              <w:spacing w:after="0"/>
            </w:pPr>
            <w:r>
              <w:rPr>
                <w:rFonts w:ascii="Arial" w:hAnsi="Arial"/>
                <w:b w:val="0"/>
                <w:sz w:val="14"/>
              </w:rPr>
              <w:t>Review documentation currency before publication or adoption</w:t>
            </w:r>
          </w:p>
        </w:tc>
      </w:tr>
      <w:tr>
        <w:tc>
          <w:tcPr>
            <w:tcW w:type="dxa" w:w="2045"/>
          </w:tcPr>
          <w:p>
            <w:pPr>
              <w:spacing w:after="0"/>
            </w:pPr>
            <w:r>
              <w:rPr>
                <w:rFonts w:ascii="Arial" w:hAnsi="Arial"/>
                <w:b w:val="0"/>
                <w:sz w:val="14"/>
              </w:rPr>
              <w:t>Human responsibility</w:t>
            </w:r>
          </w:p>
        </w:tc>
        <w:tc>
          <w:tcPr>
            <w:tcW w:type="dxa" w:w="2045"/>
          </w:tcPr>
          <w:p>
            <w:pPr>
              <w:spacing w:after="0"/>
            </w:pPr>
            <w:r>
              <w:rPr>
                <w:rFonts w:ascii="Arial" w:hAnsi="Arial"/>
                <w:b w:val="0"/>
                <w:sz w:val="14"/>
              </w:rPr>
              <w:t>Role-to-responsibility mapping</w:t>
            </w:r>
          </w:p>
        </w:tc>
        <w:tc>
          <w:tcPr>
            <w:tcW w:type="dxa" w:w="2045"/>
          </w:tcPr>
          <w:p>
            <w:pPr>
              <w:spacing w:after="0"/>
            </w:pPr>
            <w:r>
              <w:rPr>
                <w:rFonts w:ascii="Arial" w:hAnsi="Arial"/>
                <w:b w:val="0"/>
                <w:sz w:val="14"/>
              </w:rPr>
              <w:t>Documented workflow or responsibility matrix</w:t>
            </w:r>
          </w:p>
        </w:tc>
        <w:tc>
          <w:tcPr>
            <w:tcW w:type="dxa" w:w="2045"/>
          </w:tcPr>
          <w:p>
            <w:pPr>
              <w:spacing w:after="0"/>
            </w:pPr>
            <w:r>
              <w:rPr>
                <w:rFonts w:ascii="Arial" w:hAnsi="Arial"/>
                <w:b w:val="0"/>
                <w:sz w:val="14"/>
              </w:rPr>
              <w:t>Evidence of review workflow execution and exception handling</w:t>
            </w:r>
          </w:p>
        </w:tc>
        <w:tc>
          <w:tcPr>
            <w:tcW w:type="dxa" w:w="2045"/>
          </w:tcPr>
          <w:p>
            <w:pPr>
              <w:spacing w:after="0"/>
            </w:pPr>
            <w:r>
              <w:rPr>
                <w:rFonts w:ascii="Arial" w:hAnsi="Arial"/>
                <w:b w:val="0"/>
                <w:sz w:val="14"/>
              </w:rPr>
              <w:t>Confirm mapping against active enterprise roles</w:t>
            </w:r>
          </w:p>
        </w:tc>
      </w:tr>
      <w:tr>
        <w:tc>
          <w:tcPr>
            <w:tcW w:type="dxa" w:w="2045"/>
          </w:tcPr>
          <w:p>
            <w:pPr>
              <w:spacing w:after="0"/>
            </w:pPr>
            <w:r>
              <w:rPr>
                <w:rFonts w:ascii="Arial" w:hAnsi="Arial"/>
                <w:b w:val="0"/>
                <w:sz w:val="14"/>
              </w:rPr>
              <w:t>Delegated authority</w:t>
            </w:r>
          </w:p>
        </w:tc>
        <w:tc>
          <w:tcPr>
            <w:tcW w:type="dxa" w:w="2045"/>
          </w:tcPr>
          <w:p>
            <w:pPr>
              <w:spacing w:after="0"/>
            </w:pPr>
            <w:r>
              <w:rPr>
                <w:rFonts w:ascii="Arial" w:hAnsi="Arial"/>
                <w:b w:val="0"/>
                <w:sz w:val="14"/>
              </w:rPr>
              <w:t>Authority policy and enforcement description</w:t>
            </w:r>
          </w:p>
        </w:tc>
        <w:tc>
          <w:tcPr>
            <w:tcW w:type="dxa" w:w="2045"/>
          </w:tcPr>
          <w:p>
            <w:pPr>
              <w:spacing w:after="0"/>
            </w:pPr>
            <w:r>
              <w:rPr>
                <w:rFonts w:ascii="Arial" w:hAnsi="Arial"/>
                <w:b w:val="0"/>
                <w:sz w:val="14"/>
              </w:rPr>
              <w:t>Product documentation or implementation policy</w:t>
            </w:r>
          </w:p>
        </w:tc>
        <w:tc>
          <w:tcPr>
            <w:tcW w:type="dxa" w:w="2045"/>
          </w:tcPr>
          <w:p>
            <w:pPr>
              <w:spacing w:after="0"/>
            </w:pPr>
            <w:r>
              <w:rPr>
                <w:rFonts w:ascii="Arial" w:hAnsi="Arial"/>
                <w:b w:val="0"/>
                <w:sz w:val="14"/>
              </w:rPr>
              <w:t>Validated operational artifact showing grant, denial, and change handling</w:t>
            </w:r>
          </w:p>
        </w:tc>
        <w:tc>
          <w:tcPr>
            <w:tcW w:type="dxa" w:w="2045"/>
          </w:tcPr>
          <w:p>
            <w:pPr>
              <w:spacing w:after="0"/>
            </w:pPr>
            <w:r>
              <w:rPr>
                <w:rFonts w:ascii="Arial" w:hAnsi="Arial"/>
                <w:b w:val="0"/>
                <w:sz w:val="14"/>
              </w:rPr>
              <w:t>Verify whether enforcement is built-in or implementer-defined</w:t>
            </w:r>
          </w:p>
        </w:tc>
      </w:tr>
      <w:tr>
        <w:tc>
          <w:tcPr>
            <w:tcW w:type="dxa" w:w="2045"/>
          </w:tcPr>
          <w:p>
            <w:pPr>
              <w:spacing w:after="0"/>
            </w:pPr>
            <w:r>
              <w:rPr>
                <w:rFonts w:ascii="Arial" w:hAnsi="Arial"/>
                <w:b w:val="0"/>
                <w:sz w:val="14"/>
              </w:rPr>
              <w:t>Tool actions</w:t>
            </w:r>
          </w:p>
        </w:tc>
        <w:tc>
          <w:tcPr>
            <w:tcW w:type="dxa" w:w="2045"/>
          </w:tcPr>
          <w:p>
            <w:pPr>
              <w:spacing w:after="0"/>
            </w:pPr>
            <w:r>
              <w:rPr>
                <w:rFonts w:ascii="Arial" w:hAnsi="Arial"/>
                <w:b w:val="0"/>
                <w:sz w:val="14"/>
              </w:rPr>
              <w:t>Tool registry and action record schema</w:t>
            </w:r>
          </w:p>
        </w:tc>
        <w:tc>
          <w:tcPr>
            <w:tcW w:type="dxa" w:w="2045"/>
          </w:tcPr>
          <w:p>
            <w:pPr>
              <w:spacing w:after="0"/>
            </w:pPr>
            <w:r>
              <w:rPr>
                <w:rFonts w:ascii="Arial" w:hAnsi="Arial"/>
                <w:b w:val="0"/>
                <w:sz w:val="14"/>
              </w:rPr>
              <w:t>Tool list and logging description</w:t>
            </w:r>
          </w:p>
        </w:tc>
        <w:tc>
          <w:tcPr>
            <w:tcW w:type="dxa" w:w="2045"/>
          </w:tcPr>
          <w:p>
            <w:pPr>
              <w:spacing w:after="0"/>
            </w:pPr>
            <w:r>
              <w:rPr>
                <w:rFonts w:ascii="Arial" w:hAnsi="Arial"/>
                <w:b w:val="0"/>
                <w:sz w:val="14"/>
              </w:rPr>
              <w:t>Exportable action records with accountability linkage</w:t>
            </w:r>
          </w:p>
        </w:tc>
        <w:tc>
          <w:tcPr>
            <w:tcW w:type="dxa" w:w="2045"/>
          </w:tcPr>
          <w:p>
            <w:pPr>
              <w:spacing w:after="0"/>
            </w:pPr>
            <w:r>
              <w:rPr>
                <w:rFonts w:ascii="Arial" w:hAnsi="Arial"/>
                <w:b w:val="0"/>
                <w:sz w:val="14"/>
              </w:rPr>
              <w:t>Validate record completeness before publication or adoption</w:t>
            </w:r>
          </w:p>
        </w:tc>
      </w:tr>
      <w:tr>
        <w:tc>
          <w:tcPr>
            <w:tcW w:type="dxa" w:w="2045"/>
          </w:tcPr>
          <w:p>
            <w:pPr>
              <w:spacing w:after="0"/>
            </w:pPr>
            <w:r>
              <w:rPr>
                <w:rFonts w:ascii="Arial" w:hAnsi="Arial"/>
                <w:b w:val="0"/>
                <w:sz w:val="14"/>
              </w:rPr>
              <w:t>Evidence handling</w:t>
            </w:r>
          </w:p>
        </w:tc>
        <w:tc>
          <w:tcPr>
            <w:tcW w:type="dxa" w:w="2045"/>
          </w:tcPr>
          <w:p>
            <w:pPr>
              <w:spacing w:after="0"/>
            </w:pPr>
            <w:r>
              <w:rPr>
                <w:rFonts w:ascii="Arial" w:hAnsi="Arial"/>
                <w:b w:val="0"/>
                <w:sz w:val="14"/>
              </w:rPr>
              <w:t>Evidence pack, log export, or audit record sample</w:t>
            </w:r>
          </w:p>
        </w:tc>
        <w:tc>
          <w:tcPr>
            <w:tcW w:type="dxa" w:w="2045"/>
          </w:tcPr>
          <w:p>
            <w:pPr>
              <w:spacing w:after="0"/>
            </w:pPr>
            <w:r>
              <w:rPr>
                <w:rFonts w:ascii="Arial" w:hAnsi="Arial"/>
                <w:b w:val="0"/>
                <w:sz w:val="14"/>
              </w:rPr>
              <w:t>Sample artifact with field definitions</w:t>
            </w:r>
          </w:p>
        </w:tc>
        <w:tc>
          <w:tcPr>
            <w:tcW w:type="dxa" w:w="2045"/>
          </w:tcPr>
          <w:p>
            <w:pPr>
              <w:spacing w:after="0"/>
            </w:pPr>
            <w:r>
              <w:rPr>
                <w:rFonts w:ascii="Arial" w:hAnsi="Arial"/>
                <w:b w:val="0"/>
                <w:sz w:val="14"/>
              </w:rPr>
              <w:t>Hashable or reviewable evidence artifact with minimization controls</w:t>
            </w:r>
          </w:p>
        </w:tc>
        <w:tc>
          <w:tcPr>
            <w:tcW w:type="dxa" w:w="2045"/>
          </w:tcPr>
          <w:p>
            <w:pPr>
              <w:spacing w:after="0"/>
            </w:pPr>
            <w:r>
              <w:rPr>
                <w:rFonts w:ascii="Arial" w:hAnsi="Arial"/>
                <w:b w:val="0"/>
                <w:sz w:val="14"/>
              </w:rPr>
              <w:t>Confirm no sensitive evidence over-disclosure</w:t>
            </w:r>
          </w:p>
        </w:tc>
      </w:tr>
      <w:tr>
        <w:tc>
          <w:tcPr>
            <w:tcW w:type="dxa" w:w="2045"/>
          </w:tcPr>
          <w:p>
            <w:pPr>
              <w:spacing w:after="0"/>
            </w:pPr>
            <w:r>
              <w:rPr>
                <w:rFonts w:ascii="Arial" w:hAnsi="Arial"/>
                <w:b w:val="0"/>
                <w:sz w:val="14"/>
              </w:rPr>
              <w:t>Privacy lifecycle</w:t>
            </w:r>
          </w:p>
        </w:tc>
        <w:tc>
          <w:tcPr>
            <w:tcW w:type="dxa" w:w="2045"/>
          </w:tcPr>
          <w:p>
            <w:pPr>
              <w:spacing w:after="0"/>
            </w:pPr>
            <w:r>
              <w:rPr>
                <w:rFonts w:ascii="Arial" w:hAnsi="Arial"/>
                <w:b w:val="0"/>
                <w:sz w:val="14"/>
              </w:rPr>
              <w:t>Data flow, retention, and deletion policy</w:t>
            </w:r>
          </w:p>
        </w:tc>
        <w:tc>
          <w:tcPr>
            <w:tcW w:type="dxa" w:w="2045"/>
          </w:tcPr>
          <w:p>
            <w:pPr>
              <w:spacing w:after="0"/>
            </w:pPr>
            <w:r>
              <w:rPr>
                <w:rFonts w:ascii="Arial" w:hAnsi="Arial"/>
                <w:b w:val="0"/>
                <w:sz w:val="14"/>
              </w:rPr>
              <w:t>Privacy documentation and retention statement</w:t>
            </w:r>
          </w:p>
        </w:tc>
        <w:tc>
          <w:tcPr>
            <w:tcW w:type="dxa" w:w="2045"/>
          </w:tcPr>
          <w:p>
            <w:pPr>
              <w:spacing w:after="0"/>
            </w:pPr>
            <w:r>
              <w:rPr>
                <w:rFonts w:ascii="Arial" w:hAnsi="Arial"/>
                <w:b w:val="0"/>
                <w:sz w:val="14"/>
              </w:rPr>
              <w:t>Mapped workflow for retention conflict and data subject request handling</w:t>
            </w:r>
          </w:p>
        </w:tc>
        <w:tc>
          <w:tcPr>
            <w:tcW w:type="dxa" w:w="2045"/>
          </w:tcPr>
          <w:p>
            <w:pPr>
              <w:spacing w:after="0"/>
            </w:pPr>
            <w:r>
              <w:rPr>
                <w:rFonts w:ascii="Arial" w:hAnsi="Arial"/>
                <w:b w:val="0"/>
                <w:sz w:val="14"/>
              </w:rPr>
              <w:t>Review against current privacy requirements before publication or adoption</w:t>
            </w:r>
          </w:p>
        </w:tc>
      </w:tr>
      <w:tr>
        <w:tc>
          <w:tcPr>
            <w:tcW w:type="dxa" w:w="2045"/>
          </w:tcPr>
          <w:p>
            <w:pPr>
              <w:spacing w:after="0"/>
            </w:pPr>
            <w:r>
              <w:rPr>
                <w:rFonts w:ascii="Arial" w:hAnsi="Arial"/>
                <w:b w:val="0"/>
                <w:sz w:val="14"/>
              </w:rPr>
              <w:t>Monitoring</w:t>
            </w:r>
          </w:p>
        </w:tc>
        <w:tc>
          <w:tcPr>
            <w:tcW w:type="dxa" w:w="2045"/>
          </w:tcPr>
          <w:p>
            <w:pPr>
              <w:spacing w:after="0"/>
            </w:pPr>
            <w:r>
              <w:rPr>
                <w:rFonts w:ascii="Arial" w:hAnsi="Arial"/>
                <w:b w:val="0"/>
                <w:sz w:val="14"/>
              </w:rPr>
              <w:t>Monitoring dashboard or alert workflow</w:t>
            </w:r>
          </w:p>
        </w:tc>
        <w:tc>
          <w:tcPr>
            <w:tcW w:type="dxa" w:w="2045"/>
          </w:tcPr>
          <w:p>
            <w:pPr>
              <w:spacing w:after="0"/>
            </w:pPr>
            <w:r>
              <w:rPr>
                <w:rFonts w:ascii="Arial" w:hAnsi="Arial"/>
                <w:b w:val="0"/>
                <w:sz w:val="14"/>
              </w:rPr>
              <w:t>Monitoring documentation</w:t>
            </w:r>
          </w:p>
        </w:tc>
        <w:tc>
          <w:tcPr>
            <w:tcW w:type="dxa" w:w="2045"/>
          </w:tcPr>
          <w:p>
            <w:pPr>
              <w:spacing w:after="0"/>
            </w:pPr>
            <w:r>
              <w:rPr>
                <w:rFonts w:ascii="Arial" w:hAnsi="Arial"/>
                <w:b w:val="0"/>
                <w:sz w:val="14"/>
              </w:rPr>
              <w:t>Operational monitoring artifact tied to lifecycle risk events</w:t>
            </w:r>
          </w:p>
        </w:tc>
        <w:tc>
          <w:tcPr>
            <w:tcW w:type="dxa" w:w="2045"/>
          </w:tcPr>
          <w:p>
            <w:pPr>
              <w:spacing w:after="0"/>
            </w:pPr>
            <w:r>
              <w:rPr>
                <w:rFonts w:ascii="Arial" w:hAnsi="Arial"/>
                <w:b w:val="0"/>
                <w:sz w:val="14"/>
              </w:rPr>
              <w:t>Confirm monitoring covers agent lifecycle, not only model metrics</w:t>
            </w:r>
          </w:p>
        </w:tc>
      </w:tr>
      <w:tr>
        <w:tc>
          <w:tcPr>
            <w:tcW w:type="dxa" w:w="2045"/>
          </w:tcPr>
          <w:p>
            <w:pPr>
              <w:spacing w:after="0"/>
            </w:pPr>
            <w:r>
              <w:rPr>
                <w:rFonts w:ascii="Arial" w:hAnsi="Arial"/>
                <w:b w:val="0"/>
                <w:sz w:val="14"/>
              </w:rPr>
              <w:t>Substitution control</w:t>
            </w:r>
          </w:p>
        </w:tc>
        <w:tc>
          <w:tcPr>
            <w:tcW w:type="dxa" w:w="2045"/>
          </w:tcPr>
          <w:p>
            <w:pPr>
              <w:spacing w:after="0"/>
            </w:pPr>
            <w:r>
              <w:rPr>
                <w:rFonts w:ascii="Arial" w:hAnsi="Arial"/>
                <w:b w:val="0"/>
                <w:sz w:val="14"/>
              </w:rPr>
              <w:t>Versioning and change approval record</w:t>
            </w:r>
          </w:p>
        </w:tc>
        <w:tc>
          <w:tcPr>
            <w:tcW w:type="dxa" w:w="2045"/>
          </w:tcPr>
          <w:p>
            <w:pPr>
              <w:spacing w:after="0"/>
            </w:pPr>
            <w:r>
              <w:rPr>
                <w:rFonts w:ascii="Arial" w:hAnsi="Arial"/>
                <w:b w:val="0"/>
                <w:sz w:val="14"/>
              </w:rPr>
              <w:t>Change management description</w:t>
            </w:r>
          </w:p>
        </w:tc>
        <w:tc>
          <w:tcPr>
            <w:tcW w:type="dxa" w:w="2045"/>
          </w:tcPr>
          <w:p>
            <w:pPr>
              <w:spacing w:after="0"/>
            </w:pPr>
            <w:r>
              <w:rPr>
                <w:rFonts w:ascii="Arial" w:hAnsi="Arial"/>
                <w:b w:val="0"/>
                <w:sz w:val="14"/>
              </w:rPr>
              <w:t>Substitution review artifact covering vendor, model, runtime, and tool changes</w:t>
            </w:r>
          </w:p>
        </w:tc>
        <w:tc>
          <w:tcPr>
            <w:tcW w:type="dxa" w:w="2045"/>
          </w:tcPr>
          <w:p>
            <w:pPr>
              <w:spacing w:after="0"/>
            </w:pPr>
            <w:r>
              <w:rPr>
                <w:rFonts w:ascii="Arial" w:hAnsi="Arial"/>
                <w:b w:val="0"/>
                <w:sz w:val="14"/>
              </w:rPr>
              <w:t>Review version history and current product state</w:t>
            </w:r>
          </w:p>
        </w:tc>
      </w:tr>
    </w:tbl>
    <w:p>
      <w:pPr>
        <w:pStyle w:val="Heading2"/>
      </w:pPr>
      <w:r>
        <w:t>H.5 Red Flag and Negative Control Checklist</w:t>
      </w:r>
    </w:p>
    <w:p>
      <w:pPr>
        <w:keepNext/>
      </w:pPr>
      <w:r>
        <w:rPr>
          <w:b/>
          <w:sz w:val="16"/>
        </w:rPr>
        <w:t>Table T-H-03: Procurement Red Flag Checklist</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Red Flag</w:t>
            </w:r>
          </w:p>
        </w:tc>
        <w:tc>
          <w:tcPr>
            <w:tcW w:type="dxa" w:w="2045"/>
          </w:tcPr>
          <w:p>
            <w:pPr>
              <w:spacing w:after="0"/>
            </w:pPr>
            <w:r>
              <w:rPr>
                <w:rFonts w:ascii="Arial" w:hAnsi="Arial"/>
                <w:b/>
                <w:sz w:val="14"/>
              </w:rPr>
              <w:t>Why It Matters</w:t>
            </w:r>
          </w:p>
        </w:tc>
        <w:tc>
          <w:tcPr>
            <w:tcW w:type="dxa" w:w="2045"/>
          </w:tcPr>
          <w:p>
            <w:pPr>
              <w:spacing w:after="0"/>
            </w:pPr>
            <w:r>
              <w:rPr>
                <w:rFonts w:ascii="Arial" w:hAnsi="Arial"/>
                <w:b/>
                <w:sz w:val="14"/>
              </w:rPr>
              <w:t>Related Lifecycle Risk</w:t>
            </w:r>
          </w:p>
        </w:tc>
        <w:tc>
          <w:tcPr>
            <w:tcW w:type="dxa" w:w="2045"/>
          </w:tcPr>
          <w:p>
            <w:pPr>
              <w:spacing w:after="0"/>
            </w:pPr>
            <w:r>
              <w:rPr>
                <w:rFonts w:ascii="Arial" w:hAnsi="Arial"/>
                <w:b/>
                <w:sz w:val="14"/>
              </w:rPr>
              <w:t>Required Clarification</w:t>
            </w:r>
          </w:p>
        </w:tc>
        <w:tc>
          <w:tcPr>
            <w:tcW w:type="dxa" w:w="2045"/>
          </w:tcPr>
          <w:p>
            <w:pPr>
              <w:spacing w:after="0"/>
            </w:pPr>
            <w:r>
              <w:rPr>
                <w:rFonts w:ascii="Arial" w:hAnsi="Arial"/>
                <w:b/>
                <w:sz w:val="14"/>
              </w:rPr>
              <w:t>Boundary</w:t>
            </w:r>
          </w:p>
        </w:tc>
      </w:tr>
      <w:tr>
        <w:tc>
          <w:tcPr>
            <w:tcW w:type="dxa" w:w="2045"/>
          </w:tcPr>
          <w:p>
            <w:pPr>
              <w:spacing w:after="0"/>
            </w:pPr>
            <w:r>
              <w:rPr>
                <w:rFonts w:ascii="Arial" w:hAnsi="Arial"/>
                <w:b w:val="0"/>
                <w:sz w:val="14"/>
              </w:rPr>
              <w:t>Governance evidence covers only model output</w:t>
            </w:r>
          </w:p>
        </w:tc>
        <w:tc>
          <w:tcPr>
            <w:tcW w:type="dxa" w:w="2045"/>
          </w:tcPr>
          <w:p>
            <w:pPr>
              <w:spacing w:after="0"/>
            </w:pPr>
            <w:r>
              <w:rPr>
                <w:rFonts w:ascii="Arial" w:hAnsi="Arial"/>
                <w:b w:val="0"/>
                <w:sz w:val="14"/>
              </w:rPr>
              <w:t>Agentic failures can arise from planning, delegation, tool use, or handoff</w:t>
            </w:r>
          </w:p>
        </w:tc>
        <w:tc>
          <w:tcPr>
            <w:tcW w:type="dxa" w:w="2045"/>
          </w:tcPr>
          <w:p>
            <w:pPr>
              <w:spacing w:after="0"/>
            </w:pPr>
            <w:r>
              <w:rPr>
                <w:rFonts w:ascii="Arial" w:hAnsi="Arial"/>
                <w:b w:val="0"/>
                <w:sz w:val="14"/>
              </w:rPr>
              <w:t>Model-centric review misses lifecycle responsibility gaps</w:t>
            </w:r>
          </w:p>
        </w:tc>
        <w:tc>
          <w:tcPr>
            <w:tcW w:type="dxa" w:w="2045"/>
          </w:tcPr>
          <w:p>
            <w:pPr>
              <w:spacing w:after="0"/>
            </w:pPr>
            <w:r>
              <w:rPr>
                <w:rFonts w:ascii="Arial" w:hAnsi="Arial"/>
                <w:b w:val="0"/>
                <w:sz w:val="14"/>
              </w:rPr>
              <w:t>Clarify whether lifecycle events are governed</w:t>
            </w:r>
          </w:p>
        </w:tc>
        <w:tc>
          <w:tcPr>
            <w:tcW w:type="dxa" w:w="2045"/>
          </w:tcPr>
          <w:p>
            <w:pPr>
              <w:spacing w:after="0"/>
            </w:pPr>
            <w:r>
              <w:rPr>
                <w:rFonts w:ascii="Arial" w:hAnsi="Arial"/>
                <w:b w:val="0"/>
                <w:sz w:val="14"/>
              </w:rPr>
              <w:t>Red flag does not prove non-compliance</w:t>
            </w:r>
          </w:p>
        </w:tc>
      </w:tr>
      <w:tr>
        <w:tc>
          <w:tcPr>
            <w:tcW w:type="dxa" w:w="2045"/>
          </w:tcPr>
          <w:p>
            <w:pPr>
              <w:spacing w:after="0"/>
            </w:pPr>
            <w:r>
              <w:rPr>
                <w:rFonts w:ascii="Arial" w:hAnsi="Arial"/>
                <w:b w:val="0"/>
                <w:sz w:val="14"/>
              </w:rPr>
              <w:t>Human oversight is described without role mapping</w:t>
            </w:r>
          </w:p>
        </w:tc>
        <w:tc>
          <w:tcPr>
            <w:tcW w:type="dxa" w:w="2045"/>
          </w:tcPr>
          <w:p>
            <w:pPr>
              <w:spacing w:after="0"/>
            </w:pPr>
            <w:r>
              <w:rPr>
                <w:rFonts w:ascii="Arial" w:hAnsi="Arial"/>
                <w:b w:val="0"/>
                <w:sz w:val="14"/>
              </w:rPr>
              <w:t>Oversight without responsibility mapping may not support accountability</w:t>
            </w:r>
          </w:p>
        </w:tc>
        <w:tc>
          <w:tcPr>
            <w:tcW w:type="dxa" w:w="2045"/>
          </w:tcPr>
          <w:p>
            <w:pPr>
              <w:spacing w:after="0"/>
            </w:pPr>
            <w:r>
              <w:rPr>
                <w:rFonts w:ascii="Arial" w:hAnsi="Arial"/>
                <w:b w:val="0"/>
                <w:sz w:val="14"/>
              </w:rPr>
              <w:t>Review duty unclear after agent action</w:t>
            </w:r>
          </w:p>
        </w:tc>
        <w:tc>
          <w:tcPr>
            <w:tcW w:type="dxa" w:w="2045"/>
          </w:tcPr>
          <w:p>
            <w:pPr>
              <w:spacing w:after="0"/>
            </w:pPr>
            <w:r>
              <w:rPr>
                <w:rFonts w:ascii="Arial" w:hAnsi="Arial"/>
                <w:b w:val="0"/>
                <w:sz w:val="14"/>
              </w:rPr>
              <w:t>Request role-to-responsibility artifact</w:t>
            </w:r>
          </w:p>
        </w:tc>
        <w:tc>
          <w:tcPr>
            <w:tcW w:type="dxa" w:w="2045"/>
          </w:tcPr>
          <w:p>
            <w:pPr>
              <w:spacing w:after="0"/>
            </w:pPr>
            <w:r>
              <w:rPr>
                <w:rFonts w:ascii="Arial" w:hAnsi="Arial"/>
                <w:b w:val="0"/>
                <w:sz w:val="14"/>
              </w:rPr>
              <w:t>Requires enterprise context review</w:t>
            </w:r>
          </w:p>
        </w:tc>
      </w:tr>
      <w:tr>
        <w:tc>
          <w:tcPr>
            <w:tcW w:type="dxa" w:w="2045"/>
          </w:tcPr>
          <w:p>
            <w:pPr>
              <w:spacing w:after="0"/>
            </w:pPr>
            <w:r>
              <w:rPr>
                <w:rFonts w:ascii="Arial" w:hAnsi="Arial"/>
                <w:b w:val="0"/>
                <w:sz w:val="14"/>
              </w:rPr>
              <w:t>Authority limits are not visible</w:t>
            </w:r>
          </w:p>
        </w:tc>
        <w:tc>
          <w:tcPr>
            <w:tcW w:type="dxa" w:w="2045"/>
          </w:tcPr>
          <w:p>
            <w:pPr>
              <w:spacing w:after="0"/>
            </w:pPr>
            <w:r>
              <w:rPr>
                <w:rFonts w:ascii="Arial" w:hAnsi="Arial"/>
                <w:b w:val="0"/>
                <w:sz w:val="14"/>
              </w:rPr>
              <w:t>Agents may operate beyond intended delegated scope</w:t>
            </w:r>
          </w:p>
        </w:tc>
        <w:tc>
          <w:tcPr>
            <w:tcW w:type="dxa" w:w="2045"/>
          </w:tcPr>
          <w:p>
            <w:pPr>
              <w:spacing w:after="0"/>
            </w:pPr>
            <w:r>
              <w:rPr>
                <w:rFonts w:ascii="Arial" w:hAnsi="Arial"/>
                <w:b w:val="0"/>
                <w:sz w:val="14"/>
              </w:rPr>
              <w:t>Authority drift and unauthorized tool use</w:t>
            </w:r>
          </w:p>
        </w:tc>
        <w:tc>
          <w:tcPr>
            <w:tcW w:type="dxa" w:w="2045"/>
          </w:tcPr>
          <w:p>
            <w:pPr>
              <w:spacing w:after="0"/>
            </w:pPr>
            <w:r>
              <w:rPr>
                <w:rFonts w:ascii="Arial" w:hAnsi="Arial"/>
                <w:b w:val="0"/>
                <w:sz w:val="14"/>
              </w:rPr>
              <w:t>Request authority boundary and enforcement evidence</w:t>
            </w:r>
          </w:p>
        </w:tc>
        <w:tc>
          <w:tcPr>
            <w:tcW w:type="dxa" w:w="2045"/>
          </w:tcPr>
          <w:p>
            <w:pPr>
              <w:spacing w:after="0"/>
            </w:pPr>
            <w:r>
              <w:rPr>
                <w:rFonts w:ascii="Arial" w:hAnsi="Arial"/>
                <w:b w:val="0"/>
                <w:sz w:val="14"/>
              </w:rPr>
              <w:t>Absence in public docs does not prove absence in product</w:t>
            </w:r>
          </w:p>
        </w:tc>
      </w:tr>
      <w:tr>
        <w:tc>
          <w:tcPr>
            <w:tcW w:type="dxa" w:w="2045"/>
          </w:tcPr>
          <w:p>
            <w:pPr>
              <w:spacing w:after="0"/>
            </w:pPr>
            <w:r>
              <w:rPr>
                <w:rFonts w:ascii="Arial" w:hAnsi="Arial"/>
                <w:b w:val="0"/>
                <w:sz w:val="14"/>
              </w:rPr>
              <w:t>Logs are not exportable or interpretable</w:t>
            </w:r>
          </w:p>
        </w:tc>
        <w:tc>
          <w:tcPr>
            <w:tcW w:type="dxa" w:w="2045"/>
          </w:tcPr>
          <w:p>
            <w:pPr>
              <w:spacing w:after="0"/>
            </w:pPr>
            <w:r>
              <w:rPr>
                <w:rFonts w:ascii="Arial" w:hAnsi="Arial"/>
                <w:b w:val="0"/>
                <w:sz w:val="14"/>
              </w:rPr>
              <w:t>Evidence may not support review, audit, or incident reconstruction</w:t>
            </w:r>
          </w:p>
        </w:tc>
        <w:tc>
          <w:tcPr>
            <w:tcW w:type="dxa" w:w="2045"/>
          </w:tcPr>
          <w:p>
            <w:pPr>
              <w:spacing w:after="0"/>
            </w:pPr>
            <w:r>
              <w:rPr>
                <w:rFonts w:ascii="Arial" w:hAnsi="Arial"/>
                <w:b w:val="0"/>
                <w:sz w:val="14"/>
              </w:rPr>
              <w:t>Evidence gap during dispute or remediation</w:t>
            </w:r>
          </w:p>
        </w:tc>
        <w:tc>
          <w:tcPr>
            <w:tcW w:type="dxa" w:w="2045"/>
          </w:tcPr>
          <w:p>
            <w:pPr>
              <w:spacing w:after="0"/>
            </w:pPr>
            <w:r>
              <w:rPr>
                <w:rFonts w:ascii="Arial" w:hAnsi="Arial"/>
                <w:b w:val="0"/>
                <w:sz w:val="14"/>
              </w:rPr>
              <w:t>Request export format and retention rule</w:t>
            </w:r>
          </w:p>
        </w:tc>
        <w:tc>
          <w:tcPr>
            <w:tcW w:type="dxa" w:w="2045"/>
          </w:tcPr>
          <w:p>
            <w:pPr>
              <w:spacing w:after="0"/>
            </w:pPr>
            <w:r>
              <w:rPr>
                <w:rFonts w:ascii="Arial" w:hAnsi="Arial"/>
                <w:b w:val="0"/>
                <w:sz w:val="14"/>
              </w:rPr>
              <w:t>Exportability must be tested in implementation context</w:t>
            </w:r>
          </w:p>
        </w:tc>
      </w:tr>
      <w:tr>
        <w:tc>
          <w:tcPr>
            <w:tcW w:type="dxa" w:w="2045"/>
          </w:tcPr>
          <w:p>
            <w:pPr>
              <w:spacing w:after="0"/>
            </w:pPr>
            <w:r>
              <w:rPr>
                <w:rFonts w:ascii="Arial" w:hAnsi="Arial"/>
                <w:b w:val="0"/>
                <w:sz w:val="14"/>
              </w:rPr>
              <w:t>Privacy retention conflict is not addressed</w:t>
            </w:r>
          </w:p>
        </w:tc>
        <w:tc>
          <w:tcPr>
            <w:tcW w:type="dxa" w:w="2045"/>
          </w:tcPr>
          <w:p>
            <w:pPr>
              <w:spacing w:after="0"/>
            </w:pPr>
            <w:r>
              <w:rPr>
                <w:rFonts w:ascii="Arial" w:hAnsi="Arial"/>
                <w:b w:val="0"/>
                <w:sz w:val="14"/>
              </w:rPr>
              <w:t>Evidence retention may conflict with privacy obligations</w:t>
            </w:r>
          </w:p>
        </w:tc>
        <w:tc>
          <w:tcPr>
            <w:tcW w:type="dxa" w:w="2045"/>
          </w:tcPr>
          <w:p>
            <w:pPr>
              <w:spacing w:after="0"/>
            </w:pPr>
            <w:r>
              <w:rPr>
                <w:rFonts w:ascii="Arial" w:hAnsi="Arial"/>
                <w:b w:val="0"/>
                <w:sz w:val="14"/>
              </w:rPr>
              <w:t>Data subject rights vs evidence retention conflict</w:t>
            </w:r>
          </w:p>
        </w:tc>
        <w:tc>
          <w:tcPr>
            <w:tcW w:type="dxa" w:w="2045"/>
          </w:tcPr>
          <w:p>
            <w:pPr>
              <w:spacing w:after="0"/>
            </w:pPr>
            <w:r>
              <w:rPr>
                <w:rFonts w:ascii="Arial" w:hAnsi="Arial"/>
                <w:b w:val="0"/>
                <w:sz w:val="14"/>
              </w:rPr>
              <w:t>Request retention conflict workflow</w:t>
            </w:r>
          </w:p>
        </w:tc>
        <w:tc>
          <w:tcPr>
            <w:tcW w:type="dxa" w:w="2045"/>
          </w:tcPr>
          <w:p>
            <w:pPr>
              <w:spacing w:after="0"/>
            </w:pPr>
            <w:r>
              <w:rPr>
                <w:rFonts w:ascii="Arial" w:hAnsi="Arial"/>
                <w:b w:val="0"/>
                <w:sz w:val="14"/>
              </w:rPr>
              <w:t>Legal interpretation remains outside this appendix</w:t>
            </w:r>
          </w:p>
        </w:tc>
      </w:tr>
      <w:tr>
        <w:tc>
          <w:tcPr>
            <w:tcW w:type="dxa" w:w="2045"/>
          </w:tcPr>
          <w:p>
            <w:pPr>
              <w:spacing w:after="0"/>
            </w:pPr>
            <w:r>
              <w:rPr>
                <w:rFonts w:ascii="Arial" w:hAnsi="Arial"/>
                <w:b w:val="0"/>
                <w:sz w:val="14"/>
              </w:rPr>
              <w:t>Vendor substitution lacks impact review</w:t>
            </w:r>
          </w:p>
        </w:tc>
        <w:tc>
          <w:tcPr>
            <w:tcW w:type="dxa" w:w="2045"/>
          </w:tcPr>
          <w:p>
            <w:pPr>
              <w:spacing w:after="0"/>
            </w:pPr>
            <w:r>
              <w:rPr>
                <w:rFonts w:ascii="Arial" w:hAnsi="Arial"/>
                <w:b w:val="0"/>
                <w:sz w:val="14"/>
              </w:rPr>
              <w:t>Model or runtime changes may change lifecycle risk</w:t>
            </w:r>
          </w:p>
        </w:tc>
        <w:tc>
          <w:tcPr>
            <w:tcW w:type="dxa" w:w="2045"/>
          </w:tcPr>
          <w:p>
            <w:pPr>
              <w:spacing w:after="0"/>
            </w:pPr>
            <w:r>
              <w:rPr>
                <w:rFonts w:ascii="Arial" w:hAnsi="Arial"/>
                <w:b w:val="0"/>
                <w:sz w:val="14"/>
              </w:rPr>
              <w:t>Reuse and substitution conformance gap</w:t>
            </w:r>
          </w:p>
        </w:tc>
        <w:tc>
          <w:tcPr>
            <w:tcW w:type="dxa" w:w="2045"/>
          </w:tcPr>
          <w:p>
            <w:pPr>
              <w:spacing w:after="0"/>
            </w:pPr>
            <w:r>
              <w:rPr>
                <w:rFonts w:ascii="Arial" w:hAnsi="Arial"/>
                <w:b w:val="0"/>
                <w:sz w:val="14"/>
              </w:rPr>
              <w:t>Request change review template</w:t>
            </w:r>
          </w:p>
        </w:tc>
        <w:tc>
          <w:tcPr>
            <w:tcW w:type="dxa" w:w="2045"/>
          </w:tcPr>
          <w:p>
            <w:pPr>
              <w:spacing w:after="0"/>
            </w:pPr>
            <w:r>
              <w:rPr>
                <w:rFonts w:ascii="Arial" w:hAnsi="Arial"/>
                <w:b w:val="0"/>
                <w:sz w:val="14"/>
              </w:rPr>
              <w:t>This checklist does not approve substitutions</w:t>
            </w:r>
          </w:p>
        </w:tc>
      </w:tr>
      <w:tr>
        <w:tc>
          <w:tcPr>
            <w:tcW w:type="dxa" w:w="2045"/>
          </w:tcPr>
          <w:p>
            <w:pPr>
              <w:spacing w:after="0"/>
            </w:pPr>
            <w:r>
              <w:rPr>
                <w:rFonts w:ascii="Arial" w:hAnsi="Arial"/>
                <w:b w:val="0"/>
                <w:sz w:val="14"/>
              </w:rPr>
              <w:t>Claims rely only on marketing material</w:t>
            </w:r>
          </w:p>
        </w:tc>
        <w:tc>
          <w:tcPr>
            <w:tcW w:type="dxa" w:w="2045"/>
          </w:tcPr>
          <w:p>
            <w:pPr>
              <w:spacing w:after="0"/>
            </w:pPr>
            <w:r>
              <w:rPr>
                <w:rFonts w:ascii="Arial" w:hAnsi="Arial"/>
                <w:b w:val="0"/>
                <w:sz w:val="14"/>
              </w:rPr>
              <w:t>Evidence confidence is lower than product docs or validated artifacts</w:t>
            </w:r>
          </w:p>
        </w:tc>
        <w:tc>
          <w:tcPr>
            <w:tcW w:type="dxa" w:w="2045"/>
          </w:tcPr>
          <w:p>
            <w:pPr>
              <w:spacing w:after="0"/>
            </w:pPr>
            <w:r>
              <w:rPr>
                <w:rFonts w:ascii="Arial" w:hAnsi="Arial"/>
                <w:b w:val="0"/>
                <w:sz w:val="14"/>
              </w:rPr>
              <w:t>Overstated capability posture</w:t>
            </w:r>
          </w:p>
        </w:tc>
        <w:tc>
          <w:tcPr>
            <w:tcW w:type="dxa" w:w="2045"/>
          </w:tcPr>
          <w:p>
            <w:pPr>
              <w:spacing w:after="0"/>
            </w:pPr>
            <w:r>
              <w:rPr>
                <w:rFonts w:ascii="Arial" w:hAnsi="Arial"/>
                <w:b w:val="0"/>
                <w:sz w:val="14"/>
              </w:rPr>
              <w:t>Request higher-confidence evidence</w:t>
            </w:r>
          </w:p>
        </w:tc>
        <w:tc>
          <w:tcPr>
            <w:tcW w:type="dxa" w:w="2045"/>
          </w:tcPr>
          <w:p>
            <w:pPr>
              <w:spacing w:after="0"/>
            </w:pPr>
            <w:r>
              <w:rPr>
                <w:rFonts w:ascii="Arial" w:hAnsi="Arial"/>
                <w:b w:val="0"/>
                <w:sz w:val="14"/>
              </w:rPr>
              <w:t>Evidence level must be recorded explicitly</w:t>
            </w:r>
          </w:p>
        </w:tc>
      </w:tr>
      <w:tr>
        <w:tc>
          <w:tcPr>
            <w:tcW w:type="dxa" w:w="2045"/>
          </w:tcPr>
          <w:p>
            <w:pPr>
              <w:spacing w:after="0"/>
            </w:pPr>
            <w:r>
              <w:rPr>
                <w:rFonts w:ascii="Arial" w:hAnsi="Arial"/>
                <w:b w:val="0"/>
                <w:sz w:val="14"/>
              </w:rPr>
              <w:t>Appendix G posture is treated as a purchase conclusion</w:t>
            </w:r>
          </w:p>
        </w:tc>
        <w:tc>
          <w:tcPr>
            <w:tcW w:type="dxa" w:w="2045"/>
          </w:tcPr>
          <w:p>
            <w:pPr>
              <w:spacing w:after="0"/>
            </w:pPr>
            <w:r>
              <w:rPr>
                <w:rFonts w:ascii="Arial" w:hAnsi="Arial"/>
                <w:b w:val="0"/>
                <w:sz w:val="14"/>
              </w:rPr>
              <w:t>Appendix G is provisional and not procurement advice</w:t>
            </w:r>
          </w:p>
        </w:tc>
        <w:tc>
          <w:tcPr>
            <w:tcW w:type="dxa" w:w="2045"/>
          </w:tcPr>
          <w:p>
            <w:pPr>
              <w:spacing w:after="0"/>
            </w:pPr>
            <w:r>
              <w:rPr>
                <w:rFonts w:ascii="Arial" w:hAnsi="Arial"/>
                <w:b w:val="0"/>
                <w:sz w:val="14"/>
              </w:rPr>
              <w:t>Premature selection based on provisional source posture</w:t>
            </w:r>
          </w:p>
        </w:tc>
        <w:tc>
          <w:tcPr>
            <w:tcW w:type="dxa" w:w="2045"/>
          </w:tcPr>
          <w:p>
            <w:pPr>
              <w:spacing w:after="0"/>
            </w:pPr>
            <w:r>
              <w:rPr>
                <w:rFonts w:ascii="Arial" w:hAnsi="Arial"/>
                <w:b w:val="0"/>
                <w:sz w:val="14"/>
              </w:rPr>
              <w:t>Require enterprise-specific review, page-level citation support, and accountable buyer judgment before final use</w:t>
            </w:r>
          </w:p>
        </w:tc>
        <w:tc>
          <w:tcPr>
            <w:tcW w:type="dxa" w:w="2045"/>
          </w:tcPr>
          <w:p>
            <w:pPr>
              <w:spacing w:after="0"/>
            </w:pPr>
            <w:r>
              <w:rPr>
                <w:rFonts w:ascii="Arial" w:hAnsi="Arial"/>
                <w:b w:val="0"/>
                <w:sz w:val="14"/>
              </w:rPr>
              <w:t>Appendix G categories are illustrative only</w:t>
            </w:r>
          </w:p>
        </w:tc>
      </w:tr>
    </w:tbl>
    <w:p>
      <w:pPr>
        <w:pStyle w:val="Heading2"/>
      </w:pPr>
      <w:r>
        <w:t>H.6 Procurement Decision Boundary</w:t>
      </w:r>
    </w:p>
    <w:p>
      <w:pPr>
        <w:keepNext/>
      </w:pPr>
      <w:r>
        <w:rPr>
          <w:b/>
          <w:sz w:val="16"/>
        </w:rPr>
        <w:t>Table T-H-04: Buyer Interpretation Boundary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Procurement Use</w:t>
            </w:r>
          </w:p>
        </w:tc>
        <w:tc>
          <w:tcPr>
            <w:tcW w:type="dxa" w:w="2556"/>
          </w:tcPr>
          <w:p>
            <w:pPr>
              <w:spacing w:after="0"/>
            </w:pPr>
            <w:r>
              <w:rPr>
                <w:rFonts w:ascii="Arial" w:hAnsi="Arial"/>
                <w:b/>
                <w:sz w:val="14"/>
              </w:rPr>
              <w:t>What This Scorecard Supports</w:t>
            </w:r>
          </w:p>
        </w:tc>
        <w:tc>
          <w:tcPr>
            <w:tcW w:type="dxa" w:w="2556"/>
          </w:tcPr>
          <w:p>
            <w:pPr>
              <w:spacing w:after="0"/>
            </w:pPr>
            <w:r>
              <w:rPr>
                <w:rFonts w:ascii="Arial" w:hAnsi="Arial"/>
                <w:b/>
                <w:sz w:val="14"/>
              </w:rPr>
              <w:t>What It Does Not Support</w:t>
            </w:r>
          </w:p>
        </w:tc>
        <w:tc>
          <w:tcPr>
            <w:tcW w:type="dxa" w:w="2556"/>
          </w:tcPr>
          <w:p>
            <w:pPr>
              <w:spacing w:after="0"/>
            </w:pPr>
            <w:r>
              <w:rPr>
                <w:rFonts w:ascii="Arial" w:hAnsi="Arial"/>
                <w:b/>
                <w:sz w:val="14"/>
              </w:rPr>
              <w:t>Required Human Review</w:t>
            </w:r>
          </w:p>
        </w:tc>
      </w:tr>
      <w:tr>
        <w:tc>
          <w:tcPr>
            <w:tcW w:type="dxa" w:w="2556"/>
          </w:tcPr>
          <w:p>
            <w:pPr>
              <w:spacing w:after="0"/>
            </w:pPr>
            <w:r>
              <w:rPr>
                <w:rFonts w:ascii="Arial" w:hAnsi="Arial"/>
                <w:b w:val="0"/>
                <w:sz w:val="14"/>
              </w:rPr>
              <w:t>RFI/RFP design</w:t>
            </w:r>
          </w:p>
        </w:tc>
        <w:tc>
          <w:tcPr>
            <w:tcW w:type="dxa" w:w="2556"/>
          </w:tcPr>
          <w:p>
            <w:pPr>
              <w:spacing w:after="0"/>
            </w:pPr>
            <w:r>
              <w:rPr>
                <w:rFonts w:ascii="Arial" w:hAnsi="Arial"/>
                <w:b w:val="0"/>
                <w:sz w:val="14"/>
              </w:rPr>
              <w:t>Structured governance questions and evidence requests</w:t>
            </w:r>
          </w:p>
        </w:tc>
        <w:tc>
          <w:tcPr>
            <w:tcW w:type="dxa" w:w="2556"/>
          </w:tcPr>
          <w:p>
            <w:pPr>
              <w:spacing w:after="0"/>
            </w:pPr>
            <w:r>
              <w:rPr>
                <w:rFonts w:ascii="Arial" w:hAnsi="Arial"/>
                <w:b w:val="0"/>
                <w:sz w:val="14"/>
              </w:rPr>
              <w:t>Automatic vendor filtering or vendor ordering</w:t>
            </w:r>
          </w:p>
        </w:tc>
        <w:tc>
          <w:tcPr>
            <w:tcW w:type="dxa" w:w="2556"/>
          </w:tcPr>
          <w:p>
            <w:pPr>
              <w:spacing w:after="0"/>
            </w:pPr>
            <w:r>
              <w:rPr>
                <w:rFonts w:ascii="Arial" w:hAnsi="Arial"/>
                <w:b w:val="0"/>
                <w:sz w:val="14"/>
              </w:rPr>
              <w:t>Procurement, risk, legal, privacy, security</w:t>
            </w:r>
          </w:p>
        </w:tc>
      </w:tr>
      <w:tr>
        <w:tc>
          <w:tcPr>
            <w:tcW w:type="dxa" w:w="2556"/>
          </w:tcPr>
          <w:p>
            <w:pPr>
              <w:spacing w:after="0"/>
            </w:pPr>
            <w:r>
              <w:rPr>
                <w:rFonts w:ascii="Arial" w:hAnsi="Arial"/>
                <w:b w:val="0"/>
                <w:sz w:val="14"/>
              </w:rPr>
              <w:t>Architecture review</w:t>
            </w:r>
          </w:p>
        </w:tc>
        <w:tc>
          <w:tcPr>
            <w:tcW w:type="dxa" w:w="2556"/>
          </w:tcPr>
          <w:p>
            <w:pPr>
              <w:spacing w:after="0"/>
            </w:pPr>
            <w:r>
              <w:rPr>
                <w:rFonts w:ascii="Arial" w:hAnsi="Arial"/>
                <w:b w:val="0"/>
                <w:sz w:val="14"/>
              </w:rPr>
              <w:t>Identification of lifecycle governance evidence gaps</w:t>
            </w:r>
          </w:p>
        </w:tc>
        <w:tc>
          <w:tcPr>
            <w:tcW w:type="dxa" w:w="2556"/>
          </w:tcPr>
          <w:p>
            <w:pPr>
              <w:spacing w:after="0"/>
            </w:pPr>
            <w:r>
              <w:rPr>
                <w:rFonts w:ascii="Arial" w:hAnsi="Arial"/>
                <w:b w:val="0"/>
                <w:sz w:val="14"/>
              </w:rPr>
              <w:t>Proof of production readiness</w:t>
            </w:r>
          </w:p>
        </w:tc>
        <w:tc>
          <w:tcPr>
            <w:tcW w:type="dxa" w:w="2556"/>
          </w:tcPr>
          <w:p>
            <w:pPr>
              <w:spacing w:after="0"/>
            </w:pPr>
            <w:r>
              <w:rPr>
                <w:rFonts w:ascii="Arial" w:hAnsi="Arial"/>
                <w:b w:val="0"/>
                <w:sz w:val="14"/>
              </w:rPr>
              <w:t>Architecture, security, platform owner</w:t>
            </w:r>
          </w:p>
        </w:tc>
      </w:tr>
      <w:tr>
        <w:tc>
          <w:tcPr>
            <w:tcW w:type="dxa" w:w="2556"/>
          </w:tcPr>
          <w:p>
            <w:pPr>
              <w:spacing w:after="0"/>
            </w:pPr>
            <w:r>
              <w:rPr>
                <w:rFonts w:ascii="Arial" w:hAnsi="Arial"/>
                <w:b w:val="0"/>
                <w:sz w:val="14"/>
              </w:rPr>
              <w:t>Risk review</w:t>
            </w:r>
          </w:p>
        </w:tc>
        <w:tc>
          <w:tcPr>
            <w:tcW w:type="dxa" w:w="2556"/>
          </w:tcPr>
          <w:p>
            <w:pPr>
              <w:spacing w:after="0"/>
            </w:pPr>
            <w:r>
              <w:rPr>
                <w:rFonts w:ascii="Arial" w:hAnsi="Arial"/>
                <w:b w:val="0"/>
                <w:sz w:val="14"/>
              </w:rPr>
              <w:t>Mapping of visible evidence to RCCS/ALCS prompts</w:t>
            </w:r>
          </w:p>
        </w:tc>
        <w:tc>
          <w:tcPr>
            <w:tcW w:type="dxa" w:w="2556"/>
          </w:tcPr>
          <w:p>
            <w:pPr>
              <w:spacing w:after="0"/>
            </w:pPr>
            <w:r>
              <w:rPr>
                <w:rFonts w:ascii="Arial" w:hAnsi="Arial"/>
                <w:b w:val="0"/>
                <w:sz w:val="14"/>
              </w:rPr>
              <w:t>Legal compliance determination</w:t>
            </w:r>
          </w:p>
        </w:tc>
        <w:tc>
          <w:tcPr>
            <w:tcW w:type="dxa" w:w="2556"/>
          </w:tcPr>
          <w:p>
            <w:pPr>
              <w:spacing w:after="0"/>
            </w:pPr>
            <w:r>
              <w:rPr>
                <w:rFonts w:ascii="Arial" w:hAnsi="Arial"/>
                <w:b w:val="0"/>
                <w:sz w:val="14"/>
              </w:rPr>
              <w:t>Risk, legal, compliance</w:t>
            </w:r>
          </w:p>
        </w:tc>
      </w:tr>
      <w:tr>
        <w:tc>
          <w:tcPr>
            <w:tcW w:type="dxa" w:w="2556"/>
          </w:tcPr>
          <w:p>
            <w:pPr>
              <w:spacing w:after="0"/>
            </w:pPr>
            <w:r>
              <w:rPr>
                <w:rFonts w:ascii="Arial" w:hAnsi="Arial"/>
                <w:b w:val="0"/>
                <w:sz w:val="14"/>
              </w:rPr>
              <w:t>Privacy review</w:t>
            </w:r>
          </w:p>
        </w:tc>
        <w:tc>
          <w:tcPr>
            <w:tcW w:type="dxa" w:w="2556"/>
          </w:tcPr>
          <w:p>
            <w:pPr>
              <w:spacing w:after="0"/>
            </w:pPr>
            <w:r>
              <w:rPr>
                <w:rFonts w:ascii="Arial" w:hAnsi="Arial"/>
                <w:b w:val="0"/>
                <w:sz w:val="14"/>
              </w:rPr>
              <w:t>Identification of retention and data subject rights questions</w:t>
            </w:r>
          </w:p>
        </w:tc>
        <w:tc>
          <w:tcPr>
            <w:tcW w:type="dxa" w:w="2556"/>
          </w:tcPr>
          <w:p>
            <w:pPr>
              <w:spacing w:after="0"/>
            </w:pPr>
            <w:r>
              <w:rPr>
                <w:rFonts w:ascii="Arial" w:hAnsi="Arial"/>
                <w:b w:val="0"/>
                <w:sz w:val="14"/>
              </w:rPr>
              <w:t>Privacy law conclusion</w:t>
            </w:r>
          </w:p>
        </w:tc>
        <w:tc>
          <w:tcPr>
            <w:tcW w:type="dxa" w:w="2556"/>
          </w:tcPr>
          <w:p>
            <w:pPr>
              <w:spacing w:after="0"/>
            </w:pPr>
            <w:r>
              <w:rPr>
                <w:rFonts w:ascii="Arial" w:hAnsi="Arial"/>
                <w:b w:val="0"/>
                <w:sz w:val="14"/>
              </w:rPr>
              <w:t>Privacy, legal, data governance</w:t>
            </w:r>
          </w:p>
        </w:tc>
      </w:tr>
      <w:tr>
        <w:tc>
          <w:tcPr>
            <w:tcW w:type="dxa" w:w="2556"/>
          </w:tcPr>
          <w:p>
            <w:pPr>
              <w:spacing w:after="0"/>
            </w:pPr>
            <w:r>
              <w:rPr>
                <w:rFonts w:ascii="Arial" w:hAnsi="Arial"/>
                <w:b w:val="0"/>
                <w:sz w:val="14"/>
              </w:rPr>
              <w:t>Contract negotiation</w:t>
            </w:r>
          </w:p>
        </w:tc>
        <w:tc>
          <w:tcPr>
            <w:tcW w:type="dxa" w:w="2556"/>
          </w:tcPr>
          <w:p>
            <w:pPr>
              <w:spacing w:after="0"/>
            </w:pPr>
            <w:r>
              <w:rPr>
                <w:rFonts w:ascii="Arial" w:hAnsi="Arial"/>
                <w:b w:val="0"/>
                <w:sz w:val="14"/>
              </w:rPr>
              <w:t>Evidence requirements and control expectations</w:t>
            </w:r>
          </w:p>
        </w:tc>
        <w:tc>
          <w:tcPr>
            <w:tcW w:type="dxa" w:w="2556"/>
          </w:tcPr>
          <w:p>
            <w:pPr>
              <w:spacing w:after="0"/>
            </w:pPr>
            <w:r>
              <w:rPr>
                <w:rFonts w:ascii="Arial" w:hAnsi="Arial"/>
                <w:b w:val="0"/>
                <w:sz w:val="14"/>
              </w:rPr>
              <w:t>Contract sufficiency determination</w:t>
            </w:r>
          </w:p>
        </w:tc>
        <w:tc>
          <w:tcPr>
            <w:tcW w:type="dxa" w:w="2556"/>
          </w:tcPr>
          <w:p>
            <w:pPr>
              <w:spacing w:after="0"/>
            </w:pPr>
            <w:r>
              <w:rPr>
                <w:rFonts w:ascii="Arial" w:hAnsi="Arial"/>
                <w:b w:val="0"/>
                <w:sz w:val="14"/>
              </w:rPr>
              <w:t>Legal, procurement, business owner</w:t>
            </w:r>
          </w:p>
        </w:tc>
      </w:tr>
      <w:tr>
        <w:tc>
          <w:tcPr>
            <w:tcW w:type="dxa" w:w="2556"/>
          </w:tcPr>
          <w:p>
            <w:pPr>
              <w:spacing w:after="0"/>
            </w:pPr>
            <w:r>
              <w:rPr>
                <w:rFonts w:ascii="Arial" w:hAnsi="Arial"/>
                <w:b w:val="0"/>
                <w:sz w:val="14"/>
              </w:rPr>
              <w:t>Deployment gate</w:t>
            </w:r>
          </w:p>
        </w:tc>
        <w:tc>
          <w:tcPr>
            <w:tcW w:type="dxa" w:w="2556"/>
          </w:tcPr>
          <w:p>
            <w:pPr>
              <w:spacing w:after="0"/>
            </w:pPr>
            <w:r>
              <w:rPr>
                <w:rFonts w:ascii="Arial" w:hAnsi="Arial"/>
                <w:b w:val="0"/>
                <w:sz w:val="14"/>
              </w:rPr>
              <w:t>Checklist for unresolved assumptions</w:t>
            </w:r>
          </w:p>
        </w:tc>
        <w:tc>
          <w:tcPr>
            <w:tcW w:type="dxa" w:w="2556"/>
          </w:tcPr>
          <w:p>
            <w:pPr>
              <w:spacing w:after="0"/>
            </w:pPr>
            <w:r>
              <w:rPr>
                <w:rFonts w:ascii="Arial" w:hAnsi="Arial"/>
                <w:b w:val="0"/>
                <w:sz w:val="14"/>
              </w:rPr>
              <w:t>Certification or approval</w:t>
            </w:r>
          </w:p>
        </w:tc>
        <w:tc>
          <w:tcPr>
            <w:tcW w:type="dxa" w:w="2556"/>
          </w:tcPr>
          <w:p>
            <w:pPr>
              <w:spacing w:after="0"/>
            </w:pPr>
            <w:r>
              <w:rPr>
                <w:rFonts w:ascii="Arial" w:hAnsi="Arial"/>
                <w:b w:val="0"/>
                <w:sz w:val="14"/>
              </w:rPr>
              <w:t>Enterprise governance board or equivalent owner</w:t>
            </w:r>
          </w:p>
        </w:tc>
      </w:tr>
    </w:tbl>
    <w:p>
      <w:pPr>
        <w:spacing w:after="56"/>
      </w:pPr>
      <w:r>
        <w:t>Procurement decisions remain enterprise decisions. This appendix helps buyers ask better questions; it does not replace accountable human judgment.</w:t>
      </w:r>
    </w:p>
    <w:p>
      <w:pPr>
        <w:pStyle w:val="Heading1"/>
      </w:pPr>
      <w:r>
        <w:t>Appendix I — Source Audit and Revalidation Register</w:t>
      </w:r>
    </w:p>
    <w:p>
      <w:pPr>
        <w:spacing w:after="56"/>
      </w:pPr>
      <w:r>
        <w:t>Version: v0.3.2-FRC-R3</w:t>
      </w:r>
    </w:p>
    <w:p>
      <w:pPr>
        <w:pStyle w:val="Heading2"/>
      </w:pPr>
      <w:r>
        <w:t>I.0 Source Audit Boundary</w:t>
      </w:r>
    </w:p>
    <w:p>
      <w:pPr>
        <w:spacing w:after="56"/>
      </w:pPr>
      <w:r>
        <w:t>This appendix provides a source audit register for the completed Phase 1C source review record and Phase 1D publication handoff. It tracks source classes, citation status, evidence level, claim-binding status, and required publication follow-up actions.</w:t>
      </w:r>
    </w:p>
    <w:p>
      <w:pPr>
        <w:spacing w:after="56"/>
      </w:pPr>
      <w:r>
        <w:t>This appendix was created before Phase 1C as a revalidation workflow. Phase 1C cleanup updated the citation inventory and source coverage matrix with URL/entry-point review status. Phase 1C follow-up then added the claim evidence register and reviewed high-risk product/protocol claims at claim level. Appendix G is now revalidated provisional, not final.</w:t>
      </w:r>
    </w:p>
    <w:p>
      <w:pPr>
        <w:spacing w:after="56"/>
      </w:pPr>
      <w:r>
        <w:t>Source audit work in this appendix is procedural. Phase 1C follow-up completed source-entry and claim-disposition review; final publication still requires page-level citation pinning and DOCX/PDF citation rendering checks.</w:t>
      </w:r>
    </w:p>
    <w:p>
      <w:pPr>
        <w:pStyle w:val="Heading2"/>
      </w:pPr>
      <w:r>
        <w:t>I.1 Source Classes and Evidence Levels</w:t>
      </w:r>
    </w:p>
    <w:p>
      <w:pPr>
        <w:spacing w:after="56"/>
      </w:pPr>
      <w:r>
        <w:t>The source audit register uses the canonical evidence levels:</w:t>
      </w:r>
    </w:p>
    <w:p>
      <w:pPr>
        <w:pStyle w:val="ListBullet"/>
        <w:spacing w:after="56"/>
      </w:pPr>
      <w:r>
        <w:t>L1 (Binding Legal Text): 1.00</w:t>
      </w:r>
    </w:p>
    <w:p>
      <w:pPr>
        <w:pStyle w:val="ListBullet"/>
        <w:spacing w:after="56"/>
      </w:pPr>
      <w:r>
        <w:t>L2 (Product Docs): 0.85</w:t>
      </w:r>
    </w:p>
    <w:p>
      <w:pPr>
        <w:pStyle w:val="ListBullet"/>
        <w:spacing w:after="56"/>
      </w:pPr>
      <w:r>
        <w:t>L3 (Audit Report): 0.75</w:t>
      </w:r>
    </w:p>
    <w:p>
      <w:pPr>
        <w:pStyle w:val="ListBullet"/>
        <w:spacing w:after="56"/>
      </w:pPr>
      <w:r>
        <w:t>L4 (Vendor Claim): 0.55</w:t>
      </w:r>
    </w:p>
    <w:p>
      <w:pPr>
        <w:pStyle w:val="ListBullet"/>
        <w:spacing w:after="56"/>
      </w:pPr>
      <w:r>
        <w:t>L5 (Author Inference): 0.35</w:t>
      </w:r>
    </w:p>
    <w:p>
      <w:pPr>
        <w:spacing w:after="56"/>
      </w:pPr>
      <w:r>
        <w:t>Evidence levels describe source confidence for analytical scoring. They do not make a source legally sufficient, current, complete, or operationally validated. Evidence levels may change if source type, source currency, or claim support changes during future source review.</w:t>
      </w:r>
    </w:p>
    <w:p>
      <w:pPr>
        <w:pStyle w:val="Heading2"/>
      </w:pPr>
      <w:r>
        <w:t>I.2 Source Audit Register</w:t>
      </w:r>
    </w:p>
    <w:p>
      <w:pPr>
        <w:keepNext/>
      </w:pPr>
      <w:r>
        <w:rPr>
          <w:b/>
          <w:sz w:val="16"/>
        </w:rPr>
        <w:t>Table T-I-01: Source Audit Register</w:t>
      </w:r>
    </w:p>
    <w:tbl>
      <w:tblPr>
        <w:tblStyle w:val="TableGrid"/>
        <w:tblW w:type="auto" w:w="0"/>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61"/>
          </w:tcPr>
          <w:p>
            <w:pPr>
              <w:spacing w:after="0"/>
            </w:pPr>
            <w:r>
              <w:rPr>
                <w:rFonts w:ascii="Arial" w:hAnsi="Arial"/>
                <w:b/>
                <w:sz w:val="12"/>
              </w:rPr>
              <w:t>Source ID</w:t>
            </w:r>
          </w:p>
        </w:tc>
        <w:tc>
          <w:tcPr>
            <w:tcW w:type="dxa" w:w="1461"/>
          </w:tcPr>
          <w:p>
            <w:pPr>
              <w:spacing w:after="0"/>
            </w:pPr>
            <w:r>
              <w:rPr>
                <w:rFonts w:ascii="Arial" w:hAnsi="Arial"/>
                <w:b/>
                <w:sz w:val="12"/>
              </w:rPr>
              <w:t>Source Name</w:t>
            </w:r>
          </w:p>
        </w:tc>
        <w:tc>
          <w:tcPr>
            <w:tcW w:type="dxa" w:w="1461"/>
          </w:tcPr>
          <w:p>
            <w:pPr>
              <w:spacing w:after="0"/>
            </w:pPr>
            <w:r>
              <w:rPr>
                <w:rFonts w:ascii="Arial" w:hAnsi="Arial"/>
                <w:b/>
                <w:sz w:val="12"/>
              </w:rPr>
              <w:t>Source Class</w:t>
            </w:r>
          </w:p>
        </w:tc>
        <w:tc>
          <w:tcPr>
            <w:tcW w:type="dxa" w:w="1461"/>
          </w:tcPr>
          <w:p>
            <w:pPr>
              <w:spacing w:after="0"/>
            </w:pPr>
            <w:r>
              <w:rPr>
                <w:rFonts w:ascii="Arial" w:hAnsi="Arial"/>
                <w:b/>
                <w:sz w:val="12"/>
              </w:rPr>
              <w:t>Evidence Level</w:t>
            </w:r>
          </w:p>
        </w:tc>
        <w:tc>
          <w:tcPr>
            <w:tcW w:type="dxa" w:w="1461"/>
          </w:tcPr>
          <w:p>
            <w:pPr>
              <w:spacing w:after="0"/>
            </w:pPr>
            <w:r>
              <w:rPr>
                <w:rFonts w:ascii="Arial" w:hAnsi="Arial"/>
                <w:b/>
                <w:sz w:val="12"/>
              </w:rPr>
              <w:t>Used In</w:t>
            </w:r>
          </w:p>
        </w:tc>
        <w:tc>
          <w:tcPr>
            <w:tcW w:type="dxa" w:w="1461"/>
          </w:tcPr>
          <w:p>
            <w:pPr>
              <w:spacing w:after="0"/>
            </w:pPr>
            <w:r>
              <w:rPr>
                <w:rFonts w:ascii="Arial" w:hAnsi="Arial"/>
                <w:b/>
                <w:sz w:val="12"/>
              </w:rPr>
              <w:t>Current Status</w:t>
            </w:r>
          </w:p>
        </w:tc>
        <w:tc>
          <w:tcPr>
            <w:tcW w:type="dxa" w:w="1461"/>
          </w:tcPr>
          <w:p>
            <w:pPr>
              <w:spacing w:after="0"/>
            </w:pPr>
            <w:r>
              <w:rPr>
                <w:rFonts w:ascii="Arial" w:hAnsi="Arial"/>
                <w:b/>
                <w:sz w:val="12"/>
              </w:rPr>
              <w:t>Publication Follow-up Action</w:t>
            </w:r>
          </w:p>
        </w:tc>
      </w:tr>
      <w:tr>
        <w:tc>
          <w:tcPr>
            <w:tcW w:type="dxa" w:w="1461"/>
          </w:tcPr>
          <w:p>
            <w:pPr>
              <w:spacing w:after="0"/>
            </w:pPr>
            <w:r>
              <w:rPr>
                <w:rFonts w:ascii="Arial" w:hAnsi="Arial"/>
                <w:b w:val="0"/>
                <w:sz w:val="12"/>
              </w:rPr>
              <w:t>EU-AI-ACT</w:t>
            </w:r>
          </w:p>
        </w:tc>
        <w:tc>
          <w:tcPr>
            <w:tcW w:type="dxa" w:w="1461"/>
          </w:tcPr>
          <w:p>
            <w:pPr>
              <w:spacing w:after="0"/>
            </w:pPr>
            <w:r>
              <w:rPr>
                <w:rFonts w:ascii="Arial" w:hAnsi="Arial"/>
                <w:b w:val="0"/>
                <w:sz w:val="12"/>
              </w:rPr>
              <w:t>EU AI Act articles referenced in baseline chapters</w:t>
            </w:r>
          </w:p>
        </w:tc>
        <w:tc>
          <w:tcPr>
            <w:tcW w:type="dxa" w:w="1461"/>
          </w:tcPr>
          <w:p>
            <w:pPr>
              <w:spacing w:after="0"/>
            </w:pPr>
            <w:r>
              <w:rPr>
                <w:rFonts w:ascii="Arial" w:hAnsi="Arial"/>
                <w:b w:val="0"/>
                <w:sz w:val="12"/>
              </w:rPr>
              <w:t>Legal / regulatory text</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Chapters 4, 7, 8, Appendices E/F</w:t>
            </w:r>
          </w:p>
        </w:tc>
        <w:tc>
          <w:tcPr>
            <w:tcW w:type="dxa" w:w="1461"/>
          </w:tcPr>
          <w:p>
            <w:pPr>
              <w:spacing w:after="0"/>
            </w:pPr>
            <w:r>
              <w:rPr>
                <w:rFonts w:ascii="Arial" w:hAnsi="Arial"/>
                <w:b w:val="0"/>
                <w:sz w:val="12"/>
              </w:rPr>
              <w:t>Referenced; citation rendering pending global check</w:t>
            </w:r>
          </w:p>
        </w:tc>
        <w:tc>
          <w:tcPr>
            <w:tcW w:type="dxa" w:w="1461"/>
          </w:tcPr>
          <w:p>
            <w:pPr>
              <w:spacing w:after="0"/>
            </w:pPr>
            <w:r>
              <w:rPr>
                <w:rFonts w:ascii="Arial" w:hAnsi="Arial"/>
                <w:b w:val="0"/>
                <w:sz w:val="12"/>
              </w:rPr>
              <w:t>Verify article references and citation formatting</w:t>
            </w:r>
          </w:p>
        </w:tc>
      </w:tr>
      <w:tr>
        <w:tc>
          <w:tcPr>
            <w:tcW w:type="dxa" w:w="1461"/>
          </w:tcPr>
          <w:p>
            <w:pPr>
              <w:spacing w:after="0"/>
            </w:pPr>
            <w:r>
              <w:rPr>
                <w:rFonts w:ascii="Arial" w:hAnsi="Arial"/>
                <w:b w:val="0"/>
                <w:sz w:val="12"/>
              </w:rPr>
              <w:t>GDPR</w:t>
            </w:r>
          </w:p>
        </w:tc>
        <w:tc>
          <w:tcPr>
            <w:tcW w:type="dxa" w:w="1461"/>
          </w:tcPr>
          <w:p>
            <w:pPr>
              <w:spacing w:after="0"/>
            </w:pPr>
            <w:r>
              <w:rPr>
                <w:rFonts w:ascii="Arial" w:hAnsi="Arial"/>
                <w:b w:val="0"/>
                <w:sz w:val="12"/>
              </w:rPr>
              <w:t>GDPR articles referenced in privacy and data governance sections</w:t>
            </w:r>
          </w:p>
        </w:tc>
        <w:tc>
          <w:tcPr>
            <w:tcW w:type="dxa" w:w="1461"/>
          </w:tcPr>
          <w:p>
            <w:pPr>
              <w:spacing w:after="0"/>
            </w:pPr>
            <w:r>
              <w:rPr>
                <w:rFonts w:ascii="Arial" w:hAnsi="Arial"/>
                <w:b w:val="0"/>
                <w:sz w:val="12"/>
              </w:rPr>
              <w:t>Legal / regulatory text</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Chapters 4, 6, 8, Appendices E/F</w:t>
            </w:r>
          </w:p>
        </w:tc>
        <w:tc>
          <w:tcPr>
            <w:tcW w:type="dxa" w:w="1461"/>
          </w:tcPr>
          <w:p>
            <w:pPr>
              <w:spacing w:after="0"/>
            </w:pPr>
            <w:r>
              <w:rPr>
                <w:rFonts w:ascii="Arial" w:hAnsi="Arial"/>
                <w:b w:val="0"/>
                <w:sz w:val="12"/>
              </w:rPr>
              <w:t>Referenced; citation rendering pending global check</w:t>
            </w:r>
          </w:p>
        </w:tc>
        <w:tc>
          <w:tcPr>
            <w:tcW w:type="dxa" w:w="1461"/>
          </w:tcPr>
          <w:p>
            <w:pPr>
              <w:spacing w:after="0"/>
            </w:pPr>
            <w:r>
              <w:rPr>
                <w:rFonts w:ascii="Arial" w:hAnsi="Arial"/>
                <w:b w:val="0"/>
                <w:sz w:val="12"/>
              </w:rPr>
              <w:t>Verify article references and privacy mapping language</w:t>
            </w:r>
          </w:p>
        </w:tc>
      </w:tr>
      <w:tr>
        <w:tc>
          <w:tcPr>
            <w:tcW w:type="dxa" w:w="1461"/>
          </w:tcPr>
          <w:p>
            <w:pPr>
              <w:spacing w:after="0"/>
            </w:pPr>
            <w:r>
              <w:rPr>
                <w:rFonts w:ascii="Arial" w:hAnsi="Arial"/>
                <w:b w:val="0"/>
                <w:sz w:val="12"/>
              </w:rPr>
              <w:t>NIST-AI-RMF</w:t>
            </w:r>
          </w:p>
        </w:tc>
        <w:tc>
          <w:tcPr>
            <w:tcW w:type="dxa" w:w="1461"/>
          </w:tcPr>
          <w:p>
            <w:pPr>
              <w:spacing w:after="0"/>
            </w:pPr>
            <w:r>
              <w:rPr>
                <w:rFonts w:ascii="Arial" w:hAnsi="Arial"/>
                <w:b w:val="0"/>
                <w:sz w:val="12"/>
              </w:rPr>
              <w:t>NIST AI RMF 1.0</w:t>
            </w:r>
          </w:p>
        </w:tc>
        <w:tc>
          <w:tcPr>
            <w:tcW w:type="dxa" w:w="1461"/>
          </w:tcPr>
          <w:p>
            <w:pPr>
              <w:spacing w:after="0"/>
            </w:pPr>
            <w:r>
              <w:rPr>
                <w:rFonts w:ascii="Arial" w:hAnsi="Arial"/>
                <w:b w:val="0"/>
                <w:sz w:val="12"/>
              </w:rPr>
              <w:t>Formal standard</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RCCS security/risk mapping</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source coverage and citation formatting</w:t>
            </w:r>
          </w:p>
        </w:tc>
      </w:tr>
      <w:tr>
        <w:tc>
          <w:tcPr>
            <w:tcW w:type="dxa" w:w="1461"/>
          </w:tcPr>
          <w:p>
            <w:pPr>
              <w:spacing w:after="0"/>
            </w:pPr>
            <w:r>
              <w:rPr>
                <w:rFonts w:ascii="Arial" w:hAnsi="Arial"/>
                <w:b w:val="0"/>
                <w:sz w:val="12"/>
              </w:rPr>
              <w:t>ISO-IEC-42001</w:t>
            </w:r>
          </w:p>
        </w:tc>
        <w:tc>
          <w:tcPr>
            <w:tcW w:type="dxa" w:w="1461"/>
          </w:tcPr>
          <w:p>
            <w:pPr>
              <w:spacing w:after="0"/>
            </w:pPr>
            <w:r>
              <w:rPr>
                <w:rFonts w:ascii="Arial" w:hAnsi="Arial"/>
                <w:b w:val="0"/>
                <w:sz w:val="12"/>
              </w:rPr>
              <w:t>ISO/IEC 42001</w:t>
            </w:r>
          </w:p>
        </w:tc>
        <w:tc>
          <w:tcPr>
            <w:tcW w:type="dxa" w:w="1461"/>
          </w:tcPr>
          <w:p>
            <w:pPr>
              <w:spacing w:after="0"/>
            </w:pPr>
            <w:r>
              <w:rPr>
                <w:rFonts w:ascii="Arial" w:hAnsi="Arial"/>
                <w:b w:val="0"/>
                <w:sz w:val="12"/>
              </w:rPr>
              <w:t>Formal standard</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management system baseline</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source coverage and citation formatting</w:t>
            </w:r>
          </w:p>
        </w:tc>
      </w:tr>
      <w:tr>
        <w:tc>
          <w:tcPr>
            <w:tcW w:type="dxa" w:w="1461"/>
          </w:tcPr>
          <w:p>
            <w:pPr>
              <w:spacing w:after="0"/>
            </w:pPr>
            <w:r>
              <w:rPr>
                <w:rFonts w:ascii="Arial" w:hAnsi="Arial"/>
                <w:b w:val="0"/>
                <w:sz w:val="12"/>
              </w:rPr>
              <w:t>IMDA-AGENTIC-AI</w:t>
            </w:r>
          </w:p>
        </w:tc>
        <w:tc>
          <w:tcPr>
            <w:tcW w:type="dxa" w:w="1461"/>
          </w:tcPr>
          <w:p>
            <w:pPr>
              <w:spacing w:after="0"/>
            </w:pPr>
            <w:r>
              <w:rPr>
                <w:rFonts w:ascii="Arial" w:hAnsi="Arial"/>
                <w:b w:val="0"/>
                <w:sz w:val="12"/>
              </w:rPr>
              <w:t>Singapore IMDA Model AI Governance Framework for Agentic AI</w:t>
            </w:r>
          </w:p>
        </w:tc>
        <w:tc>
          <w:tcPr>
            <w:tcW w:type="dxa" w:w="1461"/>
          </w:tcPr>
          <w:p>
            <w:pPr>
              <w:spacing w:after="0"/>
            </w:pPr>
            <w:r>
              <w:rPr>
                <w:rFonts w:ascii="Arial" w:hAnsi="Arial"/>
                <w:b w:val="0"/>
                <w:sz w:val="12"/>
              </w:rPr>
              <w:t>Formal governance framework</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and comparative baseline</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citation details and framework naming</w:t>
            </w:r>
          </w:p>
        </w:tc>
      </w:tr>
      <w:tr>
        <w:tc>
          <w:tcPr>
            <w:tcW w:type="dxa" w:w="1461"/>
          </w:tcPr>
          <w:p>
            <w:pPr>
              <w:spacing w:after="0"/>
            </w:pPr>
            <w:r>
              <w:rPr>
                <w:rFonts w:ascii="Arial" w:hAnsi="Arial"/>
                <w:b w:val="0"/>
                <w:sz w:val="12"/>
              </w:rPr>
              <w:t>W3C-PROV</w:t>
            </w:r>
          </w:p>
        </w:tc>
        <w:tc>
          <w:tcPr>
            <w:tcW w:type="dxa" w:w="1461"/>
          </w:tcPr>
          <w:p>
            <w:pPr>
              <w:spacing w:after="0"/>
            </w:pPr>
            <w:r>
              <w:rPr>
                <w:rFonts w:ascii="Arial" w:hAnsi="Arial"/>
                <w:b w:val="0"/>
                <w:sz w:val="12"/>
              </w:rPr>
              <w:t>W3C PROV</w:t>
            </w:r>
          </w:p>
        </w:tc>
        <w:tc>
          <w:tcPr>
            <w:tcW w:type="dxa" w:w="1461"/>
          </w:tcPr>
          <w:p>
            <w:pPr>
              <w:spacing w:after="0"/>
            </w:pPr>
            <w:r>
              <w:rPr>
                <w:rFonts w:ascii="Arial" w:hAnsi="Arial"/>
                <w:b w:val="0"/>
                <w:sz w:val="12"/>
              </w:rPr>
              <w:t>Protocol / provenance standard</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evidence/provenance framing</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citation details and relevance language</w:t>
            </w:r>
          </w:p>
        </w:tc>
      </w:tr>
      <w:tr>
        <w:tc>
          <w:tcPr>
            <w:tcW w:type="dxa" w:w="1461"/>
          </w:tcPr>
          <w:p>
            <w:pPr>
              <w:spacing w:after="0"/>
            </w:pPr>
            <w:r>
              <w:rPr>
                <w:rFonts w:ascii="Arial" w:hAnsi="Arial"/>
                <w:b w:val="0"/>
                <w:sz w:val="12"/>
              </w:rPr>
              <w:t>W3C-VC</w:t>
            </w:r>
          </w:p>
        </w:tc>
        <w:tc>
          <w:tcPr>
            <w:tcW w:type="dxa" w:w="1461"/>
          </w:tcPr>
          <w:p>
            <w:pPr>
              <w:spacing w:after="0"/>
            </w:pPr>
            <w:r>
              <w:rPr>
                <w:rFonts w:ascii="Arial" w:hAnsi="Arial"/>
                <w:b w:val="0"/>
                <w:sz w:val="12"/>
              </w:rPr>
              <w:t>W3C Verifiable Credentials</w:t>
            </w:r>
          </w:p>
        </w:tc>
        <w:tc>
          <w:tcPr>
            <w:tcW w:type="dxa" w:w="1461"/>
          </w:tcPr>
          <w:p>
            <w:pPr>
              <w:spacing w:after="0"/>
            </w:pPr>
            <w:r>
              <w:rPr>
                <w:rFonts w:ascii="Arial" w:hAnsi="Arial"/>
                <w:b w:val="0"/>
                <w:sz w:val="12"/>
              </w:rPr>
              <w:t>Protocol / evidence standard</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evidence framing</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citation details and relevance language</w:t>
            </w:r>
          </w:p>
        </w:tc>
      </w:tr>
      <w:tr>
        <w:tc>
          <w:tcPr>
            <w:tcW w:type="dxa" w:w="1461"/>
          </w:tcPr>
          <w:p>
            <w:pPr>
              <w:spacing w:after="0"/>
            </w:pPr>
            <w:r>
              <w:rPr>
                <w:rFonts w:ascii="Arial" w:hAnsi="Arial"/>
                <w:b w:val="0"/>
                <w:sz w:val="12"/>
              </w:rPr>
              <w:t>MPLP-DOCS</w:t>
            </w:r>
          </w:p>
        </w:tc>
        <w:tc>
          <w:tcPr>
            <w:tcW w:type="dxa" w:w="1461"/>
          </w:tcPr>
          <w:p>
            <w:pPr>
              <w:spacing w:after="0"/>
            </w:pPr>
            <w:r>
              <w:rPr>
                <w:rFonts w:ascii="Arial" w:hAnsi="Arial"/>
                <w:b w:val="0"/>
                <w:sz w:val="12"/>
              </w:rPr>
              <w:t>MPLP documentation</w:t>
            </w:r>
          </w:p>
        </w:tc>
        <w:tc>
          <w:tcPr>
            <w:tcW w:type="dxa" w:w="1461"/>
          </w:tcPr>
          <w:p>
            <w:pPr>
              <w:spacing w:after="0"/>
            </w:pPr>
            <w:r>
              <w:rPr>
                <w:rFonts w:ascii="Arial" w:hAnsi="Arial"/>
                <w:b w:val="0"/>
                <w:sz w:val="12"/>
              </w:rPr>
              <w:t>Protocol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12, 13, Appendix G, claim register</w:t>
            </w:r>
          </w:p>
        </w:tc>
        <w:tc>
          <w:tcPr>
            <w:tcW w:type="dxa" w:w="1461"/>
          </w:tcPr>
          <w:p>
            <w:pPr>
              <w:spacing w:after="0"/>
            </w:pPr>
            <w:r>
              <w:rPr>
                <w:rFonts w:ascii="Arial" w:hAnsi="Arial"/>
                <w:b w:val="0"/>
                <w:sz w:val="12"/>
              </w:rPr>
              <w:t>Official docs entry point located; mapping remains analytical</w:t>
            </w:r>
          </w:p>
        </w:tc>
        <w:tc>
          <w:tcPr>
            <w:tcW w:type="dxa" w:w="1461"/>
          </w:tcPr>
          <w:p>
            <w:pPr>
              <w:spacing w:after="0"/>
            </w:pPr>
            <w:r>
              <w:rPr>
                <w:rFonts w:ascii="Arial" w:hAnsi="Arial"/>
                <w:b w:val="0"/>
                <w:sz w:val="12"/>
              </w:rPr>
              <w:t>Keep exact URL pinned; do not treat mapping as implementation proof</w:t>
            </w:r>
          </w:p>
        </w:tc>
      </w:tr>
      <w:tr>
        <w:tc>
          <w:tcPr>
            <w:tcW w:type="dxa" w:w="1461"/>
          </w:tcPr>
          <w:p>
            <w:pPr>
              <w:spacing w:after="0"/>
            </w:pPr>
            <w:r>
              <w:rPr>
                <w:rFonts w:ascii="Arial" w:hAnsi="Arial"/>
                <w:b w:val="0"/>
                <w:sz w:val="12"/>
              </w:rPr>
              <w:t>MPLP-SPEC</w:t>
            </w:r>
          </w:p>
        </w:tc>
        <w:tc>
          <w:tcPr>
            <w:tcW w:type="dxa" w:w="1461"/>
          </w:tcPr>
          <w:p>
            <w:pPr>
              <w:spacing w:after="0"/>
            </w:pPr>
            <w:r>
              <w:rPr>
                <w:rFonts w:ascii="Arial" w:hAnsi="Arial"/>
                <w:b w:val="0"/>
                <w:sz w:val="12"/>
              </w:rPr>
              <w:t>MPLP protocol specification</w:t>
            </w:r>
          </w:p>
        </w:tc>
        <w:tc>
          <w:tcPr>
            <w:tcW w:type="dxa" w:w="1461"/>
          </w:tcPr>
          <w:p>
            <w:pPr>
              <w:spacing w:after="0"/>
            </w:pPr>
            <w:r>
              <w:rPr>
                <w:rFonts w:ascii="Arial" w:hAnsi="Arial"/>
                <w:b w:val="0"/>
                <w:sz w:val="12"/>
              </w:rPr>
              <w:t>Protocol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12, 13, Appendix G, claim register</w:t>
            </w:r>
          </w:p>
        </w:tc>
        <w:tc>
          <w:tcPr>
            <w:tcW w:type="dxa" w:w="1461"/>
          </w:tcPr>
          <w:p>
            <w:pPr>
              <w:spacing w:after="0"/>
            </w:pPr>
            <w:r>
              <w:rPr>
                <w:rFonts w:ascii="Arial" w:hAnsi="Arial"/>
                <w:b w:val="0"/>
                <w:sz w:val="12"/>
              </w:rPr>
              <w:t>Source-bound through MPLP docs entry point</w:t>
            </w:r>
          </w:p>
        </w:tc>
        <w:tc>
          <w:tcPr>
            <w:tcW w:type="dxa" w:w="1461"/>
          </w:tcPr>
          <w:p>
            <w:pPr>
              <w:spacing w:after="0"/>
            </w:pPr>
            <w:r>
              <w:rPr>
                <w:rFonts w:ascii="Arial" w:hAnsi="Arial"/>
                <w:b w:val="0"/>
                <w:sz w:val="12"/>
              </w:rPr>
              <w:t>Validate version/citation rendering during publication-candidate QA</w:t>
            </w:r>
          </w:p>
        </w:tc>
      </w:tr>
      <w:tr>
        <w:tc>
          <w:tcPr>
            <w:tcW w:type="dxa" w:w="1461"/>
          </w:tcPr>
          <w:p>
            <w:pPr>
              <w:spacing w:after="0"/>
            </w:pPr>
            <w:r>
              <w:rPr>
                <w:rFonts w:ascii="Arial" w:hAnsi="Arial"/>
                <w:b w:val="0"/>
                <w:sz w:val="12"/>
              </w:rPr>
              <w:t>VALIDATION-LAB</w:t>
            </w:r>
          </w:p>
        </w:tc>
        <w:tc>
          <w:tcPr>
            <w:tcW w:type="dxa" w:w="1461"/>
          </w:tcPr>
          <w:p>
            <w:pPr>
              <w:spacing w:after="0"/>
            </w:pPr>
            <w:r>
              <w:rPr>
                <w:rFonts w:ascii="Arial" w:hAnsi="Arial"/>
                <w:b w:val="0"/>
                <w:sz w:val="12"/>
              </w:rPr>
              <w:t>Validation Lab methodology / public surface</w:t>
            </w:r>
          </w:p>
        </w:tc>
        <w:tc>
          <w:tcPr>
            <w:tcW w:type="dxa" w:w="1461"/>
          </w:tcPr>
          <w:p>
            <w:pPr>
              <w:spacing w:after="0"/>
            </w:pPr>
            <w:r>
              <w:rPr>
                <w:rFonts w:ascii="Arial" w:hAnsi="Arial"/>
                <w:b w:val="0"/>
                <w:sz w:val="12"/>
              </w:rPr>
              <w:t>Validation methodology source</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 14, Appendix K, claim register</w:t>
            </w:r>
          </w:p>
        </w:tc>
        <w:tc>
          <w:tcPr>
            <w:tcW w:type="dxa" w:w="1461"/>
          </w:tcPr>
          <w:p>
            <w:pPr>
              <w:spacing w:after="0"/>
            </w:pPr>
            <w:r>
              <w:rPr>
                <w:rFonts w:ascii="Arial" w:hAnsi="Arial"/>
                <w:b w:val="0"/>
                <w:sz w:val="12"/>
              </w:rPr>
              <w:t>Public entry point located; methodology-specific support remains limited</w:t>
            </w:r>
          </w:p>
        </w:tc>
        <w:tc>
          <w:tcPr>
            <w:tcW w:type="dxa" w:w="1461"/>
          </w:tcPr>
          <w:p>
            <w:pPr>
              <w:spacing w:after="0"/>
            </w:pPr>
            <w:r>
              <w:rPr>
                <w:rFonts w:ascii="Arial" w:hAnsi="Arial"/>
                <w:b w:val="0"/>
                <w:sz w:val="12"/>
              </w:rPr>
              <w:t>Keep non-certifying boundary; add methodology-specific citation if available</w:t>
            </w:r>
          </w:p>
        </w:tc>
      </w:tr>
      <w:tr>
        <w:tc>
          <w:tcPr>
            <w:tcW w:type="dxa" w:w="1461"/>
          </w:tcPr>
          <w:p>
            <w:pPr>
              <w:spacing w:after="0"/>
            </w:pPr>
            <w:r>
              <w:rPr>
                <w:rFonts w:ascii="Arial" w:hAnsi="Arial"/>
                <w:b w:val="0"/>
                <w:sz w:val="12"/>
              </w:rPr>
              <w:t>IBM-WATSONX-GOV</w:t>
            </w:r>
          </w:p>
        </w:tc>
        <w:tc>
          <w:tcPr>
            <w:tcW w:type="dxa" w:w="1461"/>
          </w:tcPr>
          <w:p>
            <w:pPr>
              <w:spacing w:after="0"/>
            </w:pPr>
            <w:r>
              <w:rPr>
                <w:rFonts w:ascii="Arial" w:hAnsi="Arial"/>
                <w:b w:val="0"/>
                <w:sz w:val="12"/>
              </w:rPr>
              <w:t>IBM watsonx.governance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points located; ALCS mappings remain L5 where not directly documented</w:t>
            </w:r>
          </w:p>
        </w:tc>
        <w:tc>
          <w:tcPr>
            <w:tcW w:type="dxa" w:w="1461"/>
          </w:tcPr>
          <w:p>
            <w:pPr>
              <w:spacing w:after="0"/>
            </w:pPr>
            <w:r>
              <w:rPr>
                <w:rFonts w:ascii="Arial" w:hAnsi="Arial"/>
                <w:b w:val="0"/>
                <w:sz w:val="12"/>
              </w:rPr>
              <w:t>Pin exact docs pages for final citation</w:t>
            </w:r>
          </w:p>
        </w:tc>
      </w:tr>
      <w:tr>
        <w:tc>
          <w:tcPr>
            <w:tcW w:type="dxa" w:w="1461"/>
          </w:tcPr>
          <w:p>
            <w:pPr>
              <w:spacing w:after="0"/>
            </w:pPr>
            <w:r>
              <w:rPr>
                <w:rFonts w:ascii="Arial" w:hAnsi="Arial"/>
                <w:b w:val="0"/>
                <w:sz w:val="12"/>
              </w:rPr>
              <w:t>MS-AZURE-FOUNDRY</w:t>
            </w:r>
          </w:p>
        </w:tc>
        <w:tc>
          <w:tcPr>
            <w:tcW w:type="dxa" w:w="1461"/>
          </w:tcPr>
          <w:p>
            <w:pPr>
              <w:spacing w:after="0"/>
            </w:pPr>
            <w:r>
              <w:rPr>
                <w:rFonts w:ascii="Arial" w:hAnsi="Arial"/>
                <w:b w:val="0"/>
                <w:sz w:val="12"/>
              </w:rPr>
              <w:t>Microsoft Azure AI Foundry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 located; ALCS mappings remain L5 where not directly documented</w:t>
            </w:r>
          </w:p>
        </w:tc>
        <w:tc>
          <w:tcPr>
            <w:tcW w:type="dxa" w:w="1461"/>
          </w:tcPr>
          <w:p>
            <w:pPr>
              <w:spacing w:after="0"/>
            </w:pPr>
            <w:r>
              <w:rPr>
                <w:rFonts w:ascii="Arial" w:hAnsi="Arial"/>
                <w:b w:val="0"/>
                <w:sz w:val="12"/>
              </w:rPr>
              <w:t>Pin exact Microsoft Learn pages for final citation</w:t>
            </w:r>
          </w:p>
        </w:tc>
      </w:tr>
      <w:tr>
        <w:tc>
          <w:tcPr>
            <w:tcW w:type="dxa" w:w="1461"/>
          </w:tcPr>
          <w:p>
            <w:pPr>
              <w:spacing w:after="0"/>
            </w:pPr>
            <w:r>
              <w:rPr>
                <w:rFonts w:ascii="Arial" w:hAnsi="Arial"/>
                <w:b w:val="0"/>
                <w:sz w:val="12"/>
              </w:rPr>
              <w:t>AWS-BEDROCK-STACK</w:t>
            </w:r>
          </w:p>
        </w:tc>
        <w:tc>
          <w:tcPr>
            <w:tcW w:type="dxa" w:w="1461"/>
          </w:tcPr>
          <w:p>
            <w:pPr>
              <w:spacing w:after="0"/>
            </w:pPr>
            <w:r>
              <w:rPr>
                <w:rFonts w:ascii="Arial" w:hAnsi="Arial"/>
                <w:b w:val="0"/>
                <w:sz w:val="12"/>
              </w:rPr>
              <w:t>AWS Bedrock / Guardrails / AgentCore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points located; ALCS mappings remain L5 where not directly documented</w:t>
            </w:r>
          </w:p>
        </w:tc>
        <w:tc>
          <w:tcPr>
            <w:tcW w:type="dxa" w:w="1461"/>
          </w:tcPr>
          <w:p>
            <w:pPr>
              <w:spacing w:after="0"/>
            </w:pPr>
            <w:r>
              <w:rPr>
                <w:rFonts w:ascii="Arial" w:hAnsi="Arial"/>
                <w:b w:val="0"/>
                <w:sz w:val="12"/>
              </w:rPr>
              <w:t>Pin exact AWS pages for final citation</w:t>
            </w:r>
          </w:p>
        </w:tc>
      </w:tr>
      <w:tr>
        <w:tc>
          <w:tcPr>
            <w:tcW w:type="dxa" w:w="1461"/>
          </w:tcPr>
          <w:p>
            <w:pPr>
              <w:spacing w:after="0"/>
            </w:pPr>
            <w:r>
              <w:rPr>
                <w:rFonts w:ascii="Arial" w:hAnsi="Arial"/>
                <w:b w:val="0"/>
                <w:sz w:val="12"/>
              </w:rPr>
              <w:t>GOOGLE-VERTEX-STACK</w:t>
            </w:r>
          </w:p>
        </w:tc>
        <w:tc>
          <w:tcPr>
            <w:tcW w:type="dxa" w:w="1461"/>
          </w:tcPr>
          <w:p>
            <w:pPr>
              <w:spacing w:after="0"/>
            </w:pPr>
            <w:r>
              <w:rPr>
                <w:rFonts w:ascii="Arial" w:hAnsi="Arial"/>
                <w:b w:val="0"/>
                <w:sz w:val="12"/>
              </w:rPr>
              <w:t>Google Vertex AI / ADK / Model Armor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points located; ALCS mappings remain L5 where not directly documented</w:t>
            </w:r>
          </w:p>
        </w:tc>
        <w:tc>
          <w:tcPr>
            <w:tcW w:type="dxa" w:w="1461"/>
          </w:tcPr>
          <w:p>
            <w:pPr>
              <w:spacing w:after="0"/>
            </w:pPr>
            <w:r>
              <w:rPr>
                <w:rFonts w:ascii="Arial" w:hAnsi="Arial"/>
                <w:b w:val="0"/>
                <w:sz w:val="12"/>
              </w:rPr>
              <w:t>Pin exact Google pages for final citation</w:t>
            </w:r>
          </w:p>
        </w:tc>
      </w:tr>
      <w:tr>
        <w:tc>
          <w:tcPr>
            <w:tcW w:type="dxa" w:w="1461"/>
          </w:tcPr>
          <w:p>
            <w:pPr>
              <w:spacing w:after="0"/>
            </w:pPr>
            <w:r>
              <w:rPr>
                <w:rFonts w:ascii="Arial" w:hAnsi="Arial"/>
                <w:b w:val="0"/>
                <w:sz w:val="12"/>
              </w:rPr>
              <w:t>LANGGRAPH-LANGSMITH</w:t>
            </w:r>
          </w:p>
        </w:tc>
        <w:tc>
          <w:tcPr>
            <w:tcW w:type="dxa" w:w="1461"/>
          </w:tcPr>
          <w:p>
            <w:pPr>
              <w:spacing w:after="0"/>
            </w:pPr>
            <w:r>
              <w:rPr>
                <w:rFonts w:ascii="Arial" w:hAnsi="Arial"/>
                <w:b w:val="0"/>
                <w:sz w:val="12"/>
              </w:rPr>
              <w:t>LangGraph / LangSmith documentation</w:t>
            </w:r>
          </w:p>
        </w:tc>
        <w:tc>
          <w:tcPr>
            <w:tcW w:type="dxa" w:w="1461"/>
          </w:tcPr>
          <w:p>
            <w:pPr>
              <w:spacing w:after="0"/>
            </w:pPr>
            <w:r>
              <w:rPr>
                <w:rFonts w:ascii="Arial" w:hAnsi="Arial"/>
                <w:b w:val="0"/>
                <w:sz w:val="12"/>
              </w:rPr>
              <w:t>Product documentation / repository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points located; ALCS mappings remain L5 where not directly documented</w:t>
            </w:r>
          </w:p>
        </w:tc>
        <w:tc>
          <w:tcPr>
            <w:tcW w:type="dxa" w:w="1461"/>
          </w:tcPr>
          <w:p>
            <w:pPr>
              <w:spacing w:after="0"/>
            </w:pPr>
            <w:r>
              <w:rPr>
                <w:rFonts w:ascii="Arial" w:hAnsi="Arial"/>
                <w:b w:val="0"/>
                <w:sz w:val="12"/>
              </w:rPr>
              <w:t>Pin exact LangChain docs pages for final citation</w:t>
            </w:r>
          </w:p>
        </w:tc>
      </w:tr>
      <w:tr>
        <w:tc>
          <w:tcPr>
            <w:tcW w:type="dxa" w:w="1461"/>
          </w:tcPr>
          <w:p>
            <w:pPr>
              <w:spacing w:after="0"/>
            </w:pPr>
            <w:r>
              <w:rPr>
                <w:rFonts w:ascii="Arial" w:hAnsi="Arial"/>
                <w:b w:val="0"/>
                <w:sz w:val="12"/>
              </w:rPr>
              <w:t>OPENAI-AGENTS-SDK</w:t>
            </w:r>
          </w:p>
        </w:tc>
        <w:tc>
          <w:tcPr>
            <w:tcW w:type="dxa" w:w="1461"/>
          </w:tcPr>
          <w:p>
            <w:pPr>
              <w:spacing w:after="0"/>
            </w:pPr>
            <w:r>
              <w:rPr>
                <w:rFonts w:ascii="Arial" w:hAnsi="Arial"/>
                <w:b w:val="0"/>
                <w:sz w:val="12"/>
              </w:rPr>
              <w:t>OpenAI Agents SDK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SDK docs entry point located; platform guide access/rendering needs final check</w:t>
            </w:r>
          </w:p>
        </w:tc>
        <w:tc>
          <w:tcPr>
            <w:tcW w:type="dxa" w:w="1461"/>
          </w:tcPr>
          <w:p>
            <w:pPr>
              <w:spacing w:after="0"/>
            </w:pPr>
            <w:r>
              <w:rPr>
                <w:rFonts w:ascii="Arial" w:hAnsi="Arial"/>
                <w:b w:val="0"/>
                <w:sz w:val="12"/>
              </w:rPr>
              <w:t>Use accessible official SDK docs and perform final citation rendering check</w:t>
            </w:r>
          </w:p>
        </w:tc>
      </w:tr>
      <w:tr>
        <w:tc>
          <w:tcPr>
            <w:tcW w:type="dxa" w:w="1461"/>
          </w:tcPr>
          <w:p>
            <w:pPr>
              <w:spacing w:after="0"/>
            </w:pPr>
            <w:r>
              <w:rPr>
                <w:rFonts w:ascii="Arial" w:hAnsi="Arial"/>
                <w:b w:val="0"/>
                <w:sz w:val="12"/>
              </w:rPr>
              <w:t>CREWAI-DOCS</w:t>
            </w:r>
          </w:p>
        </w:tc>
        <w:tc>
          <w:tcPr>
            <w:tcW w:type="dxa" w:w="1461"/>
          </w:tcPr>
          <w:p>
            <w:pPr>
              <w:spacing w:after="0"/>
            </w:pPr>
            <w:r>
              <w:rPr>
                <w:rFonts w:ascii="Arial" w:hAnsi="Arial"/>
                <w:b w:val="0"/>
                <w:sz w:val="12"/>
              </w:rPr>
              <w:t>CrewAI documentation and repository references</w:t>
            </w:r>
          </w:p>
        </w:tc>
        <w:tc>
          <w:tcPr>
            <w:tcW w:type="dxa" w:w="1461"/>
          </w:tcPr>
          <w:p>
            <w:pPr>
              <w:spacing w:after="0"/>
            </w:pPr>
            <w:r>
              <w:rPr>
                <w:rFonts w:ascii="Arial" w:hAnsi="Arial"/>
                <w:b w:val="0"/>
                <w:sz w:val="12"/>
              </w:rPr>
              <w:t>Product documentation / repository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docs and repository entry points located; ALCS mappings remain L5 where not directly documented</w:t>
            </w:r>
          </w:p>
        </w:tc>
        <w:tc>
          <w:tcPr>
            <w:tcW w:type="dxa" w:w="1461"/>
          </w:tcPr>
          <w:p>
            <w:pPr>
              <w:spacing w:after="0"/>
            </w:pPr>
            <w:r>
              <w:rPr>
                <w:rFonts w:ascii="Arial" w:hAnsi="Arial"/>
                <w:b w:val="0"/>
                <w:sz w:val="12"/>
              </w:rPr>
              <w:t>Pin exact CrewAI docs pages for final citation</w:t>
            </w:r>
          </w:p>
        </w:tc>
      </w:tr>
      <w:tr>
        <w:tc>
          <w:tcPr>
            <w:tcW w:type="dxa" w:w="1461"/>
          </w:tcPr>
          <w:p>
            <w:pPr>
              <w:spacing w:after="0"/>
            </w:pPr>
            <w:r>
              <w:rPr>
                <w:rFonts w:ascii="Arial" w:hAnsi="Arial"/>
                <w:b w:val="0"/>
                <w:sz w:val="12"/>
              </w:rPr>
              <w:t>CLAIM-EVIDENCE-REGISTER</w:t>
            </w:r>
          </w:p>
        </w:tc>
        <w:tc>
          <w:tcPr>
            <w:tcW w:type="dxa" w:w="1461"/>
          </w:tcPr>
          <w:p>
            <w:pPr>
              <w:spacing w:after="0"/>
            </w:pPr>
            <w:r>
              <w:rPr>
                <w:rFonts w:ascii="Arial" w:hAnsi="Arial"/>
                <w:b w:val="0"/>
                <w:sz w:val="12"/>
              </w:rPr>
              <w:t>Claim evidence register</w:t>
            </w:r>
          </w:p>
        </w:tc>
        <w:tc>
          <w:tcPr>
            <w:tcW w:type="dxa" w:w="1461"/>
          </w:tcPr>
          <w:p>
            <w:pPr>
              <w:spacing w:after="0"/>
            </w:pPr>
            <w:r>
              <w:rPr>
                <w:rFonts w:ascii="Arial" w:hAnsi="Arial"/>
                <w:b w:val="0"/>
                <w:sz w:val="12"/>
              </w:rPr>
              <w:t>Internal governance ledger</w:t>
            </w:r>
          </w:p>
        </w:tc>
        <w:tc>
          <w:tcPr>
            <w:tcW w:type="dxa" w:w="1461"/>
          </w:tcPr>
          <w:p>
            <w:pPr>
              <w:spacing w:after="0"/>
            </w:pPr>
            <w:r>
              <w:rPr>
                <w:rFonts w:ascii="Arial" w:hAnsi="Arial"/>
                <w:b w:val="0"/>
                <w:sz w:val="12"/>
              </w:rPr>
              <w:t>L5</w:t>
            </w:r>
          </w:p>
        </w:tc>
        <w:tc>
          <w:tcPr>
            <w:tcW w:type="dxa" w:w="1461"/>
          </w:tcPr>
          <w:p>
            <w:pPr>
              <w:spacing w:after="0"/>
            </w:pPr>
            <w:r>
              <w:rPr>
                <w:rFonts w:ascii="Arial" w:hAnsi="Arial"/>
                <w:b w:val="0"/>
                <w:sz w:val="12"/>
              </w:rPr>
              <w:t>Phase 1C follow-up</w:t>
            </w:r>
          </w:p>
        </w:tc>
        <w:tc>
          <w:tcPr>
            <w:tcW w:type="dxa" w:w="1461"/>
          </w:tcPr>
          <w:p>
            <w:pPr>
              <w:spacing w:after="0"/>
            </w:pPr>
            <w:r>
              <w:rPr>
                <w:rFonts w:ascii="Arial" w:hAnsi="Arial"/>
                <w:b w:val="0"/>
                <w:sz w:val="12"/>
              </w:rPr>
              <w:t>PHASE 1C CLAIM-LEVEL REVIEW COMPLETE — PROVISIONAL SOURCE BINDING</w:t>
            </w:r>
          </w:p>
        </w:tc>
        <w:tc>
          <w:tcPr>
            <w:tcW w:type="dxa" w:w="1461"/>
          </w:tcPr>
          <w:p>
            <w:pPr>
              <w:spacing w:after="0"/>
            </w:pPr>
            <w:r>
              <w:rPr>
                <w:rFonts w:ascii="Arial" w:hAnsi="Arial"/>
                <w:b w:val="0"/>
                <w:sz w:val="12"/>
              </w:rPr>
              <w:t>Maintain as source-to-claim audit ledger</w:t>
            </w:r>
          </w:p>
        </w:tc>
      </w:tr>
      <w:tr>
        <w:tc>
          <w:tcPr>
            <w:tcW w:type="dxa" w:w="1461"/>
          </w:tcPr>
          <w:p>
            <w:pPr>
              <w:spacing w:after="0"/>
            </w:pPr>
            <w:r>
              <w:rPr>
                <w:rFonts w:ascii="Arial" w:hAnsi="Arial"/>
                <w:b w:val="0"/>
                <w:sz w:val="12"/>
              </w:rPr>
              <w:t>CITATION-INVENTORY</w:t>
            </w:r>
          </w:p>
        </w:tc>
        <w:tc>
          <w:tcPr>
            <w:tcW w:type="dxa" w:w="1461"/>
          </w:tcPr>
          <w:p>
            <w:pPr>
              <w:spacing w:after="0"/>
            </w:pPr>
            <w:r>
              <w:rPr>
                <w:rFonts w:ascii="Arial" w:hAnsi="Arial"/>
                <w:b w:val="0"/>
                <w:sz w:val="12"/>
              </w:rPr>
              <w:t>Citation inventory ledger</w:t>
            </w:r>
          </w:p>
        </w:tc>
        <w:tc>
          <w:tcPr>
            <w:tcW w:type="dxa" w:w="1461"/>
          </w:tcPr>
          <w:p>
            <w:pPr>
              <w:spacing w:after="0"/>
            </w:pPr>
            <w:r>
              <w:rPr>
                <w:rFonts w:ascii="Arial" w:hAnsi="Arial"/>
                <w:b w:val="0"/>
                <w:sz w:val="12"/>
              </w:rPr>
              <w:t>Internal governance ledger</w:t>
            </w:r>
          </w:p>
        </w:tc>
        <w:tc>
          <w:tcPr>
            <w:tcW w:type="dxa" w:w="1461"/>
          </w:tcPr>
          <w:p>
            <w:pPr>
              <w:spacing w:after="0"/>
            </w:pPr>
            <w:r>
              <w:rPr>
                <w:rFonts w:ascii="Arial" w:hAnsi="Arial"/>
                <w:b w:val="0"/>
                <w:sz w:val="12"/>
              </w:rPr>
              <w:t>L5</w:t>
            </w:r>
          </w:p>
        </w:tc>
        <w:tc>
          <w:tcPr>
            <w:tcW w:type="dxa" w:w="1461"/>
          </w:tcPr>
          <w:p>
            <w:pPr>
              <w:spacing w:after="0"/>
            </w:pPr>
            <w:r>
              <w:rPr>
                <w:rFonts w:ascii="Arial" w:hAnsi="Arial"/>
                <w:b w:val="0"/>
                <w:sz w:val="12"/>
              </w:rPr>
              <w:t>Appendix C, Appendix I</w:t>
            </w:r>
          </w:p>
        </w:tc>
        <w:tc>
          <w:tcPr>
            <w:tcW w:type="dxa" w:w="1461"/>
          </w:tcPr>
          <w:p>
            <w:pPr>
              <w:spacing w:after="0"/>
            </w:pPr>
            <w:r>
              <w:rPr>
                <w:rFonts w:ascii="Arial" w:hAnsi="Arial"/>
                <w:b w:val="0"/>
                <w:sz w:val="12"/>
              </w:rPr>
              <w:t>PHASE 1C CLAIM-LEVEL REVIEWED — PROVISIONAL SOURCE BINDING COMPLETE</w:t>
            </w:r>
          </w:p>
        </w:tc>
        <w:tc>
          <w:tcPr>
            <w:tcW w:type="dxa" w:w="1461"/>
          </w:tcPr>
          <w:p>
            <w:pPr>
              <w:spacing w:after="0"/>
            </w:pPr>
            <w:r>
              <w:rPr>
                <w:rFonts w:ascii="Arial" w:hAnsi="Arial"/>
                <w:b w:val="0"/>
                <w:sz w:val="12"/>
              </w:rPr>
              <w:t>Final page-level citation pinning remains before publication-candidate release</w:t>
            </w:r>
          </w:p>
        </w:tc>
      </w:tr>
      <w:tr>
        <w:tc>
          <w:tcPr>
            <w:tcW w:type="dxa" w:w="1461"/>
          </w:tcPr>
          <w:p>
            <w:pPr>
              <w:spacing w:after="0"/>
            </w:pPr>
            <w:r>
              <w:rPr>
                <w:rFonts w:ascii="Arial" w:hAnsi="Arial"/>
                <w:b w:val="0"/>
                <w:sz w:val="12"/>
              </w:rPr>
              <w:t>SOURCE-COVERAGE-MATRIX</w:t>
            </w:r>
          </w:p>
        </w:tc>
        <w:tc>
          <w:tcPr>
            <w:tcW w:type="dxa" w:w="1461"/>
          </w:tcPr>
          <w:p>
            <w:pPr>
              <w:spacing w:after="0"/>
            </w:pPr>
            <w:r>
              <w:rPr>
                <w:rFonts w:ascii="Arial" w:hAnsi="Arial"/>
                <w:b w:val="0"/>
                <w:sz w:val="12"/>
              </w:rPr>
              <w:t>Source coverage matrix</w:t>
            </w:r>
          </w:p>
        </w:tc>
        <w:tc>
          <w:tcPr>
            <w:tcW w:type="dxa" w:w="1461"/>
          </w:tcPr>
          <w:p>
            <w:pPr>
              <w:spacing w:after="0"/>
            </w:pPr>
            <w:r>
              <w:rPr>
                <w:rFonts w:ascii="Arial" w:hAnsi="Arial"/>
                <w:b w:val="0"/>
                <w:sz w:val="12"/>
              </w:rPr>
              <w:t>Internal governance ledger</w:t>
            </w:r>
          </w:p>
        </w:tc>
        <w:tc>
          <w:tcPr>
            <w:tcW w:type="dxa" w:w="1461"/>
          </w:tcPr>
          <w:p>
            <w:pPr>
              <w:spacing w:after="0"/>
            </w:pPr>
            <w:r>
              <w:rPr>
                <w:rFonts w:ascii="Arial" w:hAnsi="Arial"/>
                <w:b w:val="0"/>
                <w:sz w:val="12"/>
              </w:rPr>
              <w:t>L5</w:t>
            </w:r>
          </w:p>
        </w:tc>
        <w:tc>
          <w:tcPr>
            <w:tcW w:type="dxa" w:w="1461"/>
          </w:tcPr>
          <w:p>
            <w:pPr>
              <w:spacing w:after="0"/>
            </w:pPr>
            <w:r>
              <w:rPr>
                <w:rFonts w:ascii="Arial" w:hAnsi="Arial"/>
                <w:b w:val="0"/>
                <w:sz w:val="12"/>
              </w:rPr>
              <w:t>Appendix I, Phase 1C carryover</w:t>
            </w:r>
          </w:p>
        </w:tc>
        <w:tc>
          <w:tcPr>
            <w:tcW w:type="dxa" w:w="1461"/>
          </w:tcPr>
          <w:p>
            <w:pPr>
              <w:spacing w:after="0"/>
            </w:pPr>
            <w:r>
              <w:rPr>
                <w:rFonts w:ascii="Arial" w:hAnsi="Arial"/>
                <w:b w:val="0"/>
                <w:sz w:val="12"/>
              </w:rPr>
              <w:t>PHASE 1C CLAIM-LEVEL REVIEWED — PROVISIONAL SOURCE BINDING COMPLETE</w:t>
            </w:r>
          </w:p>
        </w:tc>
        <w:tc>
          <w:tcPr>
            <w:tcW w:type="dxa" w:w="1461"/>
          </w:tcPr>
          <w:p>
            <w:pPr>
              <w:spacing w:after="0"/>
            </w:pPr>
            <w:r>
              <w:rPr>
                <w:rFonts w:ascii="Arial" w:hAnsi="Arial"/>
                <w:b w:val="0"/>
                <w:sz w:val="12"/>
              </w:rPr>
              <w:t>Final citation rendering and page-level source pinning remain before publication-candidate release</w:t>
            </w:r>
          </w:p>
        </w:tc>
      </w:tr>
    </w:tbl>
    <w:p>
      <w:pPr>
        <w:pStyle w:val="Heading2"/>
      </w:pPr>
      <w:r>
        <w:t>I.3 Source Review and Publication Handoff Workflow</w:t>
      </w:r>
    </w:p>
    <w:p>
      <w:pPr>
        <w:spacing w:after="56"/>
      </w:pPr>
      <w:r>
        <w:t>Source review and publication handoff should follow a controlled workflow:</w:t>
      </w:r>
    </w:p>
    <w:p>
      <w:pPr>
        <w:pStyle w:val="ListNumber"/>
        <w:spacing w:after="56"/>
      </w:pPr>
      <w:r>
        <w:t>Freeze the active Markdown source set for validation.</w:t>
      </w:r>
    </w:p>
    <w:p>
      <w:pPr>
        <w:pStyle w:val="ListNumber"/>
        <w:spacing w:after="56"/>
      </w:pPr>
      <w:r>
        <w:t>Confirm the citation inventory status and source coverage matrix status.</w:t>
      </w:r>
    </w:p>
    <w:p>
      <w:pPr>
        <w:pStyle w:val="ListNumber"/>
        <w:spacing w:after="56"/>
      </w:pPr>
      <w:r>
        <w:t>Verify each L1 legal or standards citation for citation rendering and relevance.</w:t>
      </w:r>
    </w:p>
    <w:p>
      <w:pPr>
        <w:pStyle w:val="ListNumber"/>
        <w:spacing w:after="56"/>
      </w:pPr>
      <w:r>
        <w:t>Revalidate every L2 product documentation source for currency, scope, and claim support.</w:t>
      </w:r>
    </w:p>
    <w:p>
      <w:pPr>
        <w:pStyle w:val="ListNumber"/>
        <w:spacing w:after="56"/>
      </w:pPr>
      <w:r>
        <w:t>Confirm MPLP documentation and Validation Lab URL/source pointers.</w:t>
      </w:r>
    </w:p>
    <w:p>
      <w:pPr>
        <w:pStyle w:val="ListNumber"/>
        <w:spacing w:after="56"/>
      </w:pPr>
      <w:r>
        <w:t>Reclassify evidence levels only when documentation supports the change.</w:t>
      </w:r>
    </w:p>
    <w:p>
      <w:pPr>
        <w:pStyle w:val="ListNumber"/>
        <w:spacing w:after="56"/>
      </w:pPr>
      <w:r>
        <w:t>Record all source changes and unresolved gaps in Appendix I or a publication QA report.</w:t>
      </w:r>
    </w:p>
    <w:p>
      <w:pPr>
        <w:spacing w:after="56"/>
      </w:pPr>
      <w:r>
        <w:t>Phase 1C follow-up completed the claim-level review path at source-entry and claim-disposition level. It did not convert L2 documentation into audit proof or final vendor assessment evidence.</w:t>
      </w:r>
    </w:p>
    <w:p>
      <w:pPr>
        <w:pStyle w:val="Heading2"/>
      </w:pPr>
      <w:r>
        <w:t>I.4 URL and Citation Verification Queue</w:t>
      </w:r>
    </w:p>
    <w:p>
      <w:pPr>
        <w:keepNext/>
      </w:pPr>
      <w:r>
        <w:rPr>
          <w:b/>
          <w:sz w:val="16"/>
        </w:rPr>
        <w:t>Table T-I-02: URL Verification Queue</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Source ID</w:t>
            </w:r>
          </w:p>
        </w:tc>
        <w:tc>
          <w:tcPr>
            <w:tcW w:type="dxa" w:w="1704"/>
          </w:tcPr>
          <w:p>
            <w:pPr>
              <w:spacing w:after="0"/>
            </w:pPr>
            <w:r>
              <w:rPr>
                <w:rFonts w:ascii="Arial" w:hAnsi="Arial"/>
                <w:b/>
                <w:sz w:val="12"/>
              </w:rPr>
              <w:t>URL / Source Pointer</w:t>
            </w:r>
          </w:p>
        </w:tc>
        <w:tc>
          <w:tcPr>
            <w:tcW w:type="dxa" w:w="1704"/>
          </w:tcPr>
          <w:p>
            <w:pPr>
              <w:spacing w:after="0"/>
            </w:pPr>
            <w:r>
              <w:rPr>
                <w:rFonts w:ascii="Arial" w:hAnsi="Arial"/>
                <w:b/>
                <w:sz w:val="12"/>
              </w:rPr>
              <w:t>Used In</w:t>
            </w:r>
          </w:p>
        </w:tc>
        <w:tc>
          <w:tcPr>
            <w:tcW w:type="dxa" w:w="1704"/>
          </w:tcPr>
          <w:p>
            <w:pPr>
              <w:spacing w:after="0"/>
            </w:pPr>
            <w:r>
              <w:rPr>
                <w:rFonts w:ascii="Arial" w:hAnsi="Arial"/>
                <w:b/>
                <w:sz w:val="12"/>
              </w:rPr>
              <w:t>Verification Need</w:t>
            </w:r>
          </w:p>
        </w:tc>
        <w:tc>
          <w:tcPr>
            <w:tcW w:type="dxa" w:w="1704"/>
          </w:tcPr>
          <w:p>
            <w:pPr>
              <w:spacing w:after="0"/>
            </w:pPr>
            <w:r>
              <w:rPr>
                <w:rFonts w:ascii="Arial" w:hAnsi="Arial"/>
                <w:b/>
                <w:sz w:val="12"/>
              </w:rPr>
              <w:t>Priority</w:t>
            </w:r>
          </w:p>
        </w:tc>
        <w:tc>
          <w:tcPr>
            <w:tcW w:type="dxa" w:w="1704"/>
          </w:tcPr>
          <w:p>
            <w:pPr>
              <w:spacing w:after="0"/>
            </w:pPr>
            <w:r>
              <w:rPr>
                <w:rFonts w:ascii="Arial" w:hAnsi="Arial"/>
                <w:b/>
                <w:sz w:val="12"/>
              </w:rPr>
              <w:t>Notes</w:t>
            </w:r>
          </w:p>
        </w:tc>
      </w:tr>
      <w:tr>
        <w:tc>
          <w:tcPr>
            <w:tcW w:type="dxa" w:w="1704"/>
          </w:tcPr>
          <w:p>
            <w:pPr>
              <w:spacing w:after="0"/>
            </w:pPr>
            <w:r>
              <w:rPr>
                <w:rFonts w:ascii="Arial" w:hAnsi="Arial"/>
                <w:b w:val="0"/>
                <w:sz w:val="12"/>
              </w:rPr>
              <w:t>MPLP-DOCS</w:t>
            </w:r>
          </w:p>
        </w:tc>
        <w:tc>
          <w:tcPr>
            <w:tcW w:type="dxa" w:w="1704"/>
          </w:tcPr>
          <w:p>
            <w:pPr>
              <w:spacing w:after="0"/>
            </w:pPr>
            <w:r>
              <w:rPr>
                <w:rFonts w:ascii="Arial" w:hAnsi="Arial"/>
                <w:b w:val="0"/>
                <w:sz w:val="12"/>
              </w:rPr>
              <w:t>Citation inventory source pointer</w:t>
            </w:r>
          </w:p>
        </w:tc>
        <w:tc>
          <w:tcPr>
            <w:tcW w:type="dxa" w:w="1704"/>
          </w:tcPr>
          <w:p>
            <w:pPr>
              <w:spacing w:after="0"/>
            </w:pPr>
            <w:r>
              <w:rPr>
                <w:rFonts w:ascii="Arial" w:hAnsi="Arial"/>
                <w:b w:val="0"/>
                <w:sz w:val="12"/>
              </w:rPr>
              <w:t>Chapters 12, 13, Appendix G</w:t>
            </w:r>
          </w:p>
        </w:tc>
        <w:tc>
          <w:tcPr>
            <w:tcW w:type="dxa" w:w="1704"/>
          </w:tcPr>
          <w:p>
            <w:pPr>
              <w:spacing w:after="0"/>
            </w:pPr>
            <w:r>
              <w:rPr>
                <w:rFonts w:ascii="Arial" w:hAnsi="Arial"/>
                <w:b w:val="0"/>
                <w:sz w:val="12"/>
              </w:rPr>
              <w:t>Validate URL, source currency, and protocol documentation scope</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Canonical Phase 1C carryover item</w:t>
            </w:r>
          </w:p>
        </w:tc>
      </w:tr>
      <w:tr>
        <w:tc>
          <w:tcPr>
            <w:tcW w:type="dxa" w:w="1704"/>
          </w:tcPr>
          <w:p>
            <w:pPr>
              <w:spacing w:after="0"/>
            </w:pPr>
            <w:r>
              <w:rPr>
                <w:rFonts w:ascii="Arial" w:hAnsi="Arial"/>
                <w:b w:val="0"/>
                <w:sz w:val="12"/>
              </w:rPr>
              <w:t>MPLP-SPEC</w:t>
            </w:r>
          </w:p>
        </w:tc>
        <w:tc>
          <w:tcPr>
            <w:tcW w:type="dxa" w:w="1704"/>
          </w:tcPr>
          <w:p>
            <w:pPr>
              <w:spacing w:after="0"/>
            </w:pPr>
            <w:r>
              <w:rPr>
                <w:rFonts w:ascii="Arial" w:hAnsi="Arial"/>
                <w:b w:val="0"/>
                <w:sz w:val="12"/>
              </w:rPr>
              <w:t>Citation inventory source pointer</w:t>
            </w:r>
          </w:p>
        </w:tc>
        <w:tc>
          <w:tcPr>
            <w:tcW w:type="dxa" w:w="1704"/>
          </w:tcPr>
          <w:p>
            <w:pPr>
              <w:spacing w:after="0"/>
            </w:pPr>
            <w:r>
              <w:rPr>
                <w:rFonts w:ascii="Arial" w:hAnsi="Arial"/>
                <w:b w:val="0"/>
                <w:sz w:val="12"/>
              </w:rPr>
              <w:t>Chapters 12, 13, Appendix G</w:t>
            </w:r>
          </w:p>
        </w:tc>
        <w:tc>
          <w:tcPr>
            <w:tcW w:type="dxa" w:w="1704"/>
          </w:tcPr>
          <w:p>
            <w:pPr>
              <w:spacing w:after="0"/>
            </w:pPr>
            <w:r>
              <w:rPr>
                <w:rFonts w:ascii="Arial" w:hAnsi="Arial"/>
                <w:b w:val="0"/>
                <w:sz w:val="12"/>
              </w:rPr>
              <w:t>Validate specification URL and version</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Do not treat protocol mapping as implementation proof</w:t>
            </w:r>
          </w:p>
        </w:tc>
      </w:tr>
      <w:tr>
        <w:tc>
          <w:tcPr>
            <w:tcW w:type="dxa" w:w="1704"/>
          </w:tcPr>
          <w:p>
            <w:pPr>
              <w:spacing w:after="0"/>
            </w:pPr>
            <w:r>
              <w:rPr>
                <w:rFonts w:ascii="Arial" w:hAnsi="Arial"/>
                <w:b w:val="0"/>
                <w:sz w:val="12"/>
              </w:rPr>
              <w:t>VALIDATION-LAB</w:t>
            </w:r>
          </w:p>
        </w:tc>
        <w:tc>
          <w:tcPr>
            <w:tcW w:type="dxa" w:w="1704"/>
          </w:tcPr>
          <w:p>
            <w:pPr>
              <w:spacing w:after="0"/>
            </w:pPr>
            <w:r>
              <w:rPr>
                <w:rFonts w:ascii="Arial" w:hAnsi="Arial"/>
                <w:b w:val="0"/>
                <w:sz w:val="12"/>
              </w:rPr>
              <w:t>Citation inventory source pointer</w:t>
            </w:r>
          </w:p>
        </w:tc>
        <w:tc>
          <w:tcPr>
            <w:tcW w:type="dxa" w:w="1704"/>
          </w:tcPr>
          <w:p>
            <w:pPr>
              <w:spacing w:after="0"/>
            </w:pPr>
            <w:r>
              <w:rPr>
                <w:rFonts w:ascii="Arial" w:hAnsi="Arial"/>
                <w:b w:val="0"/>
                <w:sz w:val="12"/>
              </w:rPr>
              <w:t>Chapter 14, Appendix K</w:t>
            </w:r>
          </w:p>
        </w:tc>
        <w:tc>
          <w:tcPr>
            <w:tcW w:type="dxa" w:w="1704"/>
          </w:tcPr>
          <w:p>
            <w:pPr>
              <w:spacing w:after="0"/>
            </w:pPr>
            <w:r>
              <w:rPr>
                <w:rFonts w:ascii="Arial" w:hAnsi="Arial"/>
                <w:b w:val="0"/>
                <w:sz w:val="12"/>
              </w:rPr>
              <w:t>Validate URL and non-certifying methodology boundary</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Canonical Phase 1C carryover item</w:t>
            </w:r>
          </w:p>
        </w:tc>
      </w:tr>
      <w:tr>
        <w:tc>
          <w:tcPr>
            <w:tcW w:type="dxa" w:w="1704"/>
          </w:tcPr>
          <w:p>
            <w:pPr>
              <w:spacing w:after="0"/>
            </w:pPr>
            <w:r>
              <w:rPr>
                <w:rFonts w:ascii="Arial" w:hAnsi="Arial"/>
                <w:b w:val="0"/>
                <w:sz w:val="12"/>
              </w:rPr>
              <w:t>IBM-WATSONX-GOV</w:t>
            </w:r>
          </w:p>
        </w:tc>
        <w:tc>
          <w:tcPr>
            <w:tcW w:type="dxa" w:w="1704"/>
          </w:tcPr>
          <w:p>
            <w:pPr>
              <w:spacing w:after="0"/>
            </w:pPr>
            <w:r>
              <w:rPr>
                <w:rFonts w:ascii="Arial" w:hAnsi="Arial"/>
                <w:b w:val="0"/>
                <w:sz w:val="12"/>
              </w:rPr>
              <w:t>Citation inventory source pointer</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Validate official documentation URL and current product scope</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L2 product docs remain provisional</w:t>
            </w:r>
          </w:p>
        </w:tc>
      </w:tr>
      <w:tr>
        <w:tc>
          <w:tcPr>
            <w:tcW w:type="dxa" w:w="1704"/>
          </w:tcPr>
          <w:p>
            <w:pPr>
              <w:spacing w:after="0"/>
            </w:pPr>
            <w:r>
              <w:rPr>
                <w:rFonts w:ascii="Arial" w:hAnsi="Arial"/>
                <w:b w:val="0"/>
                <w:sz w:val="12"/>
              </w:rPr>
              <w:t>MS-AZURE-FOUNDRY</w:t>
            </w:r>
          </w:p>
        </w:tc>
        <w:tc>
          <w:tcPr>
            <w:tcW w:type="dxa" w:w="1704"/>
          </w:tcPr>
          <w:p>
            <w:pPr>
              <w:spacing w:after="0"/>
            </w:pPr>
            <w:r>
              <w:rPr>
                <w:rFonts w:ascii="Arial" w:hAnsi="Arial"/>
                <w:b w:val="0"/>
                <w:sz w:val="12"/>
              </w:rPr>
              <w:t>Citation inventory source pointer</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Validate official documentation URL and current product scope</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L2 product docs remain provisional</w:t>
            </w:r>
          </w:p>
        </w:tc>
      </w:tr>
      <w:tr>
        <w:tc>
          <w:tcPr>
            <w:tcW w:type="dxa" w:w="1704"/>
          </w:tcPr>
          <w:p>
            <w:pPr>
              <w:spacing w:after="0"/>
            </w:pPr>
            <w:r>
              <w:rPr>
                <w:rFonts w:ascii="Arial" w:hAnsi="Arial"/>
                <w:b w:val="0"/>
                <w:sz w:val="12"/>
              </w:rPr>
              <w:t>AWS-BEDROCK-STACK</w:t>
            </w:r>
          </w:p>
        </w:tc>
        <w:tc>
          <w:tcPr>
            <w:tcW w:type="dxa" w:w="1704"/>
          </w:tcPr>
          <w:p>
            <w:pPr>
              <w:spacing w:after="0"/>
            </w:pPr>
            <w:r>
              <w:rPr>
                <w:rFonts w:ascii="Arial" w:hAnsi="Arial"/>
                <w:b w:val="0"/>
                <w:sz w:val="12"/>
              </w:rPr>
              <w:t>Citation inventory source pointer</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Validate official documentation URLs and current product scope</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Includes Bedrock, Guardrails, and AgentCore references</w:t>
            </w:r>
          </w:p>
        </w:tc>
      </w:tr>
      <w:tr>
        <w:tc>
          <w:tcPr>
            <w:tcW w:type="dxa" w:w="1704"/>
          </w:tcPr>
          <w:p>
            <w:pPr>
              <w:spacing w:after="0"/>
            </w:pPr>
            <w:r>
              <w:rPr>
                <w:rFonts w:ascii="Arial" w:hAnsi="Arial"/>
                <w:b w:val="0"/>
                <w:sz w:val="12"/>
              </w:rPr>
              <w:t>GOOGLE-VERTEX-STACK</w:t>
            </w:r>
          </w:p>
        </w:tc>
        <w:tc>
          <w:tcPr>
            <w:tcW w:type="dxa" w:w="1704"/>
          </w:tcPr>
          <w:p>
            <w:pPr>
              <w:spacing w:after="0"/>
            </w:pPr>
            <w:r>
              <w:rPr>
                <w:rFonts w:ascii="Arial" w:hAnsi="Arial"/>
                <w:b w:val="0"/>
                <w:sz w:val="12"/>
              </w:rPr>
              <w:t>Citation inventory source pointer</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Validate official documentation URLs and current product scope</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Includes Vertex AI, ADK, and Model Armor references</w:t>
            </w:r>
          </w:p>
        </w:tc>
      </w:tr>
      <w:tr>
        <w:tc>
          <w:tcPr>
            <w:tcW w:type="dxa" w:w="1704"/>
          </w:tcPr>
          <w:p>
            <w:pPr>
              <w:spacing w:after="0"/>
            </w:pPr>
            <w:r>
              <w:rPr>
                <w:rFonts w:ascii="Arial" w:hAnsi="Arial"/>
                <w:b w:val="0"/>
                <w:sz w:val="12"/>
              </w:rPr>
              <w:t>LANGGRAPH-LANGSMITH</w:t>
            </w:r>
          </w:p>
        </w:tc>
        <w:tc>
          <w:tcPr>
            <w:tcW w:type="dxa" w:w="1704"/>
          </w:tcPr>
          <w:p>
            <w:pPr>
              <w:spacing w:after="0"/>
            </w:pPr>
            <w:r>
              <w:rPr>
                <w:rFonts w:ascii="Arial" w:hAnsi="Arial"/>
                <w:b w:val="0"/>
                <w:sz w:val="12"/>
              </w:rPr>
              <w:t>Citation inventory source pointer</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Validate documentation and repository references</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Confirm current framework/documentation names</w:t>
            </w:r>
          </w:p>
        </w:tc>
      </w:tr>
      <w:tr>
        <w:tc>
          <w:tcPr>
            <w:tcW w:type="dxa" w:w="1704"/>
          </w:tcPr>
          <w:p>
            <w:pPr>
              <w:spacing w:after="0"/>
            </w:pPr>
            <w:r>
              <w:rPr>
                <w:rFonts w:ascii="Arial" w:hAnsi="Arial"/>
                <w:b w:val="0"/>
                <w:sz w:val="12"/>
              </w:rPr>
              <w:t>OPENAI-AGENTS-SDK</w:t>
            </w:r>
          </w:p>
        </w:tc>
        <w:tc>
          <w:tcPr>
            <w:tcW w:type="dxa" w:w="1704"/>
          </w:tcPr>
          <w:p>
            <w:pPr>
              <w:spacing w:after="0"/>
            </w:pPr>
            <w:r>
              <w:rPr>
                <w:rFonts w:ascii="Arial" w:hAnsi="Arial"/>
                <w:b w:val="0"/>
                <w:sz w:val="12"/>
              </w:rPr>
              <w:t>Citation inventory source pointer</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Validate official documentation URL and current SDK scope</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Do not add new product claims during verification</w:t>
            </w:r>
          </w:p>
        </w:tc>
      </w:tr>
      <w:tr>
        <w:tc>
          <w:tcPr>
            <w:tcW w:type="dxa" w:w="1704"/>
          </w:tcPr>
          <w:p>
            <w:pPr>
              <w:spacing w:after="0"/>
            </w:pPr>
            <w:r>
              <w:rPr>
                <w:rFonts w:ascii="Arial" w:hAnsi="Arial"/>
                <w:b w:val="0"/>
                <w:sz w:val="12"/>
              </w:rPr>
              <w:t>CREWAI-DOCS</w:t>
            </w:r>
          </w:p>
        </w:tc>
        <w:tc>
          <w:tcPr>
            <w:tcW w:type="dxa" w:w="1704"/>
          </w:tcPr>
          <w:p>
            <w:pPr>
              <w:spacing w:after="0"/>
            </w:pPr>
            <w:r>
              <w:rPr>
                <w:rFonts w:ascii="Arial" w:hAnsi="Arial"/>
                <w:b w:val="0"/>
                <w:sz w:val="12"/>
              </w:rPr>
              <w:t>Citation inventory source pointer</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Validate documentation and repository references</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Confirm current documentation scope</w:t>
            </w:r>
          </w:p>
        </w:tc>
      </w:tr>
      <w:tr>
        <w:tc>
          <w:tcPr>
            <w:tcW w:type="dxa" w:w="1704"/>
          </w:tcPr>
          <w:p>
            <w:pPr>
              <w:spacing w:after="0"/>
            </w:pPr>
            <w:r>
              <w:rPr>
                <w:rFonts w:ascii="Arial" w:hAnsi="Arial"/>
                <w:b w:val="0"/>
                <w:sz w:val="12"/>
              </w:rPr>
              <w:t>L1-LEGAL-STANDARDS</w:t>
            </w:r>
          </w:p>
        </w:tc>
        <w:tc>
          <w:tcPr>
            <w:tcW w:type="dxa" w:w="1704"/>
          </w:tcPr>
          <w:p>
            <w:pPr>
              <w:spacing w:after="0"/>
            </w:pPr>
            <w:r>
              <w:rPr>
                <w:rFonts w:ascii="Arial" w:hAnsi="Arial"/>
                <w:b w:val="0"/>
                <w:sz w:val="12"/>
              </w:rPr>
              <w:t>Citation source pointers / reference notes</w:t>
            </w:r>
          </w:p>
        </w:tc>
        <w:tc>
          <w:tcPr>
            <w:tcW w:type="dxa" w:w="1704"/>
          </w:tcPr>
          <w:p>
            <w:pPr>
              <w:spacing w:after="0"/>
            </w:pPr>
            <w:r>
              <w:rPr>
                <w:rFonts w:ascii="Arial" w:hAnsi="Arial"/>
                <w:b w:val="0"/>
                <w:sz w:val="12"/>
              </w:rPr>
              <w:t>Chapters 4, 7, 8, Appendices E/F</w:t>
            </w:r>
          </w:p>
        </w:tc>
        <w:tc>
          <w:tcPr>
            <w:tcW w:type="dxa" w:w="1704"/>
          </w:tcPr>
          <w:p>
            <w:pPr>
              <w:spacing w:after="0"/>
            </w:pPr>
            <w:r>
              <w:rPr>
                <w:rFonts w:ascii="Arial" w:hAnsi="Arial"/>
                <w:b w:val="0"/>
                <w:sz w:val="12"/>
              </w:rPr>
              <w:t>Verify citation rendering and article/standard references</w:t>
            </w:r>
          </w:p>
        </w:tc>
        <w:tc>
          <w:tcPr>
            <w:tcW w:type="dxa" w:w="1704"/>
          </w:tcPr>
          <w:p>
            <w:pPr>
              <w:spacing w:after="0"/>
            </w:pPr>
            <w:r>
              <w:rPr>
                <w:rFonts w:ascii="Arial" w:hAnsi="Arial"/>
                <w:b w:val="0"/>
                <w:sz w:val="12"/>
              </w:rPr>
              <w:t>Medium</w:t>
            </w:r>
          </w:p>
        </w:tc>
        <w:tc>
          <w:tcPr>
            <w:tcW w:type="dxa" w:w="1704"/>
          </w:tcPr>
          <w:p>
            <w:pPr>
              <w:spacing w:after="0"/>
            </w:pPr>
            <w:r>
              <w:rPr>
                <w:rFonts w:ascii="Arial" w:hAnsi="Arial"/>
                <w:b w:val="0"/>
                <w:sz w:val="12"/>
              </w:rPr>
              <w:t>Does not change legal interpretation</w:t>
            </w:r>
          </w:p>
        </w:tc>
      </w:tr>
      <w:tr>
        <w:tc>
          <w:tcPr>
            <w:tcW w:type="dxa" w:w="1704"/>
          </w:tcPr>
          <w:p>
            <w:pPr>
              <w:spacing w:after="0"/>
            </w:pPr>
            <w:r>
              <w:rPr>
                <w:rFonts w:ascii="Arial" w:hAnsi="Arial"/>
                <w:b w:val="0"/>
                <w:sz w:val="12"/>
              </w:rPr>
              <w:t>FIGURE-TABLE-REFERENCES</w:t>
            </w:r>
          </w:p>
        </w:tc>
        <w:tc>
          <w:tcPr>
            <w:tcW w:type="dxa" w:w="1704"/>
          </w:tcPr>
          <w:p>
            <w:pPr>
              <w:spacing w:after="0"/>
            </w:pPr>
            <w:r>
              <w:rPr>
                <w:rFonts w:ascii="Arial" w:hAnsi="Arial"/>
                <w:b w:val="0"/>
                <w:sz w:val="12"/>
              </w:rPr>
              <w:t>Internal references</w:t>
            </w:r>
          </w:p>
        </w:tc>
        <w:tc>
          <w:tcPr>
            <w:tcW w:type="dxa" w:w="1704"/>
          </w:tcPr>
          <w:p>
            <w:pPr>
              <w:spacing w:after="0"/>
            </w:pPr>
            <w:r>
              <w:rPr>
                <w:rFonts w:ascii="Arial" w:hAnsi="Arial"/>
                <w:b w:val="0"/>
                <w:sz w:val="12"/>
              </w:rPr>
              <w:t>Entire source</w:t>
            </w:r>
          </w:p>
        </w:tc>
        <w:tc>
          <w:tcPr>
            <w:tcW w:type="dxa" w:w="1704"/>
          </w:tcPr>
          <w:p>
            <w:pPr>
              <w:spacing w:after="0"/>
            </w:pPr>
            <w:r>
              <w:rPr>
                <w:rFonts w:ascii="Arial" w:hAnsi="Arial"/>
                <w:b w:val="0"/>
                <w:sz w:val="12"/>
              </w:rPr>
              <w:t>Verify table and figure references render correctly</w:t>
            </w:r>
          </w:p>
        </w:tc>
        <w:tc>
          <w:tcPr>
            <w:tcW w:type="dxa" w:w="1704"/>
          </w:tcPr>
          <w:p>
            <w:pPr>
              <w:spacing w:after="0"/>
            </w:pPr>
            <w:r>
              <w:rPr>
                <w:rFonts w:ascii="Arial" w:hAnsi="Arial"/>
                <w:b w:val="0"/>
                <w:sz w:val="12"/>
              </w:rPr>
              <w:t>Medium</w:t>
            </w:r>
          </w:p>
        </w:tc>
        <w:tc>
          <w:tcPr>
            <w:tcW w:type="dxa" w:w="1704"/>
          </w:tcPr>
          <w:p>
            <w:pPr>
              <w:spacing w:after="0"/>
            </w:pPr>
            <w:r>
              <w:rPr>
                <w:rFonts w:ascii="Arial" w:hAnsi="Arial"/>
                <w:b w:val="0"/>
                <w:sz w:val="12"/>
              </w:rPr>
              <w:t>Coordinate with Phase 1D layout QA</w:t>
            </w:r>
          </w:p>
        </w:tc>
      </w:tr>
    </w:tbl>
    <w:p>
      <w:pPr>
        <w:spacing w:after="56"/>
      </w:pPr>
      <w:r>
        <w:t>Phase 1C follow-up located or validated official source entry points for the high-priority L2 groups. Final page-level citation pinning and DOCX/PDF citation rendering remain Phase 1D/publication-candidate tasks.</w:t>
      </w:r>
    </w:p>
    <w:p>
      <w:pPr>
        <w:pStyle w:val="Heading2"/>
      </w:pPr>
      <w:r>
        <w:t>I.5 Evidence Level Reclassification Rules</w:t>
      </w:r>
    </w:p>
    <w:p>
      <w:pPr>
        <w:keepNext/>
      </w:pPr>
      <w:r>
        <w:rPr>
          <w:b/>
          <w:sz w:val="16"/>
        </w:rPr>
        <w:t>Table T-I-03: Evidence Level Reclassification Rules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Current Level</w:t>
            </w:r>
          </w:p>
        </w:tc>
        <w:tc>
          <w:tcPr>
            <w:tcW w:type="dxa" w:w="2045"/>
          </w:tcPr>
          <w:p>
            <w:pPr>
              <w:spacing w:after="0"/>
            </w:pPr>
            <w:r>
              <w:rPr>
                <w:rFonts w:ascii="Arial" w:hAnsi="Arial"/>
                <w:b/>
                <w:sz w:val="14"/>
              </w:rPr>
              <w:t>Trigger for Reclassification</w:t>
            </w:r>
          </w:p>
        </w:tc>
        <w:tc>
          <w:tcPr>
            <w:tcW w:type="dxa" w:w="2045"/>
          </w:tcPr>
          <w:p>
            <w:pPr>
              <w:spacing w:after="0"/>
            </w:pPr>
            <w:r>
              <w:rPr>
                <w:rFonts w:ascii="Arial" w:hAnsi="Arial"/>
                <w:b/>
                <w:sz w:val="14"/>
              </w:rPr>
              <w:t>New Level</w:t>
            </w:r>
          </w:p>
        </w:tc>
        <w:tc>
          <w:tcPr>
            <w:tcW w:type="dxa" w:w="2045"/>
          </w:tcPr>
          <w:p>
            <w:pPr>
              <w:spacing w:after="0"/>
            </w:pPr>
            <w:r>
              <w:rPr>
                <w:rFonts w:ascii="Arial" w:hAnsi="Arial"/>
                <w:b/>
                <w:sz w:val="14"/>
              </w:rPr>
              <w:t>Required Documentation</w:t>
            </w:r>
          </w:p>
        </w:tc>
        <w:tc>
          <w:tcPr>
            <w:tcW w:type="dxa" w:w="2045"/>
          </w:tcPr>
          <w:p>
            <w:pPr>
              <w:spacing w:after="0"/>
            </w:pPr>
            <w:r>
              <w:rPr>
                <w:rFonts w:ascii="Arial" w:hAnsi="Arial"/>
                <w:b/>
                <w:sz w:val="14"/>
              </w:rPr>
              <w:t>Reviewer Note</w:t>
            </w:r>
          </w:p>
        </w:tc>
      </w:tr>
      <w:tr>
        <w:tc>
          <w:tcPr>
            <w:tcW w:type="dxa" w:w="2045"/>
          </w:tcPr>
          <w:p>
            <w:pPr>
              <w:spacing w:after="0"/>
            </w:pPr>
            <w:r>
              <w:rPr>
                <w:rFonts w:ascii="Arial" w:hAnsi="Arial"/>
                <w:b w:val="0"/>
                <w:sz w:val="14"/>
              </w:rPr>
              <w:t>L5 author inference</w:t>
            </w:r>
          </w:p>
        </w:tc>
        <w:tc>
          <w:tcPr>
            <w:tcW w:type="dxa" w:w="2045"/>
          </w:tcPr>
          <w:p>
            <w:pPr>
              <w:spacing w:after="0"/>
            </w:pPr>
            <w:r>
              <w:rPr>
                <w:rFonts w:ascii="Arial" w:hAnsi="Arial"/>
                <w:b w:val="0"/>
                <w:sz w:val="14"/>
              </w:rPr>
              <w:t>Official product documentation directly supports the claim</w:t>
            </w:r>
          </w:p>
        </w:tc>
        <w:tc>
          <w:tcPr>
            <w:tcW w:type="dxa" w:w="2045"/>
          </w:tcPr>
          <w:p>
            <w:pPr>
              <w:spacing w:after="0"/>
            </w:pPr>
            <w:r>
              <w:rPr>
                <w:rFonts w:ascii="Arial" w:hAnsi="Arial"/>
                <w:b w:val="0"/>
                <w:sz w:val="14"/>
              </w:rPr>
              <w:t>L2</w:t>
            </w:r>
          </w:p>
        </w:tc>
        <w:tc>
          <w:tcPr>
            <w:tcW w:type="dxa" w:w="2045"/>
          </w:tcPr>
          <w:p>
            <w:pPr>
              <w:spacing w:after="0"/>
            </w:pPr>
            <w:r>
              <w:rPr>
                <w:rFonts w:ascii="Arial" w:hAnsi="Arial"/>
                <w:b w:val="0"/>
                <w:sz w:val="14"/>
              </w:rPr>
              <w:t>Source URL, publication/access date, quoted claim summary, mapped claim location</w:t>
            </w:r>
          </w:p>
        </w:tc>
        <w:tc>
          <w:tcPr>
            <w:tcW w:type="dxa" w:w="2045"/>
          </w:tcPr>
          <w:p>
            <w:pPr>
              <w:spacing w:after="0"/>
            </w:pPr>
            <w:r>
              <w:rPr>
                <w:rFonts w:ascii="Arial" w:hAnsi="Arial"/>
                <w:b w:val="0"/>
                <w:sz w:val="14"/>
              </w:rPr>
              <w:t>Do not reclassify based on assumption</w:t>
            </w:r>
          </w:p>
        </w:tc>
      </w:tr>
      <w:tr>
        <w:tc>
          <w:tcPr>
            <w:tcW w:type="dxa" w:w="2045"/>
          </w:tcPr>
          <w:p>
            <w:pPr>
              <w:spacing w:after="0"/>
            </w:pPr>
            <w:r>
              <w:rPr>
                <w:rFonts w:ascii="Arial" w:hAnsi="Arial"/>
                <w:b w:val="0"/>
                <w:sz w:val="14"/>
              </w:rPr>
              <w:t>L4 vendor claim</w:t>
            </w:r>
          </w:p>
        </w:tc>
        <w:tc>
          <w:tcPr>
            <w:tcW w:type="dxa" w:w="2045"/>
          </w:tcPr>
          <w:p>
            <w:pPr>
              <w:spacing w:after="0"/>
            </w:pPr>
            <w:r>
              <w:rPr>
                <w:rFonts w:ascii="Arial" w:hAnsi="Arial"/>
                <w:b w:val="0"/>
                <w:sz w:val="14"/>
              </w:rPr>
              <w:t>Claim is found in official technical documentation with implementation detail</w:t>
            </w:r>
          </w:p>
        </w:tc>
        <w:tc>
          <w:tcPr>
            <w:tcW w:type="dxa" w:w="2045"/>
          </w:tcPr>
          <w:p>
            <w:pPr>
              <w:spacing w:after="0"/>
            </w:pPr>
            <w:r>
              <w:rPr>
                <w:rFonts w:ascii="Arial" w:hAnsi="Arial"/>
                <w:b w:val="0"/>
                <w:sz w:val="14"/>
              </w:rPr>
              <w:t>L2</w:t>
            </w:r>
          </w:p>
        </w:tc>
        <w:tc>
          <w:tcPr>
            <w:tcW w:type="dxa" w:w="2045"/>
          </w:tcPr>
          <w:p>
            <w:pPr>
              <w:spacing w:after="0"/>
            </w:pPr>
            <w:r>
              <w:rPr>
                <w:rFonts w:ascii="Arial" w:hAnsi="Arial"/>
                <w:b w:val="0"/>
                <w:sz w:val="14"/>
              </w:rPr>
              <w:t>Official documentation reference and implementation detail</w:t>
            </w:r>
          </w:p>
        </w:tc>
        <w:tc>
          <w:tcPr>
            <w:tcW w:type="dxa" w:w="2045"/>
          </w:tcPr>
          <w:p>
            <w:pPr>
              <w:spacing w:after="0"/>
            </w:pPr>
            <w:r>
              <w:rPr>
                <w:rFonts w:ascii="Arial" w:hAnsi="Arial"/>
                <w:b w:val="0"/>
                <w:sz w:val="14"/>
              </w:rPr>
              <w:t>Marketing-only material remains L4</w:t>
            </w:r>
          </w:p>
        </w:tc>
      </w:tr>
      <w:tr>
        <w:tc>
          <w:tcPr>
            <w:tcW w:type="dxa" w:w="2045"/>
          </w:tcPr>
          <w:p>
            <w:pPr>
              <w:spacing w:after="0"/>
            </w:pPr>
            <w:r>
              <w:rPr>
                <w:rFonts w:ascii="Arial" w:hAnsi="Arial"/>
                <w:b w:val="0"/>
                <w:sz w:val="14"/>
              </w:rPr>
              <w:t>L2 product documentation</w:t>
            </w:r>
          </w:p>
        </w:tc>
        <w:tc>
          <w:tcPr>
            <w:tcW w:type="dxa" w:w="2045"/>
          </w:tcPr>
          <w:p>
            <w:pPr>
              <w:spacing w:after="0"/>
            </w:pPr>
            <w:r>
              <w:rPr>
                <w:rFonts w:ascii="Arial" w:hAnsi="Arial"/>
                <w:b w:val="0"/>
                <w:sz w:val="14"/>
              </w:rPr>
              <w:t>Documentation no longer exists, changed materially, or no longer supports the claim</w:t>
            </w:r>
          </w:p>
        </w:tc>
        <w:tc>
          <w:tcPr>
            <w:tcW w:type="dxa" w:w="2045"/>
          </w:tcPr>
          <w:p>
            <w:pPr>
              <w:spacing w:after="0"/>
            </w:pPr>
            <w:r>
              <w:rPr>
                <w:rFonts w:ascii="Arial" w:hAnsi="Arial"/>
                <w:b w:val="0"/>
                <w:sz w:val="14"/>
              </w:rPr>
              <w:t>L4 or L5</w:t>
            </w:r>
          </w:p>
        </w:tc>
        <w:tc>
          <w:tcPr>
            <w:tcW w:type="dxa" w:w="2045"/>
          </w:tcPr>
          <w:p>
            <w:pPr>
              <w:spacing w:after="0"/>
            </w:pPr>
            <w:r>
              <w:rPr>
                <w:rFonts w:ascii="Arial" w:hAnsi="Arial"/>
                <w:b w:val="0"/>
                <w:sz w:val="14"/>
              </w:rPr>
              <w:t>Change note, archived pointer if available, unsupported claim record</w:t>
            </w:r>
          </w:p>
        </w:tc>
        <w:tc>
          <w:tcPr>
            <w:tcW w:type="dxa" w:w="2045"/>
          </w:tcPr>
          <w:p>
            <w:pPr>
              <w:spacing w:after="0"/>
            </w:pPr>
            <w:r>
              <w:rPr>
                <w:rFonts w:ascii="Arial" w:hAnsi="Arial"/>
                <w:b w:val="0"/>
                <w:sz w:val="14"/>
              </w:rPr>
              <w:t>Downgrade evidence rather than preserving stale confidence</w:t>
            </w:r>
          </w:p>
        </w:tc>
      </w:tr>
      <w:tr>
        <w:tc>
          <w:tcPr>
            <w:tcW w:type="dxa" w:w="2045"/>
          </w:tcPr>
          <w:p>
            <w:pPr>
              <w:spacing w:after="0"/>
            </w:pPr>
            <w:r>
              <w:rPr>
                <w:rFonts w:ascii="Arial" w:hAnsi="Arial"/>
                <w:b w:val="0"/>
                <w:sz w:val="14"/>
              </w:rPr>
              <w:t>L2 product documentation</w:t>
            </w:r>
          </w:p>
        </w:tc>
        <w:tc>
          <w:tcPr>
            <w:tcW w:type="dxa" w:w="2045"/>
          </w:tcPr>
          <w:p>
            <w:pPr>
              <w:spacing w:after="0"/>
            </w:pPr>
            <w:r>
              <w:rPr>
                <w:rFonts w:ascii="Arial" w:hAnsi="Arial"/>
                <w:b w:val="0"/>
                <w:sz w:val="14"/>
              </w:rPr>
              <w:t>Third-party audit report validates implementation detail</w:t>
            </w:r>
          </w:p>
        </w:tc>
        <w:tc>
          <w:tcPr>
            <w:tcW w:type="dxa" w:w="2045"/>
          </w:tcPr>
          <w:p>
            <w:pPr>
              <w:spacing w:after="0"/>
            </w:pPr>
            <w:r>
              <w:rPr>
                <w:rFonts w:ascii="Arial" w:hAnsi="Arial"/>
                <w:b w:val="0"/>
                <w:sz w:val="14"/>
              </w:rPr>
              <w:t>L3</w:t>
            </w:r>
          </w:p>
        </w:tc>
        <w:tc>
          <w:tcPr>
            <w:tcW w:type="dxa" w:w="2045"/>
          </w:tcPr>
          <w:p>
            <w:pPr>
              <w:spacing w:after="0"/>
            </w:pPr>
            <w:r>
              <w:rPr>
                <w:rFonts w:ascii="Arial" w:hAnsi="Arial"/>
                <w:b w:val="0"/>
                <w:sz w:val="14"/>
              </w:rPr>
              <w:t>Audit report reference, scope, date, and control mapping</w:t>
            </w:r>
          </w:p>
        </w:tc>
        <w:tc>
          <w:tcPr>
            <w:tcW w:type="dxa" w:w="2045"/>
          </w:tcPr>
          <w:p>
            <w:pPr>
              <w:spacing w:after="0"/>
            </w:pPr>
            <w:r>
              <w:rPr>
                <w:rFonts w:ascii="Arial" w:hAnsi="Arial"/>
                <w:b w:val="0"/>
                <w:sz w:val="14"/>
              </w:rPr>
              <w:t>Audit scope must match claim scope</w:t>
            </w:r>
          </w:p>
        </w:tc>
      </w:tr>
      <w:tr>
        <w:tc>
          <w:tcPr>
            <w:tcW w:type="dxa" w:w="2045"/>
          </w:tcPr>
          <w:p>
            <w:pPr>
              <w:spacing w:after="0"/>
            </w:pPr>
            <w:r>
              <w:rPr>
                <w:rFonts w:ascii="Arial" w:hAnsi="Arial"/>
                <w:b w:val="0"/>
                <w:sz w:val="14"/>
              </w:rPr>
              <w:t>L3 audit report</w:t>
            </w:r>
          </w:p>
        </w:tc>
        <w:tc>
          <w:tcPr>
            <w:tcW w:type="dxa" w:w="2045"/>
          </w:tcPr>
          <w:p>
            <w:pPr>
              <w:spacing w:after="0"/>
            </w:pPr>
            <w:r>
              <w:rPr>
                <w:rFonts w:ascii="Arial" w:hAnsi="Arial"/>
                <w:b w:val="0"/>
                <w:sz w:val="14"/>
              </w:rPr>
              <w:t>Audit scope does not cover the claim or is not accessible</w:t>
            </w:r>
          </w:p>
        </w:tc>
        <w:tc>
          <w:tcPr>
            <w:tcW w:type="dxa" w:w="2045"/>
          </w:tcPr>
          <w:p>
            <w:pPr>
              <w:spacing w:after="0"/>
            </w:pPr>
            <w:r>
              <w:rPr>
                <w:rFonts w:ascii="Arial" w:hAnsi="Arial"/>
                <w:b w:val="0"/>
                <w:sz w:val="14"/>
              </w:rPr>
              <w:t>L4 or L5</w:t>
            </w:r>
          </w:p>
        </w:tc>
        <w:tc>
          <w:tcPr>
            <w:tcW w:type="dxa" w:w="2045"/>
          </w:tcPr>
          <w:p>
            <w:pPr>
              <w:spacing w:after="0"/>
            </w:pPr>
            <w:r>
              <w:rPr>
                <w:rFonts w:ascii="Arial" w:hAnsi="Arial"/>
                <w:b w:val="0"/>
                <w:sz w:val="14"/>
              </w:rPr>
              <w:t>Gap explanation and reviewer note</w:t>
            </w:r>
          </w:p>
        </w:tc>
        <w:tc>
          <w:tcPr>
            <w:tcW w:type="dxa" w:w="2045"/>
          </w:tcPr>
          <w:p>
            <w:pPr>
              <w:spacing w:after="0"/>
            </w:pPr>
            <w:r>
              <w:rPr>
                <w:rFonts w:ascii="Arial" w:hAnsi="Arial"/>
                <w:b w:val="0"/>
                <w:sz w:val="14"/>
              </w:rPr>
              <w:t>Do not infer coverage from report existence</w:t>
            </w:r>
          </w:p>
        </w:tc>
      </w:tr>
      <w:tr>
        <w:tc>
          <w:tcPr>
            <w:tcW w:type="dxa" w:w="2045"/>
          </w:tcPr>
          <w:p>
            <w:pPr>
              <w:spacing w:after="0"/>
            </w:pPr>
            <w:r>
              <w:rPr>
                <w:rFonts w:ascii="Arial" w:hAnsi="Arial"/>
                <w:b w:val="0"/>
                <w:sz w:val="14"/>
              </w:rPr>
              <w:t>L1 legal text</w:t>
            </w:r>
          </w:p>
        </w:tc>
        <w:tc>
          <w:tcPr>
            <w:tcW w:type="dxa" w:w="2045"/>
          </w:tcPr>
          <w:p>
            <w:pPr>
              <w:spacing w:after="0"/>
            </w:pPr>
            <w:r>
              <w:rPr>
                <w:rFonts w:ascii="Arial" w:hAnsi="Arial"/>
                <w:b w:val="0"/>
                <w:sz w:val="14"/>
              </w:rPr>
              <w:t>Legal text establishes regulatory baseline but not system implementation</w:t>
            </w:r>
          </w:p>
        </w:tc>
        <w:tc>
          <w:tcPr>
            <w:tcW w:type="dxa" w:w="2045"/>
          </w:tcPr>
          <w:p>
            <w:pPr>
              <w:spacing w:after="0"/>
            </w:pPr>
            <w:r>
              <w:rPr>
                <w:rFonts w:ascii="Arial" w:hAnsi="Arial"/>
                <w:b w:val="0"/>
                <w:sz w:val="14"/>
              </w:rPr>
              <w:t>L1 for baseline only</w:t>
            </w:r>
          </w:p>
        </w:tc>
        <w:tc>
          <w:tcPr>
            <w:tcW w:type="dxa" w:w="2045"/>
          </w:tcPr>
          <w:p>
            <w:pPr>
              <w:spacing w:after="0"/>
            </w:pPr>
            <w:r>
              <w:rPr>
                <w:rFonts w:ascii="Arial" w:hAnsi="Arial"/>
                <w:b w:val="0"/>
                <w:sz w:val="14"/>
              </w:rPr>
              <w:t>Citation and claim boundary note</w:t>
            </w:r>
          </w:p>
        </w:tc>
        <w:tc>
          <w:tcPr>
            <w:tcW w:type="dxa" w:w="2045"/>
          </w:tcPr>
          <w:p>
            <w:pPr>
              <w:spacing w:after="0"/>
            </w:pPr>
            <w:r>
              <w:rPr>
                <w:rFonts w:ascii="Arial" w:hAnsi="Arial"/>
                <w:b w:val="0"/>
                <w:sz w:val="14"/>
              </w:rPr>
              <w:t>Do not use legal text alone as implementation evidence</w:t>
            </w:r>
          </w:p>
        </w:tc>
      </w:tr>
      <w:tr>
        <w:tc>
          <w:tcPr>
            <w:tcW w:type="dxa" w:w="2045"/>
          </w:tcPr>
          <w:p>
            <w:pPr>
              <w:spacing w:after="0"/>
            </w:pPr>
            <w:r>
              <w:rPr>
                <w:rFonts w:ascii="Arial" w:hAnsi="Arial"/>
                <w:b w:val="0"/>
                <w:sz w:val="14"/>
              </w:rPr>
              <w:t>Any level</w:t>
            </w:r>
          </w:p>
        </w:tc>
        <w:tc>
          <w:tcPr>
            <w:tcW w:type="dxa" w:w="2045"/>
          </w:tcPr>
          <w:p>
            <w:pPr>
              <w:spacing w:after="0"/>
            </w:pPr>
            <w:r>
              <w:rPr>
                <w:rFonts w:ascii="Arial" w:hAnsi="Arial"/>
                <w:b w:val="0"/>
                <w:sz w:val="14"/>
              </w:rPr>
              <w:t>Source is unverifiable during source review</w:t>
            </w:r>
          </w:p>
        </w:tc>
        <w:tc>
          <w:tcPr>
            <w:tcW w:type="dxa" w:w="2045"/>
          </w:tcPr>
          <w:p>
            <w:pPr>
              <w:spacing w:after="0"/>
            </w:pPr>
            <w:r>
              <w:rPr>
                <w:rFonts w:ascii="Arial" w:hAnsi="Arial"/>
                <w:b w:val="0"/>
                <w:sz w:val="14"/>
              </w:rPr>
              <w:t>Lower confidence level or unresolved</w:t>
            </w:r>
          </w:p>
        </w:tc>
        <w:tc>
          <w:tcPr>
            <w:tcW w:type="dxa" w:w="2045"/>
          </w:tcPr>
          <w:p>
            <w:pPr>
              <w:spacing w:after="0"/>
            </w:pPr>
            <w:r>
              <w:rPr>
                <w:rFonts w:ascii="Arial" w:hAnsi="Arial"/>
                <w:b w:val="0"/>
                <w:sz w:val="14"/>
              </w:rPr>
              <w:t>Verification attempt log and unresolved issue record</w:t>
            </w:r>
          </w:p>
        </w:tc>
        <w:tc>
          <w:tcPr>
            <w:tcW w:type="dxa" w:w="2045"/>
          </w:tcPr>
          <w:p>
            <w:pPr>
              <w:spacing w:after="0"/>
            </w:pPr>
            <w:r>
              <w:rPr>
                <w:rFonts w:ascii="Arial" w:hAnsi="Arial"/>
                <w:b w:val="0"/>
                <w:sz w:val="14"/>
              </w:rPr>
              <w:t>Preserve uncertainty explicitly</w:t>
            </w:r>
          </w:p>
        </w:tc>
      </w:tr>
    </w:tbl>
    <w:p>
      <w:pPr>
        <w:pStyle w:val="Heading2"/>
      </w:pPr>
      <w:r>
        <w:t>I.6 Source Coverage Matrix Validation Note</w:t>
      </w:r>
    </w:p>
    <w:p>
      <w:pPr>
        <w:keepNext/>
      </w:pPr>
      <w:r>
        <w:rPr>
          <w:b/>
          <w:sz w:val="16"/>
        </w:rPr>
        <w:t>Table T-I-04: Source Coverage Matrix Validation Checklist</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Coverage Area</w:t>
            </w:r>
          </w:p>
        </w:tc>
        <w:tc>
          <w:tcPr>
            <w:tcW w:type="dxa" w:w="2045"/>
          </w:tcPr>
          <w:p>
            <w:pPr>
              <w:spacing w:after="0"/>
            </w:pPr>
            <w:r>
              <w:rPr>
                <w:rFonts w:ascii="Arial" w:hAnsi="Arial"/>
                <w:b/>
                <w:sz w:val="14"/>
              </w:rPr>
              <w:t>Expected Source Type</w:t>
            </w:r>
          </w:p>
        </w:tc>
        <w:tc>
          <w:tcPr>
            <w:tcW w:type="dxa" w:w="2045"/>
          </w:tcPr>
          <w:p>
            <w:pPr>
              <w:spacing w:after="0"/>
            </w:pPr>
            <w:r>
              <w:rPr>
                <w:rFonts w:ascii="Arial" w:hAnsi="Arial"/>
                <w:b/>
                <w:sz w:val="14"/>
              </w:rPr>
              <w:t>Current Status</w:t>
            </w:r>
          </w:p>
        </w:tc>
        <w:tc>
          <w:tcPr>
            <w:tcW w:type="dxa" w:w="2045"/>
          </w:tcPr>
          <w:p>
            <w:pPr>
              <w:spacing w:after="0"/>
            </w:pPr>
            <w:r>
              <w:rPr>
                <w:rFonts w:ascii="Arial" w:hAnsi="Arial"/>
                <w:b/>
                <w:sz w:val="14"/>
              </w:rPr>
              <w:t>Gap</w:t>
            </w:r>
          </w:p>
        </w:tc>
        <w:tc>
          <w:tcPr>
            <w:tcW w:type="dxa" w:w="2045"/>
          </w:tcPr>
          <w:p>
            <w:pPr>
              <w:spacing w:after="0"/>
            </w:pPr>
            <w:r>
              <w:rPr>
                <w:rFonts w:ascii="Arial" w:hAnsi="Arial"/>
                <w:b/>
                <w:sz w:val="14"/>
              </w:rPr>
              <w:t>Publication Follow-up Action</w:t>
            </w:r>
          </w:p>
        </w:tc>
      </w:tr>
      <w:tr>
        <w:tc>
          <w:tcPr>
            <w:tcW w:type="dxa" w:w="2045"/>
          </w:tcPr>
          <w:p>
            <w:pPr>
              <w:spacing w:after="0"/>
            </w:pPr>
            <w:r>
              <w:rPr>
                <w:rFonts w:ascii="Arial" w:hAnsi="Arial"/>
                <w:b w:val="0"/>
                <w:sz w:val="14"/>
              </w:rPr>
              <w:t>Legal baseline claims</w:t>
            </w:r>
          </w:p>
        </w:tc>
        <w:tc>
          <w:tcPr>
            <w:tcW w:type="dxa" w:w="2045"/>
          </w:tcPr>
          <w:p>
            <w:pPr>
              <w:spacing w:after="0"/>
            </w:pPr>
            <w:r>
              <w:rPr>
                <w:rFonts w:ascii="Arial" w:hAnsi="Arial"/>
                <w:b w:val="0"/>
                <w:sz w:val="14"/>
              </w:rPr>
              <w:t>L1 legal / regulatory text</w:t>
            </w:r>
          </w:p>
        </w:tc>
        <w:tc>
          <w:tcPr>
            <w:tcW w:type="dxa" w:w="2045"/>
          </w:tcPr>
          <w:p>
            <w:pPr>
              <w:spacing w:after="0"/>
            </w:pPr>
            <w:r>
              <w:rPr>
                <w:rFonts w:ascii="Arial" w:hAnsi="Arial"/>
                <w:b w:val="0"/>
                <w:sz w:val="14"/>
              </w:rPr>
              <w:t>Referenced in baseline chapters</w:t>
            </w:r>
          </w:p>
        </w:tc>
        <w:tc>
          <w:tcPr>
            <w:tcW w:type="dxa" w:w="2045"/>
          </w:tcPr>
          <w:p>
            <w:pPr>
              <w:spacing w:after="0"/>
            </w:pPr>
            <w:r>
              <w:rPr>
                <w:rFonts w:ascii="Arial" w:hAnsi="Arial"/>
                <w:b w:val="0"/>
                <w:sz w:val="14"/>
              </w:rPr>
              <w:t>Citation rendering and article mapping not globally validated</w:t>
            </w:r>
          </w:p>
        </w:tc>
        <w:tc>
          <w:tcPr>
            <w:tcW w:type="dxa" w:w="2045"/>
          </w:tcPr>
          <w:p>
            <w:pPr>
              <w:spacing w:after="0"/>
            </w:pPr>
            <w:r>
              <w:rPr>
                <w:rFonts w:ascii="Arial" w:hAnsi="Arial"/>
                <w:b w:val="0"/>
                <w:sz w:val="14"/>
              </w:rPr>
              <w:t>Verify all legal citations and claim boundaries</w:t>
            </w:r>
          </w:p>
        </w:tc>
      </w:tr>
      <w:tr>
        <w:tc>
          <w:tcPr>
            <w:tcW w:type="dxa" w:w="2045"/>
          </w:tcPr>
          <w:p>
            <w:pPr>
              <w:spacing w:after="0"/>
            </w:pPr>
            <w:r>
              <w:rPr>
                <w:rFonts w:ascii="Arial" w:hAnsi="Arial"/>
                <w:b w:val="0"/>
                <w:sz w:val="14"/>
              </w:rPr>
              <w:t>Standards baseline claims</w:t>
            </w:r>
          </w:p>
        </w:tc>
        <w:tc>
          <w:tcPr>
            <w:tcW w:type="dxa" w:w="2045"/>
          </w:tcPr>
          <w:p>
            <w:pPr>
              <w:spacing w:after="0"/>
            </w:pPr>
            <w:r>
              <w:rPr>
                <w:rFonts w:ascii="Arial" w:hAnsi="Arial"/>
                <w:b w:val="0"/>
                <w:sz w:val="14"/>
              </w:rPr>
              <w:t>L1 formal standards</w:t>
            </w:r>
          </w:p>
        </w:tc>
        <w:tc>
          <w:tcPr>
            <w:tcW w:type="dxa" w:w="2045"/>
          </w:tcPr>
          <w:p>
            <w:pPr>
              <w:spacing w:after="0"/>
            </w:pPr>
            <w:r>
              <w:rPr>
                <w:rFonts w:ascii="Arial" w:hAnsi="Arial"/>
                <w:b w:val="0"/>
                <w:sz w:val="14"/>
              </w:rPr>
              <w:t>Referenced in baseline chapters</w:t>
            </w:r>
          </w:p>
        </w:tc>
        <w:tc>
          <w:tcPr>
            <w:tcW w:type="dxa" w:w="2045"/>
          </w:tcPr>
          <w:p>
            <w:pPr>
              <w:spacing w:after="0"/>
            </w:pPr>
            <w:r>
              <w:rPr>
                <w:rFonts w:ascii="Arial" w:hAnsi="Arial"/>
                <w:b w:val="0"/>
                <w:sz w:val="14"/>
              </w:rPr>
              <w:t>Citation rendering and standard references not globally validated</w:t>
            </w:r>
          </w:p>
        </w:tc>
        <w:tc>
          <w:tcPr>
            <w:tcW w:type="dxa" w:w="2045"/>
          </w:tcPr>
          <w:p>
            <w:pPr>
              <w:spacing w:after="0"/>
            </w:pPr>
            <w:r>
              <w:rPr>
                <w:rFonts w:ascii="Arial" w:hAnsi="Arial"/>
                <w:b w:val="0"/>
                <w:sz w:val="14"/>
              </w:rPr>
              <w:t>Verify all standards citations</w:t>
            </w:r>
          </w:p>
        </w:tc>
      </w:tr>
      <w:tr>
        <w:tc>
          <w:tcPr>
            <w:tcW w:type="dxa" w:w="2045"/>
          </w:tcPr>
          <w:p>
            <w:pPr>
              <w:spacing w:after="0"/>
            </w:pPr>
            <w:r>
              <w:rPr>
                <w:rFonts w:ascii="Arial" w:hAnsi="Arial"/>
                <w:b w:val="0"/>
                <w:sz w:val="14"/>
              </w:rPr>
              <w:t>Product capability claims</w:t>
            </w:r>
          </w:p>
        </w:tc>
        <w:tc>
          <w:tcPr>
            <w:tcW w:type="dxa" w:w="2045"/>
          </w:tcPr>
          <w:p>
            <w:pPr>
              <w:spacing w:after="0"/>
            </w:pPr>
            <w:r>
              <w:rPr>
                <w:rFonts w:ascii="Arial" w:hAnsi="Arial"/>
                <w:b w:val="0"/>
                <w:sz w:val="14"/>
              </w:rPr>
              <w:t>L2 product documentation plus L5 mapping where needed</w:t>
            </w:r>
          </w:p>
        </w:tc>
        <w:tc>
          <w:tcPr>
            <w:tcW w:type="dxa" w:w="2045"/>
          </w:tcPr>
          <w:p>
            <w:pPr>
              <w:spacing w:after="0"/>
            </w:pPr>
            <w:r>
              <w:rPr>
                <w:rFonts w:ascii="Arial" w:hAnsi="Arial"/>
                <w:b w:val="0"/>
                <w:sz w:val="14"/>
              </w:rPr>
              <w:t>Claim-level source binding applied</w:t>
            </w:r>
          </w:p>
        </w:tc>
        <w:tc>
          <w:tcPr>
            <w:tcW w:type="dxa" w:w="2045"/>
          </w:tcPr>
          <w:p>
            <w:pPr>
              <w:spacing w:after="0"/>
            </w:pPr>
            <w:r>
              <w:rPr>
                <w:rFonts w:ascii="Arial" w:hAnsi="Arial"/>
                <w:b w:val="0"/>
                <w:sz w:val="14"/>
              </w:rPr>
              <w:t>Exact page-level citation pinning remains for publication-candidate QA</w:t>
            </w:r>
          </w:p>
        </w:tc>
        <w:tc>
          <w:tcPr>
            <w:tcW w:type="dxa" w:w="2045"/>
          </w:tcPr>
          <w:p>
            <w:pPr>
              <w:spacing w:after="0"/>
            </w:pPr>
            <w:r>
              <w:rPr>
                <w:rFonts w:ascii="Arial" w:hAnsi="Arial"/>
                <w:b w:val="0"/>
                <w:sz w:val="14"/>
              </w:rPr>
              <w:t>Preserve narrowed claims and L5 downgrades during publication QA</w:t>
            </w:r>
          </w:p>
        </w:tc>
      </w:tr>
      <w:tr>
        <w:tc>
          <w:tcPr>
            <w:tcW w:type="dxa" w:w="2045"/>
          </w:tcPr>
          <w:p>
            <w:pPr>
              <w:spacing w:after="0"/>
            </w:pPr>
            <w:r>
              <w:rPr>
                <w:rFonts w:ascii="Arial" w:hAnsi="Arial"/>
                <w:b w:val="0"/>
                <w:sz w:val="14"/>
              </w:rPr>
              <w:t>MPLP protocol mapping</w:t>
            </w:r>
          </w:p>
        </w:tc>
        <w:tc>
          <w:tcPr>
            <w:tcW w:type="dxa" w:w="2045"/>
          </w:tcPr>
          <w:p>
            <w:pPr>
              <w:spacing w:after="0"/>
            </w:pPr>
            <w:r>
              <w:rPr>
                <w:rFonts w:ascii="Arial" w:hAnsi="Arial"/>
                <w:b w:val="0"/>
                <w:sz w:val="14"/>
              </w:rPr>
              <w:t>L2 protocol docs plus disclosed author relationship</w:t>
            </w:r>
          </w:p>
        </w:tc>
        <w:tc>
          <w:tcPr>
            <w:tcW w:type="dxa" w:w="2045"/>
          </w:tcPr>
          <w:p>
            <w:pPr>
              <w:spacing w:after="0"/>
            </w:pPr>
            <w:r>
              <w:rPr>
                <w:rFonts w:ascii="Arial" w:hAnsi="Arial"/>
                <w:b w:val="0"/>
                <w:sz w:val="14"/>
              </w:rPr>
              <w:t>Official docs entry point located; mapping remains L2 + L5</w:t>
            </w:r>
          </w:p>
        </w:tc>
        <w:tc>
          <w:tcPr>
            <w:tcW w:type="dxa" w:w="2045"/>
          </w:tcPr>
          <w:p>
            <w:pPr>
              <w:spacing w:after="0"/>
            </w:pPr>
            <w:r>
              <w:rPr>
                <w:rFonts w:ascii="Arial" w:hAnsi="Arial"/>
                <w:b w:val="0"/>
                <w:sz w:val="14"/>
              </w:rPr>
              <w:t>Version/citation rendering still requires final proofing</w:t>
            </w:r>
          </w:p>
        </w:tc>
        <w:tc>
          <w:tcPr>
            <w:tcW w:type="dxa" w:w="2045"/>
          </w:tcPr>
          <w:p>
            <w:pPr>
              <w:spacing w:after="0"/>
            </w:pPr>
            <w:r>
              <w:rPr>
                <w:rFonts w:ascii="Arial" w:hAnsi="Arial"/>
                <w:b w:val="0"/>
                <w:sz w:val="14"/>
              </w:rPr>
              <w:t>Preserve conflict-of-interest and implementation-proof boundary</w:t>
            </w:r>
          </w:p>
        </w:tc>
      </w:tr>
      <w:tr>
        <w:tc>
          <w:tcPr>
            <w:tcW w:type="dxa" w:w="2045"/>
          </w:tcPr>
          <w:p>
            <w:pPr>
              <w:spacing w:after="0"/>
            </w:pPr>
            <w:r>
              <w:rPr>
                <w:rFonts w:ascii="Arial" w:hAnsi="Arial"/>
                <w:b w:val="0"/>
                <w:sz w:val="14"/>
              </w:rPr>
              <w:t>Validation Lab discussion</w:t>
            </w:r>
          </w:p>
        </w:tc>
        <w:tc>
          <w:tcPr>
            <w:tcW w:type="dxa" w:w="2045"/>
          </w:tcPr>
          <w:p>
            <w:pPr>
              <w:spacing w:after="0"/>
            </w:pPr>
            <w:r>
              <w:rPr>
                <w:rFonts w:ascii="Arial" w:hAnsi="Arial"/>
                <w:b w:val="0"/>
                <w:sz w:val="14"/>
              </w:rPr>
              <w:t>L2 public entry point plus L5 methodology interpretation</w:t>
            </w:r>
          </w:p>
        </w:tc>
        <w:tc>
          <w:tcPr>
            <w:tcW w:type="dxa" w:w="2045"/>
          </w:tcPr>
          <w:p>
            <w:pPr>
              <w:spacing w:after="0"/>
            </w:pPr>
            <w:r>
              <w:rPr>
                <w:rFonts w:ascii="Arial" w:hAnsi="Arial"/>
                <w:b w:val="0"/>
                <w:sz w:val="14"/>
              </w:rPr>
              <w:t>Public entry point located; methodology-specific support remains boundary-limited</w:t>
            </w:r>
          </w:p>
        </w:tc>
        <w:tc>
          <w:tcPr>
            <w:tcW w:type="dxa" w:w="2045"/>
          </w:tcPr>
          <w:p>
            <w:pPr>
              <w:spacing w:after="0"/>
            </w:pPr>
            <w:r>
              <w:rPr>
                <w:rFonts w:ascii="Arial" w:hAnsi="Arial"/>
                <w:b w:val="0"/>
                <w:sz w:val="14"/>
              </w:rPr>
              <w:t>Exact methodology citation may remain unresolved</w:t>
            </w:r>
          </w:p>
        </w:tc>
        <w:tc>
          <w:tcPr>
            <w:tcW w:type="dxa" w:w="2045"/>
          </w:tcPr>
          <w:p>
            <w:pPr>
              <w:spacing w:after="0"/>
            </w:pPr>
            <w:r>
              <w:rPr>
                <w:rFonts w:ascii="Arial" w:hAnsi="Arial"/>
                <w:b w:val="0"/>
                <w:sz w:val="14"/>
              </w:rPr>
              <w:t>Keep non-certifying boundary and do not promote methodology claims</w:t>
            </w:r>
          </w:p>
        </w:tc>
      </w:tr>
      <w:tr>
        <w:tc>
          <w:tcPr>
            <w:tcW w:type="dxa" w:w="2045"/>
          </w:tcPr>
          <w:p>
            <w:pPr>
              <w:spacing w:after="0"/>
            </w:pPr>
            <w:r>
              <w:rPr>
                <w:rFonts w:ascii="Arial" w:hAnsi="Arial"/>
                <w:b w:val="0"/>
                <w:sz w:val="14"/>
              </w:rPr>
              <w:t>Appendix G provisional assessments</w:t>
            </w:r>
          </w:p>
        </w:tc>
        <w:tc>
          <w:tcPr>
            <w:tcW w:type="dxa" w:w="2045"/>
          </w:tcPr>
          <w:p>
            <w:pPr>
              <w:spacing w:after="0"/>
            </w:pPr>
            <w:r>
              <w:rPr>
                <w:rFonts w:ascii="Arial" w:hAnsi="Arial"/>
                <w:b w:val="0"/>
                <w:sz w:val="14"/>
              </w:rPr>
              <w:t>L2 product docs and L5 inference</w:t>
            </w:r>
          </w:p>
        </w:tc>
        <w:tc>
          <w:tcPr>
            <w:tcW w:type="dxa" w:w="2045"/>
          </w:tcPr>
          <w:p>
            <w:pPr>
              <w:spacing w:after="0"/>
            </w:pPr>
            <w:r>
              <w:rPr>
                <w:rFonts w:ascii="Arial" w:hAnsi="Arial"/>
                <w:b w:val="0"/>
                <w:sz w:val="14"/>
              </w:rPr>
              <w:t>Revalidated provisional</w:t>
            </w:r>
          </w:p>
        </w:tc>
        <w:tc>
          <w:tcPr>
            <w:tcW w:type="dxa" w:w="2045"/>
          </w:tcPr>
          <w:p>
            <w:pPr>
              <w:spacing w:after="0"/>
            </w:pPr>
            <w:r>
              <w:rPr>
                <w:rFonts w:ascii="Arial" w:hAnsi="Arial"/>
                <w:b w:val="0"/>
                <w:sz w:val="14"/>
              </w:rPr>
              <w:t>Final assessment remains non-final and non-ranking</w:t>
            </w:r>
          </w:p>
        </w:tc>
        <w:tc>
          <w:tcPr>
            <w:tcW w:type="dxa" w:w="2045"/>
          </w:tcPr>
          <w:p>
            <w:pPr>
              <w:spacing w:after="0"/>
            </w:pPr>
            <w:r>
              <w:rPr>
                <w:rFonts w:ascii="Arial" w:hAnsi="Arial"/>
                <w:b w:val="0"/>
                <w:sz w:val="14"/>
              </w:rPr>
              <w:t>Preserve no-score/no-ranking posture and page-level citation needs</w:t>
            </w:r>
          </w:p>
        </w:tc>
      </w:tr>
      <w:tr>
        <w:tc>
          <w:tcPr>
            <w:tcW w:type="dxa" w:w="2045"/>
          </w:tcPr>
          <w:p>
            <w:pPr>
              <w:spacing w:after="0"/>
            </w:pPr>
            <w:r>
              <w:rPr>
                <w:rFonts w:ascii="Arial" w:hAnsi="Arial"/>
                <w:b w:val="0"/>
                <w:sz w:val="14"/>
              </w:rPr>
              <w:t>Citation inventory</w:t>
            </w:r>
          </w:p>
        </w:tc>
        <w:tc>
          <w:tcPr>
            <w:tcW w:type="dxa" w:w="2045"/>
          </w:tcPr>
          <w:p>
            <w:pPr>
              <w:spacing w:after="0"/>
            </w:pPr>
            <w:r>
              <w:rPr>
                <w:rFonts w:ascii="Arial" w:hAnsi="Arial"/>
                <w:b w:val="0"/>
                <w:sz w:val="14"/>
              </w:rPr>
              <w:t>Internal ledger</w:t>
            </w:r>
          </w:p>
        </w:tc>
        <w:tc>
          <w:tcPr>
            <w:tcW w:type="dxa" w:w="2045"/>
          </w:tcPr>
          <w:p>
            <w:pPr>
              <w:spacing w:after="0"/>
            </w:pPr>
            <w:r>
              <w:rPr>
                <w:rFonts w:ascii="Arial" w:hAnsi="Arial"/>
                <w:b w:val="0"/>
                <w:sz w:val="14"/>
              </w:rPr>
              <w:t>PHASE 1C CLAIM-LEVEL REVIEWED — PROVISIONAL SOURCE BINDING COMPLETE</w:t>
            </w:r>
          </w:p>
        </w:tc>
        <w:tc>
          <w:tcPr>
            <w:tcW w:type="dxa" w:w="2045"/>
          </w:tcPr>
          <w:p>
            <w:pPr>
              <w:spacing w:after="0"/>
            </w:pPr>
            <w:r>
              <w:rPr>
                <w:rFonts w:ascii="Arial" w:hAnsi="Arial"/>
                <w:b w:val="0"/>
                <w:sz w:val="14"/>
              </w:rPr>
              <w:t>Exact citation pages and rendering not yet verified</w:t>
            </w:r>
          </w:p>
        </w:tc>
        <w:tc>
          <w:tcPr>
            <w:tcW w:type="dxa" w:w="2045"/>
          </w:tcPr>
          <w:p>
            <w:pPr>
              <w:spacing w:after="0"/>
            </w:pPr>
            <w:r>
              <w:rPr>
                <w:rFonts w:ascii="Arial" w:hAnsi="Arial"/>
                <w:b w:val="0"/>
                <w:sz w:val="14"/>
              </w:rPr>
              <w:t>Pin page-level citations before publication candidate</w:t>
            </w:r>
          </w:p>
        </w:tc>
      </w:tr>
      <w:tr>
        <w:tc>
          <w:tcPr>
            <w:tcW w:type="dxa" w:w="2045"/>
          </w:tcPr>
          <w:p>
            <w:pPr>
              <w:spacing w:after="0"/>
            </w:pPr>
            <w:r>
              <w:rPr>
                <w:rFonts w:ascii="Arial" w:hAnsi="Arial"/>
                <w:b w:val="0"/>
                <w:sz w:val="14"/>
              </w:rPr>
              <w:t>Source coverage matrix</w:t>
            </w:r>
          </w:p>
        </w:tc>
        <w:tc>
          <w:tcPr>
            <w:tcW w:type="dxa" w:w="2045"/>
          </w:tcPr>
          <w:p>
            <w:pPr>
              <w:spacing w:after="0"/>
            </w:pPr>
            <w:r>
              <w:rPr>
                <w:rFonts w:ascii="Arial" w:hAnsi="Arial"/>
                <w:b w:val="0"/>
                <w:sz w:val="14"/>
              </w:rPr>
              <w:t>Internal ledger</w:t>
            </w:r>
          </w:p>
        </w:tc>
        <w:tc>
          <w:tcPr>
            <w:tcW w:type="dxa" w:w="2045"/>
          </w:tcPr>
          <w:p>
            <w:pPr>
              <w:spacing w:after="0"/>
            </w:pPr>
            <w:r>
              <w:rPr>
                <w:rFonts w:ascii="Arial" w:hAnsi="Arial"/>
                <w:b w:val="0"/>
                <w:sz w:val="14"/>
              </w:rPr>
              <w:t>PHASE 1C CLAIM-LEVEL REVIEWED — PROVISIONAL SOURCE BINDING COMPLETE</w:t>
            </w:r>
          </w:p>
        </w:tc>
        <w:tc>
          <w:tcPr>
            <w:tcW w:type="dxa" w:w="2045"/>
          </w:tcPr>
          <w:p>
            <w:pPr>
              <w:spacing w:after="0"/>
            </w:pPr>
            <w:r>
              <w:rPr>
                <w:rFonts w:ascii="Arial" w:hAnsi="Arial"/>
                <w:b w:val="0"/>
                <w:sz w:val="14"/>
              </w:rPr>
              <w:t>Citation rendering and claim-label preservation not yet verified</w:t>
            </w:r>
          </w:p>
        </w:tc>
        <w:tc>
          <w:tcPr>
            <w:tcW w:type="dxa" w:w="2045"/>
          </w:tcPr>
          <w:p>
            <w:pPr>
              <w:spacing w:after="0"/>
            </w:pPr>
            <w:r>
              <w:rPr>
                <w:rFonts w:ascii="Arial" w:hAnsi="Arial"/>
                <w:b w:val="0"/>
                <w:sz w:val="14"/>
              </w:rPr>
              <w:t>Verify source labels during Phase 1D/publication QA</w:t>
            </w:r>
          </w:p>
        </w:tc>
      </w:tr>
    </w:tbl>
    <w:p>
      <w:pPr>
        <w:spacing w:after="56"/>
      </w:pPr>
      <w:r>
        <w:t>The source coverage matrix has been updated during Phase 1C as a coverage ledger and during Phase 1C follow-up as a claim-level source-binding ledger. Publication-candidate QA still requires page-level citation pinning and rendering checks. Appendix G remains revalidated provisional, not final.</w:t>
      </w:r>
    </w:p>
    <w:p>
      <w:pPr>
        <w:pStyle w:val="Heading1"/>
      </w:pPr>
      <w:r>
        <w:t>Appendix J — v0.3.2 Gap Closure Coverage Matrix</w:t>
      </w:r>
    </w:p>
    <w:p>
      <w:pPr>
        <w:spacing w:after="56"/>
      </w:pPr>
      <w:r>
        <w:t>Version: v0.3.2-FRC-R3</w:t>
      </w:r>
    </w:p>
    <w:p>
      <w:pPr>
        <w:pStyle w:val="Heading2"/>
      </w:pPr>
      <w:r>
        <w:t>J.0 Gap Closure Boundary</w:t>
      </w:r>
    </w:p>
    <w:p>
      <w:pPr>
        <w:spacing w:after="56"/>
      </w:pPr>
      <w:r>
        <w:t>This appendix provides a governance closure matrix showing how known v0.3.1/v0.3.2 reconstruction gaps were addressed, structurally closed, corrected by later patch, historically deferred to Phase 1C, or deferred to Phase 1D publication QA.</w:t>
      </w:r>
    </w:p>
    <w:p>
      <w:pPr>
        <w:spacing w:after="56"/>
      </w:pPr>
      <w:r>
        <w:t>This appendix does not claim that all issues are fully resolved. It distinguishes content closure from source validation, editorial cleanup, and publication layout QA.</w:t>
      </w:r>
    </w:p>
    <w:p>
      <w:pPr>
        <w:spacing w:after="56"/>
      </w:pPr>
      <w:r>
        <w:t>Closure status values:</w:t>
      </w:r>
    </w:p>
    <w:p>
      <w:pPr>
        <w:pStyle w:val="ListBullet"/>
        <w:spacing w:after="56"/>
      </w:pPr>
      <w:r>
        <w:t>Closed</w:t>
      </w:r>
    </w:p>
    <w:p>
      <w:pPr>
        <w:pStyle w:val="ListBullet"/>
        <w:spacing w:after="56"/>
      </w:pPr>
      <w:r>
        <w:t>Structurally Closed</w:t>
      </w:r>
    </w:p>
    <w:p>
      <w:pPr>
        <w:pStyle w:val="ListBullet"/>
        <w:spacing w:after="56"/>
      </w:pPr>
      <w:r>
        <w:t>Corrected by Later Patch</w:t>
      </w:r>
    </w:p>
    <w:p>
      <w:pPr>
        <w:pStyle w:val="ListBullet"/>
        <w:spacing w:after="56"/>
      </w:pPr>
      <w:r>
        <w:t>Formerly Deferred to Phase 1C — Closed / Superseded by Phase 1C follow-up</w:t>
      </w:r>
    </w:p>
    <w:p>
      <w:pPr>
        <w:pStyle w:val="ListBullet"/>
        <w:spacing w:after="56"/>
      </w:pPr>
      <w:r>
        <w:t>Deferred to Phase 1D</w:t>
      </w:r>
    </w:p>
    <w:p>
      <w:pPr>
        <w:pStyle w:val="ListBullet"/>
        <w:spacing w:after="56"/>
      </w:pPr>
      <w:r>
        <w:t>Candidate Issue to Verify</w:t>
      </w:r>
    </w:p>
    <w:p>
      <w:pPr>
        <w:pStyle w:val="Heading2"/>
      </w:pPr>
      <w:r>
        <w:t>J.1 Gap Categories</w:t>
      </w:r>
    </w:p>
    <w:p>
      <w:pPr>
        <w:spacing w:after="56"/>
      </w:pPr>
      <w:r>
        <w:t>Gap categories used in this appendix:</w:t>
      </w:r>
    </w:p>
    <w:p>
      <w:pPr>
        <w:pStyle w:val="ListNumber"/>
        <w:spacing w:after="56"/>
      </w:pPr>
      <w:r>
        <w:t>Content reconstruction gaps: Missing chapters, appendices, tables, or required sections.</w:t>
      </w:r>
    </w:p>
    <w:p>
      <w:pPr>
        <w:pStyle w:val="ListNumber"/>
        <w:spacing w:after="56"/>
      </w:pPr>
      <w:r>
        <w:t>Methodology consistency gaps: Evidence multipliers, scoring formulas, score-5 wording, and composite weights.</w:t>
      </w:r>
    </w:p>
    <w:p>
      <w:pPr>
        <w:pStyle w:val="ListNumber"/>
        <w:spacing w:after="56"/>
      </w:pPr>
      <w:r>
        <w:t>Boundary discipline gaps: Overclaim risk, vendor ordering, certification implication, legal compliance implication, and procurement misuse.</w:t>
      </w:r>
    </w:p>
    <w:p>
      <w:pPr>
        <w:pStyle w:val="ListNumber"/>
        <w:spacing w:after="56"/>
      </w:pPr>
      <w:r>
        <w:t>Source governance gaps: Citation inventory status, L2 documentation revalidation, evidence level annotation, URL validation, and source coverage matrix validation.</w:t>
      </w:r>
    </w:p>
    <w:p>
      <w:pPr>
        <w:pStyle w:val="ListNumber"/>
        <w:spacing w:after="56"/>
      </w:pPr>
      <w:r>
        <w:t>Layout and publication gaps: Wide-table handling, figure numbering, captions, page breaks, and final DOCX/PDF QA.</w:t>
      </w:r>
    </w:p>
    <w:p>
      <w:pPr>
        <w:pStyle w:val="Heading2"/>
      </w:pPr>
      <w:r>
        <w:t>J.2 Phase 1B Gap Closure Matrix</w:t>
      </w:r>
    </w:p>
    <w:p>
      <w:pPr>
        <w:keepNext/>
      </w:pPr>
      <w:r>
        <w:rPr>
          <w:b/>
          <w:sz w:val="16"/>
        </w:rPr>
        <w:t>Table T-J-01: v0.3.2 Gap Closure Coverage Matrix</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Gap ID</w:t>
            </w:r>
          </w:p>
        </w:tc>
        <w:tc>
          <w:tcPr>
            <w:tcW w:type="dxa" w:w="1704"/>
          </w:tcPr>
          <w:p>
            <w:pPr>
              <w:spacing w:after="0"/>
            </w:pPr>
            <w:r>
              <w:rPr>
                <w:rFonts w:ascii="Arial" w:hAnsi="Arial"/>
                <w:b/>
                <w:sz w:val="12"/>
              </w:rPr>
              <w:t>Gap Description</w:t>
            </w:r>
          </w:p>
        </w:tc>
        <w:tc>
          <w:tcPr>
            <w:tcW w:type="dxa" w:w="1704"/>
          </w:tcPr>
          <w:p>
            <w:pPr>
              <w:spacing w:after="0"/>
            </w:pPr>
            <w:r>
              <w:rPr>
                <w:rFonts w:ascii="Arial" w:hAnsi="Arial"/>
                <w:b/>
                <w:sz w:val="12"/>
              </w:rPr>
              <w:t>Origin Phase</w:t>
            </w:r>
          </w:p>
        </w:tc>
        <w:tc>
          <w:tcPr>
            <w:tcW w:type="dxa" w:w="1704"/>
          </w:tcPr>
          <w:p>
            <w:pPr>
              <w:spacing w:after="0"/>
            </w:pPr>
            <w:r>
              <w:rPr>
                <w:rFonts w:ascii="Arial" w:hAnsi="Arial"/>
                <w:b/>
                <w:sz w:val="12"/>
              </w:rPr>
              <w:t>Closure Status</w:t>
            </w:r>
          </w:p>
        </w:tc>
        <w:tc>
          <w:tcPr>
            <w:tcW w:type="dxa" w:w="1704"/>
          </w:tcPr>
          <w:p>
            <w:pPr>
              <w:spacing w:after="0"/>
            </w:pPr>
            <w:r>
              <w:rPr>
                <w:rFonts w:ascii="Arial" w:hAnsi="Arial"/>
                <w:b/>
                <w:sz w:val="12"/>
              </w:rPr>
              <w:t>Closure Evidence</w:t>
            </w:r>
          </w:p>
        </w:tc>
        <w:tc>
          <w:tcPr>
            <w:tcW w:type="dxa" w:w="1704"/>
          </w:tcPr>
          <w:p>
            <w:pPr>
              <w:spacing w:after="0"/>
            </w:pPr>
            <w:r>
              <w:rPr>
                <w:rFonts w:ascii="Arial" w:hAnsi="Arial"/>
                <w:b/>
                <w:sz w:val="12"/>
              </w:rPr>
              <w:t>Remaining Action</w:t>
            </w:r>
          </w:p>
        </w:tc>
      </w:tr>
      <w:tr>
        <w:tc>
          <w:tcPr>
            <w:tcW w:type="dxa" w:w="1704"/>
          </w:tcPr>
          <w:p>
            <w:pPr>
              <w:spacing w:after="0"/>
            </w:pPr>
            <w:r>
              <w:rPr>
                <w:rFonts w:ascii="Arial" w:hAnsi="Arial"/>
                <w:b w:val="0"/>
                <w:sz w:val="12"/>
              </w:rPr>
              <w:t>G-J-01</w:t>
            </w:r>
          </w:p>
        </w:tc>
        <w:tc>
          <w:tcPr>
            <w:tcW w:type="dxa" w:w="1704"/>
          </w:tcPr>
          <w:p>
            <w:pPr>
              <w:spacing w:after="0"/>
            </w:pPr>
            <w:r>
              <w:rPr>
                <w:rFonts w:ascii="Arial" w:hAnsi="Arial"/>
                <w:b w:val="0"/>
                <w:sz w:val="12"/>
              </w:rPr>
              <w:t>R2 PDF/DOCX reconstruction introduced layout and extraction instability</w:t>
            </w:r>
          </w:p>
        </w:tc>
        <w:tc>
          <w:tcPr>
            <w:tcW w:type="dxa" w:w="1704"/>
          </w:tcPr>
          <w:p>
            <w:pPr>
              <w:spacing w:after="0"/>
            </w:pPr>
            <w:r>
              <w:rPr>
                <w:rFonts w:ascii="Arial" w:hAnsi="Arial"/>
                <w:b w:val="0"/>
                <w:sz w:val="12"/>
              </w:rPr>
              <w:t>R2 carryover</w:t>
            </w:r>
          </w:p>
        </w:tc>
        <w:tc>
          <w:tcPr>
            <w:tcW w:type="dxa" w:w="1704"/>
          </w:tcPr>
          <w:p>
            <w:pPr>
              <w:spacing w:after="0"/>
            </w:pPr>
            <w:r>
              <w:rPr>
                <w:rFonts w:ascii="Arial" w:hAnsi="Arial"/>
                <w:b w:val="0"/>
                <w:sz w:val="12"/>
              </w:rPr>
              <w:t>Structurally Closed</w:t>
            </w:r>
          </w:p>
        </w:tc>
        <w:tc>
          <w:tcPr>
            <w:tcW w:type="dxa" w:w="1704"/>
          </w:tcPr>
          <w:p>
            <w:pPr>
              <w:spacing w:after="0"/>
            </w:pPr>
            <w:r>
              <w:rPr>
                <w:rFonts w:ascii="Arial" w:hAnsi="Arial"/>
                <w:b w:val="0"/>
                <w:sz w:val="12"/>
              </w:rPr>
              <w:t>Markdown-first reconstruction strategy adopted in Phase 1A</w:t>
            </w:r>
          </w:p>
        </w:tc>
        <w:tc>
          <w:tcPr>
            <w:tcW w:type="dxa" w:w="1704"/>
          </w:tcPr>
          <w:p>
            <w:pPr>
              <w:spacing w:after="0"/>
            </w:pPr>
            <w:r>
              <w:rPr>
                <w:rFonts w:ascii="Arial" w:hAnsi="Arial"/>
                <w:b w:val="0"/>
                <w:sz w:val="12"/>
              </w:rPr>
              <w:t>Phase 1D publication QA remains</w:t>
            </w:r>
          </w:p>
        </w:tc>
      </w:tr>
      <w:tr>
        <w:tc>
          <w:tcPr>
            <w:tcW w:type="dxa" w:w="1704"/>
          </w:tcPr>
          <w:p>
            <w:pPr>
              <w:spacing w:after="0"/>
            </w:pPr>
            <w:r>
              <w:rPr>
                <w:rFonts w:ascii="Arial" w:hAnsi="Arial"/>
                <w:b w:val="0"/>
                <w:sz w:val="12"/>
              </w:rPr>
              <w:t>G-J-02</w:t>
            </w:r>
          </w:p>
        </w:tc>
        <w:tc>
          <w:tcPr>
            <w:tcW w:type="dxa" w:w="1704"/>
          </w:tcPr>
          <w:p>
            <w:pPr>
              <w:spacing w:after="0"/>
            </w:pPr>
            <w:r>
              <w:rPr>
                <w:rFonts w:ascii="Arial" w:hAnsi="Arial"/>
                <w:b w:val="0"/>
                <w:sz w:val="12"/>
              </w:rPr>
              <w:t>Body chapters 1-18 incomplete in clean source</w:t>
            </w:r>
          </w:p>
        </w:tc>
        <w:tc>
          <w:tcPr>
            <w:tcW w:type="dxa" w:w="1704"/>
          </w:tcPr>
          <w:p>
            <w:pPr>
              <w:spacing w:after="0"/>
            </w:pPr>
            <w:r>
              <w:rPr>
                <w:rFonts w:ascii="Arial" w:hAnsi="Arial"/>
                <w:b w:val="0"/>
                <w:sz w:val="12"/>
              </w:rPr>
              <w:t>Phase 1A/1B</w:t>
            </w:r>
          </w:p>
        </w:tc>
        <w:tc>
          <w:tcPr>
            <w:tcW w:type="dxa" w:w="1704"/>
          </w:tcPr>
          <w:p>
            <w:pPr>
              <w:spacing w:after="0"/>
            </w:pPr>
            <w:r>
              <w:rPr>
                <w:rFonts w:ascii="Arial" w:hAnsi="Arial"/>
                <w:b w:val="0"/>
                <w:sz w:val="12"/>
              </w:rPr>
              <w:t>Closed</w:t>
            </w:r>
          </w:p>
        </w:tc>
        <w:tc>
          <w:tcPr>
            <w:tcW w:type="dxa" w:w="1704"/>
          </w:tcPr>
          <w:p>
            <w:pPr>
              <w:spacing w:after="0"/>
            </w:pPr>
            <w:r>
              <w:rPr>
                <w:rFonts w:ascii="Arial" w:hAnsi="Arial"/>
                <w:b w:val="0"/>
                <w:sz w:val="12"/>
              </w:rPr>
              <w:t>Chapters 1-18 filled across Phase 1A and Phase 1B-1 through 1B-7</w:t>
            </w:r>
          </w:p>
        </w:tc>
        <w:tc>
          <w:tcPr>
            <w:tcW w:type="dxa" w:w="1704"/>
          </w:tcPr>
          <w:p>
            <w:pPr>
              <w:spacing w:after="0"/>
            </w:pPr>
            <w:r>
              <w:rPr>
                <w:rFonts w:ascii="Arial" w:hAnsi="Arial"/>
                <w:b w:val="0"/>
                <w:sz w:val="12"/>
              </w:rPr>
              <w:t>Phase 1C editorial consistency check completed; final proof remains</w:t>
            </w:r>
          </w:p>
        </w:tc>
      </w:tr>
      <w:tr>
        <w:tc>
          <w:tcPr>
            <w:tcW w:type="dxa" w:w="1704"/>
          </w:tcPr>
          <w:p>
            <w:pPr>
              <w:spacing w:after="0"/>
            </w:pPr>
            <w:r>
              <w:rPr>
                <w:rFonts w:ascii="Arial" w:hAnsi="Arial"/>
                <w:b w:val="0"/>
                <w:sz w:val="12"/>
              </w:rPr>
              <w:t>G-J-03</w:t>
            </w:r>
          </w:p>
        </w:tc>
        <w:tc>
          <w:tcPr>
            <w:tcW w:type="dxa" w:w="1704"/>
          </w:tcPr>
          <w:p>
            <w:pPr>
              <w:spacing w:after="0"/>
            </w:pPr>
            <w:r>
              <w:rPr>
                <w:rFonts w:ascii="Arial" w:hAnsi="Arial"/>
                <w:b w:val="0"/>
                <w:sz w:val="12"/>
              </w:rPr>
              <w:t>Appendices A-D missing from clean source</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Appendices A-D filled and corrected by Phase 1B-8C</w:t>
            </w:r>
          </w:p>
        </w:tc>
        <w:tc>
          <w:tcPr>
            <w:tcW w:type="dxa" w:w="1704"/>
          </w:tcPr>
          <w:p>
            <w:pPr>
              <w:spacing w:after="0"/>
            </w:pPr>
            <w:r>
              <w:rPr>
                <w:rFonts w:ascii="Arial" w:hAnsi="Arial"/>
                <w:b w:val="0"/>
                <w:sz w:val="12"/>
              </w:rPr>
              <w:t>Phase 1C source review completed; Phase 1D layout QA remains</w:t>
            </w:r>
          </w:p>
        </w:tc>
      </w:tr>
      <w:tr>
        <w:tc>
          <w:tcPr>
            <w:tcW w:type="dxa" w:w="1704"/>
          </w:tcPr>
          <w:p>
            <w:pPr>
              <w:spacing w:after="0"/>
            </w:pPr>
            <w:r>
              <w:rPr>
                <w:rFonts w:ascii="Arial" w:hAnsi="Arial"/>
                <w:b w:val="0"/>
                <w:sz w:val="12"/>
              </w:rPr>
              <w:t>G-J-04</w:t>
            </w:r>
          </w:p>
        </w:tc>
        <w:tc>
          <w:tcPr>
            <w:tcW w:type="dxa" w:w="1704"/>
          </w:tcPr>
          <w:p>
            <w:pPr>
              <w:spacing w:after="0"/>
            </w:pPr>
            <w:r>
              <w:rPr>
                <w:rFonts w:ascii="Arial" w:hAnsi="Arial"/>
                <w:b w:val="0"/>
                <w:sz w:val="12"/>
              </w:rPr>
              <w:t>Appendix B evidence multipliers and composite weights inconsistent with canonical method</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1B-8C methodology correction</w:t>
            </w:r>
          </w:p>
        </w:tc>
        <w:tc>
          <w:tcPr>
            <w:tcW w:type="dxa" w:w="1704"/>
          </w:tcPr>
          <w:p>
            <w:pPr>
              <w:spacing w:after="0"/>
            </w:pPr>
            <w:r>
              <w:rPr>
                <w:rFonts w:ascii="Arial" w:hAnsi="Arial"/>
                <w:b w:val="0"/>
                <w:sz w:val="12"/>
              </w:rPr>
              <w:t>Verified in Phase 1C global consistency pass; final proof remains</w:t>
            </w:r>
          </w:p>
        </w:tc>
      </w:tr>
      <w:tr>
        <w:tc>
          <w:tcPr>
            <w:tcW w:type="dxa" w:w="1704"/>
          </w:tcPr>
          <w:p>
            <w:pPr>
              <w:spacing w:after="0"/>
            </w:pPr>
            <w:r>
              <w:rPr>
                <w:rFonts w:ascii="Arial" w:hAnsi="Arial"/>
                <w:b w:val="0"/>
                <w:sz w:val="12"/>
              </w:rPr>
              <w:t>G-J-05</w:t>
            </w:r>
          </w:p>
        </w:tc>
        <w:tc>
          <w:tcPr>
            <w:tcW w:type="dxa" w:w="1704"/>
          </w:tcPr>
          <w:p>
            <w:pPr>
              <w:spacing w:after="0"/>
            </w:pPr>
            <w:r>
              <w:rPr>
                <w:rFonts w:ascii="Arial" w:hAnsi="Arial"/>
                <w:b w:val="0"/>
                <w:sz w:val="12"/>
              </w:rPr>
              <w:t>Appendix A compliance-sounding field values risked overclaim</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1B-8C neutralized field values</w:t>
            </w:r>
          </w:p>
        </w:tc>
        <w:tc>
          <w:tcPr>
            <w:tcW w:type="dxa" w:w="1704"/>
          </w:tcPr>
          <w:p>
            <w:pPr>
              <w:spacing w:after="0"/>
            </w:pPr>
            <w:r>
              <w:rPr>
                <w:rFonts w:ascii="Arial" w:hAnsi="Arial"/>
                <w:b w:val="0"/>
                <w:sz w:val="12"/>
              </w:rPr>
              <w:t>Phase 1C template review completed; final proof remains</w:t>
            </w:r>
          </w:p>
        </w:tc>
      </w:tr>
      <w:tr>
        <w:tc>
          <w:tcPr>
            <w:tcW w:type="dxa" w:w="1704"/>
          </w:tcPr>
          <w:p>
            <w:pPr>
              <w:spacing w:after="0"/>
            </w:pPr>
            <w:r>
              <w:rPr>
                <w:rFonts w:ascii="Arial" w:hAnsi="Arial"/>
                <w:b w:val="0"/>
                <w:sz w:val="12"/>
              </w:rPr>
              <w:t>G-J-06</w:t>
            </w:r>
          </w:p>
        </w:tc>
        <w:tc>
          <w:tcPr>
            <w:tcW w:type="dxa" w:w="1704"/>
          </w:tcPr>
          <w:p>
            <w:pPr>
              <w:spacing w:after="0"/>
            </w:pPr>
            <w:r>
              <w:rPr>
                <w:rFonts w:ascii="Arial" w:hAnsi="Arial"/>
                <w:b w:val="0"/>
                <w:sz w:val="12"/>
              </w:rPr>
              <w:t>Appendix D vendor mappings needed provisional language</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1B-8C provisional mapping language</w:t>
            </w:r>
          </w:p>
        </w:tc>
        <w:tc>
          <w:tcPr>
            <w:tcW w:type="dxa" w:w="1704"/>
          </w:tcPr>
          <w:p>
            <w:pPr>
              <w:spacing w:after="0"/>
            </w:pPr>
            <w:r>
              <w:rPr>
                <w:rFonts w:ascii="Arial" w:hAnsi="Arial"/>
                <w:b w:val="0"/>
                <w:sz w:val="12"/>
              </w:rPr>
              <w:t>L2 docs reviewed at claim level; page-level citation pinning remains</w:t>
            </w:r>
          </w:p>
        </w:tc>
      </w:tr>
      <w:tr>
        <w:tc>
          <w:tcPr>
            <w:tcW w:type="dxa" w:w="1704"/>
          </w:tcPr>
          <w:p>
            <w:pPr>
              <w:spacing w:after="0"/>
            </w:pPr>
            <w:r>
              <w:rPr>
                <w:rFonts w:ascii="Arial" w:hAnsi="Arial"/>
                <w:b w:val="0"/>
                <w:sz w:val="12"/>
              </w:rPr>
              <w:t>G-J-07</w:t>
            </w:r>
          </w:p>
        </w:tc>
        <w:tc>
          <w:tcPr>
            <w:tcW w:type="dxa" w:w="1704"/>
          </w:tcPr>
          <w:p>
            <w:pPr>
              <w:spacing w:after="0"/>
            </w:pPr>
            <w:r>
              <w:rPr>
                <w:rFonts w:ascii="Arial" w:hAnsi="Arial"/>
                <w:b w:val="0"/>
                <w:sz w:val="12"/>
              </w:rPr>
              <w:t>Appendices E/F/G initially needed detailed rubrics and system assessments</w:t>
            </w:r>
          </w:p>
        </w:tc>
        <w:tc>
          <w:tcPr>
            <w:tcW w:type="dxa" w:w="1704"/>
          </w:tcPr>
          <w:p>
            <w:pPr>
              <w:spacing w:after="0"/>
            </w:pPr>
            <w:r>
              <w:rPr>
                <w:rFonts w:ascii="Arial" w:hAnsi="Arial"/>
                <w:b w:val="0"/>
                <w:sz w:val="12"/>
              </w:rPr>
              <w:t>Phase 1B-9</w:t>
            </w:r>
          </w:p>
        </w:tc>
        <w:tc>
          <w:tcPr>
            <w:tcW w:type="dxa" w:w="1704"/>
          </w:tcPr>
          <w:p>
            <w:pPr>
              <w:spacing w:after="0"/>
            </w:pPr>
            <w:r>
              <w:rPr>
                <w:rFonts w:ascii="Arial" w:hAnsi="Arial"/>
                <w:b w:val="0"/>
                <w:sz w:val="12"/>
              </w:rPr>
              <w:t>Structurally Closed</w:t>
            </w:r>
          </w:p>
        </w:tc>
        <w:tc>
          <w:tcPr>
            <w:tcW w:type="dxa" w:w="1704"/>
          </w:tcPr>
          <w:p>
            <w:pPr>
              <w:spacing w:after="0"/>
            </w:pPr>
            <w:r>
              <w:rPr>
                <w:rFonts w:ascii="Arial" w:hAnsi="Arial"/>
                <w:b w:val="0"/>
                <w:sz w:val="12"/>
              </w:rPr>
              <w:t>Appendices E-G filled; E/F rubrics and G assessments created</w:t>
            </w:r>
          </w:p>
        </w:tc>
        <w:tc>
          <w:tcPr>
            <w:tcW w:type="dxa" w:w="1704"/>
          </w:tcPr>
          <w:p>
            <w:pPr>
              <w:spacing w:after="0"/>
            </w:pPr>
            <w:r>
              <w:rPr>
                <w:rFonts w:ascii="Arial" w:hAnsi="Arial"/>
                <w:b w:val="0"/>
                <w:sz w:val="12"/>
              </w:rPr>
              <w:t>Phase 1C source validation completed; final proof remains</w:t>
            </w:r>
          </w:p>
        </w:tc>
      </w:tr>
      <w:tr>
        <w:tc>
          <w:tcPr>
            <w:tcW w:type="dxa" w:w="1704"/>
          </w:tcPr>
          <w:p>
            <w:pPr>
              <w:spacing w:after="0"/>
            </w:pPr>
            <w:r>
              <w:rPr>
                <w:rFonts w:ascii="Arial" w:hAnsi="Arial"/>
                <w:b w:val="0"/>
                <w:sz w:val="12"/>
              </w:rPr>
              <w:t>G-J-08</w:t>
            </w:r>
          </w:p>
        </w:tc>
        <w:tc>
          <w:tcPr>
            <w:tcW w:type="dxa" w:w="1704"/>
          </w:tcPr>
          <w:p>
            <w:pPr>
              <w:spacing w:after="0"/>
            </w:pPr>
            <w:r>
              <w:rPr>
                <w:rFonts w:ascii="Arial" w:hAnsi="Arial"/>
                <w:b w:val="0"/>
                <w:sz w:val="12"/>
              </w:rPr>
              <w:t>Appendix G scope drift and score/order overreach</w:t>
            </w:r>
          </w:p>
        </w:tc>
        <w:tc>
          <w:tcPr>
            <w:tcW w:type="dxa" w:w="1704"/>
          </w:tcPr>
          <w:p>
            <w:pPr>
              <w:spacing w:after="0"/>
            </w:pPr>
            <w:r>
              <w:rPr>
                <w:rFonts w:ascii="Arial" w:hAnsi="Arial"/>
                <w:b w:val="0"/>
                <w:sz w:val="12"/>
              </w:rPr>
              <w:t>Phase 1B-9C</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Appendix G corrected to 8 representative systems plus T-G-09 qualitative summary</w:t>
            </w:r>
          </w:p>
        </w:tc>
        <w:tc>
          <w:tcPr>
            <w:tcW w:type="dxa" w:w="1704"/>
          </w:tcPr>
          <w:p>
            <w:pPr>
              <w:spacing w:after="0"/>
            </w:pPr>
            <w:r>
              <w:rPr>
                <w:rFonts w:ascii="Arial" w:hAnsi="Arial"/>
                <w:b w:val="0"/>
                <w:sz w:val="12"/>
              </w:rPr>
              <w:t>Source review completed at claim level; page-level citation pinning remains</w:t>
            </w:r>
          </w:p>
        </w:tc>
      </w:tr>
      <w:tr>
        <w:tc>
          <w:tcPr>
            <w:tcW w:type="dxa" w:w="1704"/>
          </w:tcPr>
          <w:p>
            <w:pPr>
              <w:spacing w:after="0"/>
            </w:pPr>
            <w:r>
              <w:rPr>
                <w:rFonts w:ascii="Arial" w:hAnsi="Arial"/>
                <w:b w:val="0"/>
                <w:sz w:val="12"/>
              </w:rPr>
              <w:t>G-J-09</w:t>
            </w:r>
          </w:p>
        </w:tc>
        <w:tc>
          <w:tcPr>
            <w:tcW w:type="dxa" w:w="1704"/>
          </w:tcPr>
          <w:p>
            <w:pPr>
              <w:spacing w:after="0"/>
            </w:pPr>
            <w:r>
              <w:rPr>
                <w:rFonts w:ascii="Arial" w:hAnsi="Arial"/>
                <w:b w:val="0"/>
                <w:sz w:val="12"/>
              </w:rPr>
              <w:t>Appendix E/F score-5 wording risked implying legal text proves implementation</w:t>
            </w:r>
          </w:p>
        </w:tc>
        <w:tc>
          <w:tcPr>
            <w:tcW w:type="dxa" w:w="1704"/>
          </w:tcPr>
          <w:p>
            <w:pPr>
              <w:spacing w:after="0"/>
            </w:pPr>
            <w:r>
              <w:rPr>
                <w:rFonts w:ascii="Arial" w:hAnsi="Arial"/>
                <w:b w:val="0"/>
                <w:sz w:val="12"/>
              </w:rPr>
              <w:t>Phase 1B-9C</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Appendix E/F score-5 rows hardened</w:t>
            </w:r>
          </w:p>
        </w:tc>
        <w:tc>
          <w:tcPr>
            <w:tcW w:type="dxa" w:w="1704"/>
          </w:tcPr>
          <w:p>
            <w:pPr>
              <w:spacing w:after="0"/>
            </w:pPr>
            <w:r>
              <w:rPr>
                <w:rFonts w:ascii="Arial" w:hAnsi="Arial"/>
                <w:b w:val="0"/>
                <w:sz w:val="12"/>
              </w:rPr>
              <w:t>Verified in Phase 1C consistency pass; final proof remains</w:t>
            </w:r>
          </w:p>
        </w:tc>
      </w:tr>
      <w:tr>
        <w:tc>
          <w:tcPr>
            <w:tcW w:type="dxa" w:w="1704"/>
          </w:tcPr>
          <w:p>
            <w:pPr>
              <w:spacing w:after="0"/>
            </w:pPr>
            <w:r>
              <w:rPr>
                <w:rFonts w:ascii="Arial" w:hAnsi="Arial"/>
                <w:b w:val="0"/>
                <w:sz w:val="12"/>
              </w:rPr>
              <w:t>G-J-10</w:t>
            </w:r>
          </w:p>
        </w:tc>
        <w:tc>
          <w:tcPr>
            <w:tcW w:type="dxa" w:w="1704"/>
          </w:tcPr>
          <w:p>
            <w:pPr>
              <w:spacing w:after="0"/>
            </w:pPr>
            <w:r>
              <w:rPr>
                <w:rFonts w:ascii="Arial" w:hAnsi="Arial"/>
                <w:b w:val="0"/>
                <w:sz w:val="12"/>
              </w:rPr>
              <w:t>Phase 1B-9D governance ledgers stale after partial patch</w:t>
            </w:r>
          </w:p>
        </w:tc>
        <w:tc>
          <w:tcPr>
            <w:tcW w:type="dxa" w:w="1704"/>
          </w:tcPr>
          <w:p>
            <w:pPr>
              <w:spacing w:after="0"/>
            </w:pPr>
            <w:r>
              <w:rPr>
                <w:rFonts w:ascii="Arial" w:hAnsi="Arial"/>
                <w:b w:val="0"/>
                <w:sz w:val="12"/>
              </w:rPr>
              <w:t>Phase 1B-9D</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SOURCE MASTER, Appendix G metadata, carryover list, and final report synchronized</w:t>
            </w:r>
          </w:p>
        </w:tc>
        <w:tc>
          <w:tcPr>
            <w:tcW w:type="dxa" w:w="1704"/>
          </w:tcPr>
          <w:p>
            <w:pPr>
              <w:spacing w:after="0"/>
            </w:pPr>
            <w:r>
              <w:rPr>
                <w:rFonts w:ascii="Arial" w:hAnsi="Arial"/>
                <w:b w:val="0"/>
                <w:sz w:val="12"/>
              </w:rPr>
              <w:t>Continue with Phase 1B-10 completion record</w:t>
            </w:r>
          </w:p>
        </w:tc>
      </w:tr>
      <w:tr>
        <w:tc>
          <w:tcPr>
            <w:tcW w:type="dxa" w:w="1704"/>
          </w:tcPr>
          <w:p>
            <w:pPr>
              <w:spacing w:after="0"/>
            </w:pPr>
            <w:r>
              <w:rPr>
                <w:rFonts w:ascii="Arial" w:hAnsi="Arial"/>
                <w:b w:val="0"/>
                <w:sz w:val="12"/>
              </w:rPr>
              <w:t>G-J-11</w:t>
            </w:r>
          </w:p>
        </w:tc>
        <w:tc>
          <w:tcPr>
            <w:tcW w:type="dxa" w:w="1704"/>
          </w:tcPr>
          <w:p>
            <w:pPr>
              <w:spacing w:after="0"/>
            </w:pPr>
            <w:r>
              <w:rPr>
                <w:rFonts w:ascii="Arial" w:hAnsi="Arial"/>
                <w:b w:val="0"/>
                <w:sz w:val="12"/>
              </w:rPr>
              <w:t>Appendices H-K missing from clean source</w:t>
            </w:r>
          </w:p>
        </w:tc>
        <w:tc>
          <w:tcPr>
            <w:tcW w:type="dxa" w:w="1704"/>
          </w:tcPr>
          <w:p>
            <w:pPr>
              <w:spacing w:after="0"/>
            </w:pPr>
            <w:r>
              <w:rPr>
                <w:rFonts w:ascii="Arial" w:hAnsi="Arial"/>
                <w:b w:val="0"/>
                <w:sz w:val="12"/>
              </w:rPr>
              <w:t>Phase 1B-10</w:t>
            </w:r>
          </w:p>
        </w:tc>
        <w:tc>
          <w:tcPr>
            <w:tcW w:type="dxa" w:w="1704"/>
          </w:tcPr>
          <w:p>
            <w:pPr>
              <w:spacing w:after="0"/>
            </w:pPr>
            <w:r>
              <w:rPr>
                <w:rFonts w:ascii="Arial" w:hAnsi="Arial"/>
                <w:b w:val="0"/>
                <w:sz w:val="12"/>
              </w:rPr>
              <w:t>Closed</w:t>
            </w:r>
          </w:p>
        </w:tc>
        <w:tc>
          <w:tcPr>
            <w:tcW w:type="dxa" w:w="1704"/>
          </w:tcPr>
          <w:p>
            <w:pPr>
              <w:spacing w:after="0"/>
            </w:pPr>
            <w:r>
              <w:rPr>
                <w:rFonts w:ascii="Arial" w:hAnsi="Arial"/>
                <w:b w:val="0"/>
                <w:sz w:val="12"/>
              </w:rPr>
              <w:t>Appendices H-K filled in Phase 1B-10</w:t>
            </w:r>
          </w:p>
        </w:tc>
        <w:tc>
          <w:tcPr>
            <w:tcW w:type="dxa" w:w="1704"/>
          </w:tcPr>
          <w:p>
            <w:pPr>
              <w:spacing w:after="0"/>
            </w:pPr>
            <w:r>
              <w:rPr>
                <w:rFonts w:ascii="Arial" w:hAnsi="Arial"/>
                <w:b w:val="0"/>
                <w:sz w:val="12"/>
              </w:rPr>
              <w:t>Phase 1C source validation completed; Phase 1D layout QA remains</w:t>
            </w:r>
          </w:p>
        </w:tc>
      </w:tr>
      <w:tr>
        <w:tc>
          <w:tcPr>
            <w:tcW w:type="dxa" w:w="1704"/>
          </w:tcPr>
          <w:p>
            <w:pPr>
              <w:spacing w:after="0"/>
            </w:pPr>
            <w:r>
              <w:rPr>
                <w:rFonts w:ascii="Arial" w:hAnsi="Arial"/>
                <w:b w:val="0"/>
                <w:sz w:val="12"/>
              </w:rPr>
              <w:t>G-J-12</w:t>
            </w:r>
          </w:p>
        </w:tc>
        <w:tc>
          <w:tcPr>
            <w:tcW w:type="dxa" w:w="1704"/>
          </w:tcPr>
          <w:p>
            <w:pPr>
              <w:spacing w:after="0"/>
            </w:pPr>
            <w:r>
              <w:rPr>
                <w:rFonts w:ascii="Arial" w:hAnsi="Arial"/>
                <w:b w:val="0"/>
                <w:sz w:val="12"/>
              </w:rPr>
              <w:t>Citation Inventory remained partial after Phase 1B</w:t>
            </w:r>
          </w:p>
        </w:tc>
        <w:tc>
          <w:tcPr>
            <w:tcW w:type="dxa" w:w="1704"/>
          </w:tcPr>
          <w:p>
            <w:pPr>
              <w:spacing w:after="0"/>
            </w:pPr>
            <w:r>
              <w:rPr>
                <w:rFonts w:ascii="Arial" w:hAnsi="Arial"/>
                <w:b w:val="0"/>
                <w:sz w:val="12"/>
              </w:rPr>
              <w:t>Phase 1B-3</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1C cleanup updated citation inventory to URL-reviewed status; Phase 1C follow-up added claim-level source binding and claim register</w:t>
            </w:r>
          </w:p>
        </w:tc>
        <w:tc>
          <w:tcPr>
            <w:tcW w:type="dxa" w:w="1704"/>
          </w:tcPr>
          <w:p>
            <w:pPr>
              <w:spacing w:after="0"/>
            </w:pPr>
            <w:r>
              <w:rPr>
                <w:rFonts w:ascii="Arial" w:hAnsi="Arial"/>
                <w:b w:val="0"/>
                <w:sz w:val="12"/>
              </w:rPr>
              <w:t>Final page-level citation pinning and rendering QA before publication candidate</w:t>
            </w:r>
          </w:p>
        </w:tc>
      </w:tr>
      <w:tr>
        <w:tc>
          <w:tcPr>
            <w:tcW w:type="dxa" w:w="1704"/>
          </w:tcPr>
          <w:p>
            <w:pPr>
              <w:spacing w:after="0"/>
            </w:pPr>
            <w:r>
              <w:rPr>
                <w:rFonts w:ascii="Arial" w:hAnsi="Arial"/>
                <w:b w:val="0"/>
                <w:sz w:val="12"/>
              </w:rPr>
              <w:t>G-J-15</w:t>
            </w:r>
          </w:p>
        </w:tc>
        <w:tc>
          <w:tcPr>
            <w:tcW w:type="dxa" w:w="1704"/>
          </w:tcPr>
          <w:p>
            <w:pPr>
              <w:spacing w:after="0"/>
            </w:pPr>
            <w:r>
              <w:rPr>
                <w:rFonts w:ascii="Arial" w:hAnsi="Arial"/>
                <w:b w:val="0"/>
                <w:sz w:val="12"/>
              </w:rPr>
              <w:t>Claim-level L2 product/protocol source binding remained pending after Phase 1C cleanup</w:t>
            </w:r>
          </w:p>
        </w:tc>
        <w:tc>
          <w:tcPr>
            <w:tcW w:type="dxa" w:w="1704"/>
          </w:tcPr>
          <w:p>
            <w:pPr>
              <w:spacing w:after="0"/>
            </w:pPr>
            <w:r>
              <w:rPr>
                <w:rFonts w:ascii="Arial" w:hAnsi="Arial"/>
                <w:b w:val="0"/>
                <w:sz w:val="12"/>
              </w:rPr>
              <w:t>Phase 1C follow-up</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Claim evidence register created; Appendix G marked revalidated provisional; citation inventory/source coverage matrix updated</w:t>
            </w:r>
          </w:p>
        </w:tc>
        <w:tc>
          <w:tcPr>
            <w:tcW w:type="dxa" w:w="1704"/>
          </w:tcPr>
          <w:p>
            <w:pPr>
              <w:spacing w:after="0"/>
            </w:pPr>
            <w:r>
              <w:rPr>
                <w:rFonts w:ascii="Arial" w:hAnsi="Arial"/>
                <w:b w:val="0"/>
                <w:sz w:val="12"/>
              </w:rPr>
              <w:t>Keep Appendix G provisional; perform page-level citation pinning before publication-candidate release</w:t>
            </w:r>
          </w:p>
        </w:tc>
      </w:tr>
      <w:tr>
        <w:tc>
          <w:tcPr>
            <w:tcW w:type="dxa" w:w="1704"/>
          </w:tcPr>
          <w:p>
            <w:pPr>
              <w:spacing w:after="0"/>
            </w:pPr>
            <w:r>
              <w:rPr>
                <w:rFonts w:ascii="Arial" w:hAnsi="Arial"/>
                <w:b w:val="0"/>
                <w:sz w:val="12"/>
              </w:rPr>
              <w:t>G-J-13</w:t>
            </w:r>
          </w:p>
        </w:tc>
        <w:tc>
          <w:tcPr>
            <w:tcW w:type="dxa" w:w="1704"/>
          </w:tcPr>
          <w:p>
            <w:pPr>
              <w:spacing w:after="0"/>
            </w:pPr>
            <w:r>
              <w:rPr>
                <w:rFonts w:ascii="Arial" w:hAnsi="Arial"/>
                <w:b w:val="0"/>
                <w:sz w:val="12"/>
              </w:rPr>
              <w:t>Wide tables require layout evaluation</w:t>
            </w:r>
          </w:p>
        </w:tc>
        <w:tc>
          <w:tcPr>
            <w:tcW w:type="dxa" w:w="1704"/>
          </w:tcPr>
          <w:p>
            <w:pPr>
              <w:spacing w:after="0"/>
            </w:pPr>
            <w:r>
              <w:rPr>
                <w:rFonts w:ascii="Arial" w:hAnsi="Arial"/>
                <w:b w:val="0"/>
                <w:sz w:val="12"/>
              </w:rPr>
              <w:t>R2 / Phase 1B</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1C recorded layout risk notes in table inventory</w:t>
            </w:r>
          </w:p>
        </w:tc>
        <w:tc>
          <w:tcPr>
            <w:tcW w:type="dxa" w:w="1704"/>
          </w:tcPr>
          <w:p>
            <w:pPr>
              <w:spacing w:after="0"/>
            </w:pPr>
            <w:r>
              <w:rPr>
                <w:rFonts w:ascii="Arial" w:hAnsi="Arial"/>
                <w:b w:val="0"/>
                <w:sz w:val="12"/>
              </w:rPr>
              <w:t>Render and inspect tables in Phase 1D</w:t>
            </w:r>
          </w:p>
        </w:tc>
      </w:tr>
      <w:tr>
        <w:tc>
          <w:tcPr>
            <w:tcW w:type="dxa" w:w="1704"/>
          </w:tcPr>
          <w:p>
            <w:pPr>
              <w:spacing w:after="0"/>
            </w:pPr>
            <w:r>
              <w:rPr>
                <w:rFonts w:ascii="Arial" w:hAnsi="Arial"/>
                <w:b w:val="0"/>
                <w:sz w:val="12"/>
              </w:rPr>
              <w:t>G-J-14</w:t>
            </w:r>
          </w:p>
        </w:tc>
        <w:tc>
          <w:tcPr>
            <w:tcW w:type="dxa" w:w="1704"/>
          </w:tcPr>
          <w:p>
            <w:pPr>
              <w:spacing w:after="0"/>
            </w:pPr>
            <w:r>
              <w:rPr>
                <w:rFonts w:ascii="Arial" w:hAnsi="Arial"/>
                <w:b w:val="0"/>
                <w:sz w:val="12"/>
              </w:rPr>
              <w:t>DOCX/PDF layout, figures, captions, and page breaks not regenerated</w:t>
            </w:r>
          </w:p>
        </w:tc>
        <w:tc>
          <w:tcPr>
            <w:tcW w:type="dxa" w:w="1704"/>
          </w:tcPr>
          <w:p>
            <w:pPr>
              <w:spacing w:after="0"/>
            </w:pPr>
            <w:r>
              <w:rPr>
                <w:rFonts w:ascii="Arial" w:hAnsi="Arial"/>
                <w:b w:val="0"/>
                <w:sz w:val="12"/>
              </w:rPr>
              <w:t>Phase 1D</w:t>
            </w:r>
          </w:p>
        </w:tc>
        <w:tc>
          <w:tcPr>
            <w:tcW w:type="dxa" w:w="1704"/>
          </w:tcPr>
          <w:p>
            <w:pPr>
              <w:spacing w:after="0"/>
            </w:pPr>
            <w:r>
              <w:rPr>
                <w:rFonts w:ascii="Arial" w:hAnsi="Arial"/>
                <w:b w:val="0"/>
                <w:sz w:val="12"/>
              </w:rPr>
              <w:t>Deferred to Phase 1D</w:t>
            </w:r>
          </w:p>
        </w:tc>
        <w:tc>
          <w:tcPr>
            <w:tcW w:type="dxa" w:w="1704"/>
          </w:tcPr>
          <w:p>
            <w:pPr>
              <w:spacing w:after="0"/>
            </w:pPr>
            <w:r>
              <w:rPr>
                <w:rFonts w:ascii="Arial" w:hAnsi="Arial"/>
                <w:b w:val="0"/>
                <w:sz w:val="12"/>
              </w:rPr>
              <w:t>DOCX/PDF generation intentionally deferred</w:t>
            </w:r>
          </w:p>
        </w:tc>
        <w:tc>
          <w:tcPr>
            <w:tcW w:type="dxa" w:w="1704"/>
          </w:tcPr>
          <w:p>
            <w:pPr>
              <w:spacing w:after="0"/>
            </w:pPr>
            <w:r>
              <w:rPr>
                <w:rFonts w:ascii="Arial" w:hAnsi="Arial"/>
                <w:b w:val="0"/>
                <w:sz w:val="12"/>
              </w:rPr>
              <w:t>Generate and visually QA in Phase 1D</w:t>
            </w:r>
          </w:p>
        </w:tc>
      </w:tr>
    </w:tbl>
    <w:p>
      <w:pPr>
        <w:pStyle w:val="Heading2"/>
      </w:pPr>
      <w:r>
        <w:t>J.3 Phase 1C Items and Current Disposition</w:t>
      </w:r>
    </w:p>
    <w:p>
      <w:pPr>
        <w:keepNext/>
      </w:pPr>
      <w:r>
        <w:rPr>
          <w:b/>
          <w:sz w:val="16"/>
        </w:rPr>
        <w:t>Table T-J-02: Phase 1C Items and Current Disposition</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Item</w:t>
            </w:r>
          </w:p>
        </w:tc>
        <w:tc>
          <w:tcPr>
            <w:tcW w:type="dxa" w:w="2045"/>
          </w:tcPr>
          <w:p>
            <w:pPr>
              <w:spacing w:after="0"/>
            </w:pPr>
            <w:r>
              <w:rPr>
                <w:rFonts w:ascii="Arial" w:hAnsi="Arial"/>
                <w:b/>
                <w:sz w:val="14"/>
              </w:rPr>
              <w:t>Reason Deferred</w:t>
            </w:r>
          </w:p>
        </w:tc>
        <w:tc>
          <w:tcPr>
            <w:tcW w:type="dxa" w:w="2045"/>
          </w:tcPr>
          <w:p>
            <w:pPr>
              <w:spacing w:after="0"/>
            </w:pPr>
            <w:r>
              <w:rPr>
                <w:rFonts w:ascii="Arial" w:hAnsi="Arial"/>
                <w:b/>
                <w:sz w:val="14"/>
              </w:rPr>
              <w:t>Required Action</w:t>
            </w:r>
          </w:p>
        </w:tc>
        <w:tc>
          <w:tcPr>
            <w:tcW w:type="dxa" w:w="2045"/>
          </w:tcPr>
          <w:p>
            <w:pPr>
              <w:spacing w:after="0"/>
            </w:pPr>
            <w:r>
              <w:rPr>
                <w:rFonts w:ascii="Arial" w:hAnsi="Arial"/>
                <w:b/>
                <w:sz w:val="14"/>
              </w:rPr>
              <w:t>Blocking Level</w:t>
            </w:r>
          </w:p>
        </w:tc>
        <w:tc>
          <w:tcPr>
            <w:tcW w:type="dxa" w:w="2045"/>
          </w:tcPr>
          <w:p>
            <w:pPr>
              <w:spacing w:after="0"/>
            </w:pPr>
            <w:r>
              <w:rPr>
                <w:rFonts w:ascii="Arial" w:hAnsi="Arial"/>
                <w:b/>
                <w:sz w:val="14"/>
              </w:rPr>
              <w:t>Owner Phase</w:t>
            </w:r>
          </w:p>
        </w:tc>
      </w:tr>
      <w:tr>
        <w:tc>
          <w:tcPr>
            <w:tcW w:type="dxa" w:w="2045"/>
          </w:tcPr>
          <w:p>
            <w:pPr>
              <w:spacing w:after="0"/>
            </w:pPr>
            <w:r>
              <w:rPr>
                <w:rFonts w:ascii="Arial" w:hAnsi="Arial"/>
                <w:b w:val="0"/>
                <w:sz w:val="14"/>
              </w:rPr>
              <w:t>Chapter 14/15 ALCS numbering consistency</w:t>
            </w:r>
          </w:p>
        </w:tc>
        <w:tc>
          <w:tcPr>
            <w:tcW w:type="dxa" w:w="2045"/>
          </w:tcPr>
          <w:p>
            <w:pPr>
              <w:spacing w:after="0"/>
            </w:pPr>
            <w:r>
              <w:rPr>
                <w:rFonts w:ascii="Arial" w:hAnsi="Arial"/>
                <w:b w:val="0"/>
                <w:sz w:val="14"/>
              </w:rPr>
              <w:t>Phase 1C taxonomy pass found naming and scenario mapping drift</w:t>
            </w:r>
          </w:p>
        </w:tc>
        <w:tc>
          <w:tcPr>
            <w:tcW w:type="dxa" w:w="2045"/>
          </w:tcPr>
          <w:p>
            <w:pPr>
              <w:spacing w:after="0"/>
            </w:pPr>
            <w:r>
              <w:rPr>
                <w:rFonts w:ascii="Arial" w:hAnsi="Arial"/>
                <w:b w:val="0"/>
                <w:sz w:val="14"/>
              </w:rPr>
              <w:t>Corrected active-source ALCS/MRO references</w:t>
            </w:r>
          </w:p>
        </w:tc>
        <w:tc>
          <w:tcPr>
            <w:tcW w:type="dxa" w:w="2045"/>
          </w:tcPr>
          <w:p>
            <w:pPr>
              <w:spacing w:after="0"/>
            </w:pPr>
            <w:r>
              <w:rPr>
                <w:rFonts w:ascii="Arial" w:hAnsi="Arial"/>
                <w:b w:val="0"/>
                <w:sz w:val="14"/>
              </w:rPr>
              <w:t>Closed for taxonomy; monitor in final proof</w:t>
            </w:r>
          </w:p>
        </w:tc>
        <w:tc>
          <w:tcPr>
            <w:tcW w:type="dxa" w:w="2045"/>
          </w:tcPr>
          <w:p>
            <w:pPr>
              <w:spacing w:after="0"/>
            </w:pPr>
            <w:r>
              <w:rPr>
                <w:rFonts w:ascii="Arial" w:hAnsi="Arial"/>
                <w:b w:val="0"/>
                <w:sz w:val="14"/>
              </w:rPr>
              <w:t>Phase 1C</w:t>
            </w:r>
          </w:p>
        </w:tc>
      </w:tr>
      <w:tr>
        <w:tc>
          <w:tcPr>
            <w:tcW w:type="dxa" w:w="2045"/>
          </w:tcPr>
          <w:p>
            <w:pPr>
              <w:spacing w:after="0"/>
            </w:pPr>
            <w:r>
              <w:rPr>
                <w:rFonts w:ascii="Arial" w:hAnsi="Arial"/>
                <w:b w:val="0"/>
                <w:sz w:val="14"/>
              </w:rPr>
              <w:t>Chapter 17 roadmap-count inconsistency</w:t>
            </w:r>
          </w:p>
        </w:tc>
        <w:tc>
          <w:tcPr>
            <w:tcW w:type="dxa" w:w="2045"/>
          </w:tcPr>
          <w:p>
            <w:pPr>
              <w:spacing w:after="0"/>
            </w:pPr>
            <w:r>
              <w:rPr>
                <w:rFonts w:ascii="Arial" w:hAnsi="Arial"/>
                <w:b w:val="0"/>
                <w:sz w:val="14"/>
              </w:rPr>
              <w:t>Body chapter wording did not match Stage 0-to-7 table</w:t>
            </w:r>
          </w:p>
        </w:tc>
        <w:tc>
          <w:tcPr>
            <w:tcW w:type="dxa" w:w="2045"/>
          </w:tcPr>
          <w:p>
            <w:pPr>
              <w:spacing w:after="0"/>
            </w:pPr>
            <w:r>
              <w:rPr>
                <w:rFonts w:ascii="Arial" w:hAnsi="Arial"/>
                <w:b w:val="0"/>
                <w:sz w:val="14"/>
              </w:rPr>
              <w:t>Corrected to Stage 0-to-7 wording</w:t>
            </w:r>
          </w:p>
        </w:tc>
        <w:tc>
          <w:tcPr>
            <w:tcW w:type="dxa" w:w="2045"/>
          </w:tcPr>
          <w:p>
            <w:pPr>
              <w:spacing w:after="0"/>
            </w:pPr>
            <w:r>
              <w:rPr>
                <w:rFonts w:ascii="Arial" w:hAnsi="Arial"/>
                <w:b w:val="0"/>
                <w:sz w:val="14"/>
              </w:rPr>
              <w:t>Closed for editorial consistency</w:t>
            </w:r>
          </w:p>
        </w:tc>
        <w:tc>
          <w:tcPr>
            <w:tcW w:type="dxa" w:w="2045"/>
          </w:tcPr>
          <w:p>
            <w:pPr>
              <w:spacing w:after="0"/>
            </w:pPr>
            <w:r>
              <w:rPr>
                <w:rFonts w:ascii="Arial" w:hAnsi="Arial"/>
                <w:b w:val="0"/>
                <w:sz w:val="14"/>
              </w:rPr>
              <w:t>Phase 1C</w:t>
            </w:r>
          </w:p>
        </w:tc>
      </w:tr>
      <w:tr>
        <w:tc>
          <w:tcPr>
            <w:tcW w:type="dxa" w:w="2045"/>
          </w:tcPr>
          <w:p>
            <w:pPr>
              <w:spacing w:after="0"/>
            </w:pPr>
            <w:r>
              <w:rPr>
                <w:rFonts w:ascii="Arial" w:hAnsi="Arial"/>
                <w:b w:val="0"/>
                <w:sz w:val="14"/>
              </w:rPr>
              <w:t>Chapter 18 contribution-count inconsistency</w:t>
            </w:r>
          </w:p>
        </w:tc>
        <w:tc>
          <w:tcPr>
            <w:tcW w:type="dxa" w:w="2045"/>
          </w:tcPr>
          <w:p>
            <w:pPr>
              <w:spacing w:after="0"/>
            </w:pPr>
            <w:r>
              <w:rPr>
                <w:rFonts w:ascii="Arial" w:hAnsi="Arial"/>
                <w:b w:val="0"/>
                <w:sz w:val="14"/>
              </w:rPr>
              <w:t>Contribution summary did not match T-18-01 row count</w:t>
            </w:r>
          </w:p>
        </w:tc>
        <w:tc>
          <w:tcPr>
            <w:tcW w:type="dxa" w:w="2045"/>
          </w:tcPr>
          <w:p>
            <w:pPr>
              <w:spacing w:after="0"/>
            </w:pPr>
            <w:r>
              <w:rPr>
                <w:rFonts w:ascii="Arial" w:hAnsi="Arial"/>
                <w:b w:val="0"/>
                <w:sz w:val="14"/>
              </w:rPr>
              <w:t>Corrected to eight contributions</w:t>
            </w:r>
          </w:p>
        </w:tc>
        <w:tc>
          <w:tcPr>
            <w:tcW w:type="dxa" w:w="2045"/>
          </w:tcPr>
          <w:p>
            <w:pPr>
              <w:spacing w:after="0"/>
            </w:pPr>
            <w:r>
              <w:rPr>
                <w:rFonts w:ascii="Arial" w:hAnsi="Arial"/>
                <w:b w:val="0"/>
                <w:sz w:val="14"/>
              </w:rPr>
              <w:t>Closed for editorial consistency</w:t>
            </w:r>
          </w:p>
        </w:tc>
        <w:tc>
          <w:tcPr>
            <w:tcW w:type="dxa" w:w="2045"/>
          </w:tcPr>
          <w:p>
            <w:pPr>
              <w:spacing w:after="0"/>
            </w:pPr>
            <w:r>
              <w:rPr>
                <w:rFonts w:ascii="Arial" w:hAnsi="Arial"/>
                <w:b w:val="0"/>
                <w:sz w:val="14"/>
              </w:rPr>
              <w:t>Phase 1C</w:t>
            </w:r>
          </w:p>
        </w:tc>
      </w:tr>
      <w:tr>
        <w:tc>
          <w:tcPr>
            <w:tcW w:type="dxa" w:w="2045"/>
          </w:tcPr>
          <w:p>
            <w:pPr>
              <w:spacing w:after="0"/>
            </w:pPr>
            <w:r>
              <w:rPr>
                <w:rFonts w:ascii="Arial" w:hAnsi="Arial"/>
                <w:b w:val="0"/>
                <w:sz w:val="14"/>
              </w:rPr>
              <w:t>F-09 figure numbering gap</w:t>
            </w:r>
          </w:p>
        </w:tc>
        <w:tc>
          <w:tcPr>
            <w:tcW w:type="dxa" w:w="2045"/>
          </w:tcPr>
          <w:p>
            <w:pPr>
              <w:spacing w:after="0"/>
            </w:pPr>
            <w:r>
              <w:rPr>
                <w:rFonts w:ascii="Arial" w:hAnsi="Arial"/>
                <w:b w:val="0"/>
                <w:sz w:val="14"/>
              </w:rPr>
              <w:t>Figure inventory skipped F-09</w:t>
            </w:r>
          </w:p>
        </w:tc>
        <w:tc>
          <w:tcPr>
            <w:tcW w:type="dxa" w:w="2045"/>
          </w:tcPr>
          <w:p>
            <w:pPr>
              <w:spacing w:after="0"/>
            </w:pPr>
            <w:r>
              <w:rPr>
                <w:rFonts w:ascii="Arial" w:hAnsi="Arial"/>
                <w:b w:val="0"/>
                <w:sz w:val="14"/>
              </w:rPr>
              <w:t>Reserved F-09 to avoid renumbering risk</w:t>
            </w:r>
          </w:p>
        </w:tc>
        <w:tc>
          <w:tcPr>
            <w:tcW w:type="dxa" w:w="2045"/>
          </w:tcPr>
          <w:p>
            <w:pPr>
              <w:spacing w:after="0"/>
            </w:pPr>
            <w:r>
              <w:rPr>
                <w:rFonts w:ascii="Arial" w:hAnsi="Arial"/>
                <w:b w:val="0"/>
                <w:sz w:val="14"/>
              </w:rPr>
              <w:t>Closed for inventory; Phase 1D rendering decision remains</w:t>
            </w:r>
          </w:p>
        </w:tc>
        <w:tc>
          <w:tcPr>
            <w:tcW w:type="dxa" w:w="2045"/>
          </w:tcPr>
          <w:p>
            <w:pPr>
              <w:spacing w:after="0"/>
            </w:pPr>
            <w:r>
              <w:rPr>
                <w:rFonts w:ascii="Arial" w:hAnsi="Arial"/>
                <w:b w:val="0"/>
                <w:sz w:val="14"/>
              </w:rPr>
              <w:t>Phase 1C / 1D</w:t>
            </w:r>
          </w:p>
        </w:tc>
      </w:tr>
      <w:tr>
        <w:tc>
          <w:tcPr>
            <w:tcW w:type="dxa" w:w="2045"/>
          </w:tcPr>
          <w:p>
            <w:pPr>
              <w:spacing w:after="0"/>
            </w:pPr>
            <w:r>
              <w:rPr>
                <w:rFonts w:ascii="Arial" w:hAnsi="Arial"/>
                <w:b w:val="0"/>
                <w:sz w:val="14"/>
              </w:rPr>
              <w:t>Citation inventory pre-cleanup status</w:t>
            </w:r>
          </w:p>
        </w:tc>
        <w:tc>
          <w:tcPr>
            <w:tcW w:type="dxa" w:w="2045"/>
          </w:tcPr>
          <w:p>
            <w:pPr>
              <w:spacing w:after="0"/>
            </w:pPr>
            <w:r>
              <w:rPr>
                <w:rFonts w:ascii="Arial" w:hAnsi="Arial"/>
                <w:b w:val="0"/>
                <w:sz w:val="14"/>
              </w:rPr>
              <w:t>Citation validation belongs to global cleanup</w:t>
            </w:r>
          </w:p>
        </w:tc>
        <w:tc>
          <w:tcPr>
            <w:tcW w:type="dxa" w:w="2045"/>
          </w:tcPr>
          <w:p>
            <w:pPr>
              <w:spacing w:after="0"/>
            </w:pPr>
            <w:r>
              <w:rPr>
                <w:rFonts w:ascii="Arial" w:hAnsi="Arial"/>
                <w:b w:val="0"/>
                <w:sz w:val="14"/>
              </w:rPr>
              <w:t>Updated citation inventory to Phase 1C claim-level reviewed / provisional source binding complete</w:t>
            </w:r>
          </w:p>
        </w:tc>
        <w:tc>
          <w:tcPr>
            <w:tcW w:type="dxa" w:w="2045"/>
          </w:tcPr>
          <w:p>
            <w:pPr>
              <w:spacing w:after="0"/>
            </w:pPr>
            <w:r>
              <w:rPr>
                <w:rFonts w:ascii="Arial" w:hAnsi="Arial"/>
                <w:b w:val="0"/>
                <w:sz w:val="14"/>
              </w:rPr>
              <w:t>Final page-level citation pinning remains</w:t>
            </w:r>
          </w:p>
        </w:tc>
        <w:tc>
          <w:tcPr>
            <w:tcW w:type="dxa" w:w="2045"/>
          </w:tcPr>
          <w:p>
            <w:pPr>
              <w:spacing w:after="0"/>
            </w:pPr>
            <w:r>
              <w:rPr>
                <w:rFonts w:ascii="Arial" w:hAnsi="Arial"/>
                <w:b w:val="0"/>
                <w:sz w:val="14"/>
              </w:rPr>
              <w:t>Phase 1C follow-up / Phase 1D</w:t>
            </w:r>
          </w:p>
        </w:tc>
      </w:tr>
      <w:tr>
        <w:tc>
          <w:tcPr>
            <w:tcW w:type="dxa" w:w="2045"/>
          </w:tcPr>
          <w:p>
            <w:pPr>
              <w:spacing w:after="0"/>
            </w:pPr>
            <w:r>
              <w:rPr>
                <w:rFonts w:ascii="Arial" w:hAnsi="Arial"/>
                <w:b w:val="0"/>
                <w:sz w:val="14"/>
              </w:rPr>
              <w:t>All L2 product docs required Phase 1C revalidation</w:t>
            </w:r>
          </w:p>
        </w:tc>
        <w:tc>
          <w:tcPr>
            <w:tcW w:type="dxa" w:w="2045"/>
          </w:tcPr>
          <w:p>
            <w:pPr>
              <w:spacing w:after="0"/>
            </w:pPr>
            <w:r>
              <w:rPr>
                <w:rFonts w:ascii="Arial" w:hAnsi="Arial"/>
                <w:b w:val="0"/>
                <w:sz w:val="14"/>
              </w:rPr>
              <w:t>Product docs may have changed and required claim-level review</w:t>
            </w:r>
          </w:p>
        </w:tc>
        <w:tc>
          <w:tcPr>
            <w:tcW w:type="dxa" w:w="2045"/>
          </w:tcPr>
          <w:p>
            <w:pPr>
              <w:spacing w:after="0"/>
            </w:pPr>
            <w:r>
              <w:rPr>
                <w:rFonts w:ascii="Arial" w:hAnsi="Arial"/>
                <w:b w:val="0"/>
                <w:sz w:val="14"/>
              </w:rPr>
              <w:t>Official entry points located; material claims source-bound, narrowed, or downgraded to L5</w:t>
            </w:r>
          </w:p>
        </w:tc>
        <w:tc>
          <w:tcPr>
            <w:tcW w:type="dxa" w:w="2045"/>
          </w:tcPr>
          <w:p>
            <w:pPr>
              <w:spacing w:after="0"/>
            </w:pPr>
            <w:r>
              <w:rPr>
                <w:rFonts w:ascii="Arial" w:hAnsi="Arial"/>
                <w:b w:val="0"/>
                <w:sz w:val="14"/>
              </w:rPr>
              <w:t>Appendix G remains provisional; final page-level citation pinning remains</w:t>
            </w:r>
          </w:p>
        </w:tc>
        <w:tc>
          <w:tcPr>
            <w:tcW w:type="dxa" w:w="2045"/>
          </w:tcPr>
          <w:p>
            <w:pPr>
              <w:spacing w:after="0"/>
            </w:pPr>
            <w:r>
              <w:rPr>
                <w:rFonts w:ascii="Arial" w:hAnsi="Arial"/>
                <w:b w:val="0"/>
                <w:sz w:val="14"/>
              </w:rPr>
              <w:t>Phase 1C follow-up / Phase 1D</w:t>
            </w:r>
          </w:p>
        </w:tc>
      </w:tr>
      <w:tr>
        <w:tc>
          <w:tcPr>
            <w:tcW w:type="dxa" w:w="2045"/>
          </w:tcPr>
          <w:p>
            <w:pPr>
              <w:spacing w:after="0"/>
            </w:pPr>
            <w:r>
              <w:rPr>
                <w:rFonts w:ascii="Arial" w:hAnsi="Arial"/>
                <w:b w:val="0"/>
                <w:sz w:val="14"/>
              </w:rPr>
              <w:t>T-D-01 required layout evaluation</w:t>
            </w:r>
          </w:p>
        </w:tc>
        <w:tc>
          <w:tcPr>
            <w:tcW w:type="dxa" w:w="2045"/>
          </w:tcPr>
          <w:p>
            <w:pPr>
              <w:spacing w:after="0"/>
            </w:pPr>
            <w:r>
              <w:rPr>
                <w:rFonts w:ascii="Arial" w:hAnsi="Arial"/>
                <w:b w:val="0"/>
                <w:sz w:val="14"/>
              </w:rPr>
              <w:t>Very wide table may require split or landscape handling</w:t>
            </w:r>
          </w:p>
        </w:tc>
        <w:tc>
          <w:tcPr>
            <w:tcW w:type="dxa" w:w="2045"/>
          </w:tcPr>
          <w:p>
            <w:pPr>
              <w:spacing w:after="0"/>
            </w:pPr>
            <w:r>
              <w:rPr>
                <w:rFonts w:ascii="Arial" w:hAnsi="Arial"/>
                <w:b w:val="0"/>
                <w:sz w:val="14"/>
              </w:rPr>
              <w:t>Layout risk documented in table inventory</w:t>
            </w:r>
          </w:p>
        </w:tc>
        <w:tc>
          <w:tcPr>
            <w:tcW w:type="dxa" w:w="2045"/>
          </w:tcPr>
          <w:p>
            <w:pPr>
              <w:spacing w:after="0"/>
            </w:pPr>
            <w:r>
              <w:rPr>
                <w:rFonts w:ascii="Arial" w:hAnsi="Arial"/>
                <w:b w:val="0"/>
                <w:sz w:val="14"/>
              </w:rPr>
              <w:t>Render and inspect in Phase 1D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Wide table evaluation for T-13/T-14/T-15/T-17/T-18 and Appendix G</w:t>
            </w:r>
          </w:p>
        </w:tc>
        <w:tc>
          <w:tcPr>
            <w:tcW w:type="dxa" w:w="2045"/>
          </w:tcPr>
          <w:p>
            <w:pPr>
              <w:spacing w:after="0"/>
            </w:pPr>
            <w:r>
              <w:rPr>
                <w:rFonts w:ascii="Arial" w:hAnsi="Arial"/>
                <w:b w:val="0"/>
                <w:sz w:val="14"/>
              </w:rPr>
              <w:t>Several wide tables may not render in portrait layout</w:t>
            </w:r>
          </w:p>
        </w:tc>
        <w:tc>
          <w:tcPr>
            <w:tcW w:type="dxa" w:w="2045"/>
          </w:tcPr>
          <w:p>
            <w:pPr>
              <w:spacing w:after="0"/>
            </w:pPr>
            <w:r>
              <w:rPr>
                <w:rFonts w:ascii="Arial" w:hAnsi="Arial"/>
                <w:b w:val="0"/>
                <w:sz w:val="14"/>
              </w:rPr>
              <w:t>Layout risk documented in table inventory</w:t>
            </w:r>
          </w:p>
        </w:tc>
        <w:tc>
          <w:tcPr>
            <w:tcW w:type="dxa" w:w="2045"/>
          </w:tcPr>
          <w:p>
            <w:pPr>
              <w:spacing w:after="0"/>
            </w:pPr>
            <w:r>
              <w:rPr>
                <w:rFonts w:ascii="Arial" w:hAnsi="Arial"/>
                <w:b w:val="0"/>
                <w:sz w:val="14"/>
              </w:rPr>
              <w:t>Render and inspect in Phase 1D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MPLP/Validation Lab URL validation</w:t>
            </w:r>
          </w:p>
        </w:tc>
        <w:tc>
          <w:tcPr>
            <w:tcW w:type="dxa" w:w="2045"/>
          </w:tcPr>
          <w:p>
            <w:pPr>
              <w:spacing w:after="0"/>
            </w:pPr>
            <w:r>
              <w:rPr>
                <w:rFonts w:ascii="Arial" w:hAnsi="Arial"/>
                <w:b w:val="0"/>
                <w:sz w:val="14"/>
              </w:rPr>
              <w:t>URLs were not validated in Phase 1B</w:t>
            </w:r>
          </w:p>
        </w:tc>
        <w:tc>
          <w:tcPr>
            <w:tcW w:type="dxa" w:w="2045"/>
          </w:tcPr>
          <w:p>
            <w:pPr>
              <w:spacing w:after="0"/>
            </w:pPr>
            <w:r>
              <w:rPr>
                <w:rFonts w:ascii="Arial" w:hAnsi="Arial"/>
                <w:b w:val="0"/>
                <w:sz w:val="14"/>
              </w:rPr>
              <w:t>MPLP docs and site entry points located; Validation Lab public entry point located</w:t>
            </w:r>
          </w:p>
        </w:tc>
        <w:tc>
          <w:tcPr>
            <w:tcW w:type="dxa" w:w="2045"/>
          </w:tcPr>
          <w:p>
            <w:pPr>
              <w:spacing w:after="0"/>
            </w:pPr>
            <w:r>
              <w:rPr>
                <w:rFonts w:ascii="Arial" w:hAnsi="Arial"/>
                <w:b w:val="0"/>
                <w:sz w:val="14"/>
              </w:rPr>
              <w:t>Methodology-specific Validation Lab support remains boundary-limited</w:t>
            </w:r>
          </w:p>
        </w:tc>
        <w:tc>
          <w:tcPr>
            <w:tcW w:type="dxa" w:w="2045"/>
          </w:tcPr>
          <w:p>
            <w:pPr>
              <w:spacing w:after="0"/>
            </w:pPr>
            <w:r>
              <w:rPr>
                <w:rFonts w:ascii="Arial" w:hAnsi="Arial"/>
                <w:b w:val="0"/>
                <w:sz w:val="14"/>
              </w:rPr>
              <w:t>Phase 1C follow-up / Phase 1D</w:t>
            </w:r>
          </w:p>
        </w:tc>
      </w:tr>
      <w:tr>
        <w:tc>
          <w:tcPr>
            <w:tcW w:type="dxa" w:w="2045"/>
          </w:tcPr>
          <w:p>
            <w:pPr>
              <w:spacing w:after="0"/>
            </w:pPr>
            <w:r>
              <w:rPr>
                <w:rFonts w:ascii="Arial" w:hAnsi="Arial"/>
                <w:b w:val="0"/>
                <w:sz w:val="14"/>
              </w:rPr>
              <w:t>Evidence level annotation</w:t>
            </w:r>
          </w:p>
        </w:tc>
        <w:tc>
          <w:tcPr>
            <w:tcW w:type="dxa" w:w="2045"/>
          </w:tcPr>
          <w:p>
            <w:pPr>
              <w:spacing w:after="0"/>
            </w:pPr>
            <w:r>
              <w:rPr>
                <w:rFonts w:ascii="Arial" w:hAnsi="Arial"/>
                <w:b w:val="0"/>
                <w:sz w:val="14"/>
              </w:rPr>
              <w:t>Evidence confidence must be visible and consistent</w:t>
            </w:r>
          </w:p>
        </w:tc>
        <w:tc>
          <w:tcPr>
            <w:tcW w:type="dxa" w:w="2045"/>
          </w:tcPr>
          <w:p>
            <w:pPr>
              <w:spacing w:after="0"/>
            </w:pPr>
            <w:r>
              <w:rPr>
                <w:rFonts w:ascii="Arial" w:hAnsi="Arial"/>
                <w:b w:val="0"/>
                <w:sz w:val="14"/>
              </w:rPr>
              <w:t>Claim evidence register added L1-L5 labels and downgrade dispositions</w:t>
            </w:r>
          </w:p>
        </w:tc>
        <w:tc>
          <w:tcPr>
            <w:tcW w:type="dxa" w:w="2045"/>
          </w:tcPr>
          <w:p>
            <w:pPr>
              <w:spacing w:after="0"/>
            </w:pPr>
            <w:r>
              <w:rPr>
                <w:rFonts w:ascii="Arial" w:hAnsi="Arial"/>
                <w:b w:val="0"/>
                <w:sz w:val="14"/>
              </w:rPr>
              <w:t>Verify citations render with evidence labels in Phase 1D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Source coverage matrix validation</w:t>
            </w:r>
          </w:p>
        </w:tc>
        <w:tc>
          <w:tcPr>
            <w:tcW w:type="dxa" w:w="2045"/>
          </w:tcPr>
          <w:p>
            <w:pPr>
              <w:spacing w:after="0"/>
            </w:pPr>
            <w:r>
              <w:rPr>
                <w:rFonts w:ascii="Arial" w:hAnsi="Arial"/>
                <w:b w:val="0"/>
                <w:sz w:val="14"/>
              </w:rPr>
              <w:t>Coverage matrix is a governance ledger requiring global validation</w:t>
            </w:r>
          </w:p>
        </w:tc>
        <w:tc>
          <w:tcPr>
            <w:tcW w:type="dxa" w:w="2045"/>
          </w:tcPr>
          <w:p>
            <w:pPr>
              <w:spacing w:after="0"/>
            </w:pPr>
            <w:r>
              <w:rPr>
                <w:rFonts w:ascii="Arial" w:hAnsi="Arial"/>
                <w:b w:val="0"/>
                <w:sz w:val="14"/>
              </w:rPr>
              <w:t>Matrix expanded and updated to claim-level source-binding status</w:t>
            </w:r>
          </w:p>
        </w:tc>
        <w:tc>
          <w:tcPr>
            <w:tcW w:type="dxa" w:w="2045"/>
          </w:tcPr>
          <w:p>
            <w:pPr>
              <w:spacing w:after="0"/>
            </w:pPr>
            <w:r>
              <w:rPr>
                <w:rFonts w:ascii="Arial" w:hAnsi="Arial"/>
                <w:b w:val="0"/>
                <w:sz w:val="14"/>
              </w:rPr>
              <w:t>Maintain claim register during page-level citation pinning</w:t>
            </w:r>
          </w:p>
        </w:tc>
        <w:tc>
          <w:tcPr>
            <w:tcW w:type="dxa" w:w="2045"/>
          </w:tcPr>
          <w:p>
            <w:pPr>
              <w:spacing w:after="0"/>
            </w:pPr>
            <w:r>
              <w:rPr>
                <w:rFonts w:ascii="Arial" w:hAnsi="Arial"/>
                <w:b w:val="0"/>
                <w:sz w:val="14"/>
              </w:rPr>
              <w:t>Phase 1C follow-up / Phase 1D</w:t>
            </w:r>
          </w:p>
        </w:tc>
      </w:tr>
      <w:tr>
        <w:tc>
          <w:tcPr>
            <w:tcW w:type="dxa" w:w="2045"/>
          </w:tcPr>
          <w:p>
            <w:pPr>
              <w:spacing w:after="0"/>
            </w:pPr>
            <w:r>
              <w:rPr>
                <w:rFonts w:ascii="Arial" w:hAnsi="Arial"/>
                <w:b w:val="0"/>
                <w:sz w:val="14"/>
              </w:rPr>
              <w:t>Appendix G provisional assessments required source revalidation before finalization</w:t>
            </w:r>
          </w:p>
        </w:tc>
        <w:tc>
          <w:tcPr>
            <w:tcW w:type="dxa" w:w="2045"/>
          </w:tcPr>
          <w:p>
            <w:pPr>
              <w:spacing w:after="0"/>
            </w:pPr>
            <w:r>
              <w:rPr>
                <w:rFonts w:ascii="Arial" w:hAnsi="Arial"/>
                <w:b w:val="0"/>
                <w:sz w:val="14"/>
              </w:rPr>
              <w:t>Appendix G uses qualitative provisional posture</w:t>
            </w:r>
          </w:p>
        </w:tc>
        <w:tc>
          <w:tcPr>
            <w:tcW w:type="dxa" w:w="2045"/>
          </w:tcPr>
          <w:p>
            <w:pPr>
              <w:spacing w:after="0"/>
            </w:pPr>
            <w:r>
              <w:rPr>
                <w:rFonts w:ascii="Arial" w:hAnsi="Arial"/>
                <w:b w:val="0"/>
                <w:sz w:val="14"/>
              </w:rPr>
              <w:t>Appendix G marked revalidated provisional; material claims source-bound, narrowed, or downgraded</w:t>
            </w:r>
          </w:p>
        </w:tc>
        <w:tc>
          <w:tcPr>
            <w:tcW w:type="dxa" w:w="2045"/>
          </w:tcPr>
          <w:p>
            <w:pPr>
              <w:spacing w:after="0"/>
            </w:pPr>
            <w:r>
              <w:rPr>
                <w:rFonts w:ascii="Arial" w:hAnsi="Arial"/>
                <w:b w:val="0"/>
                <w:sz w:val="14"/>
              </w:rPr>
              <w:t>Keep provisional until publication approval; no final scores/rankings</w:t>
            </w:r>
          </w:p>
        </w:tc>
        <w:tc>
          <w:tcPr>
            <w:tcW w:type="dxa" w:w="2045"/>
          </w:tcPr>
          <w:p>
            <w:pPr>
              <w:spacing w:after="0"/>
            </w:pPr>
            <w:r>
              <w:rPr>
                <w:rFonts w:ascii="Arial" w:hAnsi="Arial"/>
                <w:b w:val="0"/>
                <w:sz w:val="14"/>
              </w:rPr>
              <w:t>Phase 1C follow-up</w:t>
            </w:r>
          </w:p>
        </w:tc>
      </w:tr>
    </w:tbl>
    <w:p>
      <w:pPr>
        <w:pStyle w:val="Heading2"/>
      </w:pPr>
      <w:r>
        <w:t>J.4 Deferred Phase 1D Items</w:t>
      </w:r>
    </w:p>
    <w:p>
      <w:pPr>
        <w:keepNext/>
      </w:pPr>
      <w:r>
        <w:rPr>
          <w:b/>
          <w:sz w:val="16"/>
        </w:rPr>
        <w:t>Table T-J-03: Phase 1D Layout / Publication Items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Item</w:t>
            </w:r>
          </w:p>
        </w:tc>
        <w:tc>
          <w:tcPr>
            <w:tcW w:type="dxa" w:w="2045"/>
          </w:tcPr>
          <w:p>
            <w:pPr>
              <w:spacing w:after="0"/>
            </w:pPr>
            <w:r>
              <w:rPr>
                <w:rFonts w:ascii="Arial" w:hAnsi="Arial"/>
                <w:b/>
                <w:sz w:val="14"/>
              </w:rPr>
              <w:t>Publication Risk</w:t>
            </w:r>
          </w:p>
        </w:tc>
        <w:tc>
          <w:tcPr>
            <w:tcW w:type="dxa" w:w="2045"/>
          </w:tcPr>
          <w:p>
            <w:pPr>
              <w:spacing w:after="0"/>
            </w:pPr>
            <w:r>
              <w:rPr>
                <w:rFonts w:ascii="Arial" w:hAnsi="Arial"/>
                <w:b/>
                <w:sz w:val="14"/>
              </w:rPr>
              <w:t>Required QA</w:t>
            </w:r>
          </w:p>
        </w:tc>
        <w:tc>
          <w:tcPr>
            <w:tcW w:type="dxa" w:w="2045"/>
          </w:tcPr>
          <w:p>
            <w:pPr>
              <w:spacing w:after="0"/>
            </w:pPr>
            <w:r>
              <w:rPr>
                <w:rFonts w:ascii="Arial" w:hAnsi="Arial"/>
                <w:b/>
                <w:sz w:val="14"/>
              </w:rPr>
              <w:t>Expected Output</w:t>
            </w:r>
          </w:p>
        </w:tc>
        <w:tc>
          <w:tcPr>
            <w:tcW w:type="dxa" w:w="2045"/>
          </w:tcPr>
          <w:p>
            <w:pPr>
              <w:spacing w:after="0"/>
            </w:pPr>
            <w:r>
              <w:rPr>
                <w:rFonts w:ascii="Arial" w:hAnsi="Arial"/>
                <w:b/>
                <w:sz w:val="14"/>
              </w:rPr>
              <w:t>Owner Phase</w:t>
            </w:r>
          </w:p>
        </w:tc>
      </w:tr>
      <w:tr>
        <w:tc>
          <w:tcPr>
            <w:tcW w:type="dxa" w:w="2045"/>
          </w:tcPr>
          <w:p>
            <w:pPr>
              <w:spacing w:after="0"/>
            </w:pPr>
            <w:r>
              <w:rPr>
                <w:rFonts w:ascii="Arial" w:hAnsi="Arial"/>
                <w:b w:val="0"/>
                <w:sz w:val="14"/>
              </w:rPr>
              <w:t>DOCX generation</w:t>
            </w:r>
          </w:p>
        </w:tc>
        <w:tc>
          <w:tcPr>
            <w:tcW w:type="dxa" w:w="2045"/>
          </w:tcPr>
          <w:p>
            <w:pPr>
              <w:spacing w:after="0"/>
            </w:pPr>
            <w:r>
              <w:rPr>
                <w:rFonts w:ascii="Arial" w:hAnsi="Arial"/>
                <w:b w:val="0"/>
                <w:sz w:val="14"/>
              </w:rPr>
              <w:t>Formatting may drift from Markdown source</w:t>
            </w:r>
          </w:p>
        </w:tc>
        <w:tc>
          <w:tcPr>
            <w:tcW w:type="dxa" w:w="2045"/>
          </w:tcPr>
          <w:p>
            <w:pPr>
              <w:spacing w:after="0"/>
            </w:pPr>
            <w:r>
              <w:rPr>
                <w:rFonts w:ascii="Arial" w:hAnsi="Arial"/>
                <w:b w:val="0"/>
                <w:sz w:val="14"/>
              </w:rPr>
              <w:t>Generate DOCX from reviewed source</w:t>
            </w:r>
          </w:p>
        </w:tc>
        <w:tc>
          <w:tcPr>
            <w:tcW w:type="dxa" w:w="2045"/>
          </w:tcPr>
          <w:p>
            <w:pPr>
              <w:spacing w:after="0"/>
            </w:pPr>
            <w:r>
              <w:rPr>
                <w:rFonts w:ascii="Arial" w:hAnsi="Arial"/>
                <w:b w:val="0"/>
                <w:sz w:val="14"/>
              </w:rPr>
              <w:t>Publication candidate DOCX</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PDF generation</w:t>
            </w:r>
          </w:p>
        </w:tc>
        <w:tc>
          <w:tcPr>
            <w:tcW w:type="dxa" w:w="2045"/>
          </w:tcPr>
          <w:p>
            <w:pPr>
              <w:spacing w:after="0"/>
            </w:pPr>
            <w:r>
              <w:rPr>
                <w:rFonts w:ascii="Arial" w:hAnsi="Arial"/>
                <w:b w:val="0"/>
                <w:sz w:val="14"/>
              </w:rPr>
              <w:t>Tables or figures may clip or wrap poorly</w:t>
            </w:r>
          </w:p>
        </w:tc>
        <w:tc>
          <w:tcPr>
            <w:tcW w:type="dxa" w:w="2045"/>
          </w:tcPr>
          <w:p>
            <w:pPr>
              <w:spacing w:after="0"/>
            </w:pPr>
            <w:r>
              <w:rPr>
                <w:rFonts w:ascii="Arial" w:hAnsi="Arial"/>
                <w:b w:val="0"/>
                <w:sz w:val="14"/>
              </w:rPr>
              <w:t>Generate PDF from finalized DOCX/source</w:t>
            </w:r>
          </w:p>
        </w:tc>
        <w:tc>
          <w:tcPr>
            <w:tcW w:type="dxa" w:w="2045"/>
          </w:tcPr>
          <w:p>
            <w:pPr>
              <w:spacing w:after="0"/>
            </w:pPr>
            <w:r>
              <w:rPr>
                <w:rFonts w:ascii="Arial" w:hAnsi="Arial"/>
                <w:b w:val="0"/>
                <w:sz w:val="14"/>
              </w:rPr>
              <w:t>Publication candidate PDF</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Wide table rendering</w:t>
            </w:r>
          </w:p>
        </w:tc>
        <w:tc>
          <w:tcPr>
            <w:tcW w:type="dxa" w:w="2045"/>
          </w:tcPr>
          <w:p>
            <w:pPr>
              <w:spacing w:after="0"/>
            </w:pPr>
            <w:r>
              <w:rPr>
                <w:rFonts w:ascii="Arial" w:hAnsi="Arial"/>
                <w:b w:val="0"/>
                <w:sz w:val="14"/>
              </w:rPr>
              <w:t>Landscape tables may be unreadable or clipped</w:t>
            </w:r>
          </w:p>
        </w:tc>
        <w:tc>
          <w:tcPr>
            <w:tcW w:type="dxa" w:w="2045"/>
          </w:tcPr>
          <w:p>
            <w:pPr>
              <w:spacing w:after="0"/>
            </w:pPr>
            <w:r>
              <w:rPr>
                <w:rFonts w:ascii="Arial" w:hAnsi="Arial"/>
                <w:b w:val="0"/>
                <w:sz w:val="14"/>
              </w:rPr>
              <w:t>Inspect T-D-01, T-13/T-14/T-15/T-17/T-18, Appendix G, H-K tables</w:t>
            </w:r>
          </w:p>
        </w:tc>
        <w:tc>
          <w:tcPr>
            <w:tcW w:type="dxa" w:w="2045"/>
          </w:tcPr>
          <w:p>
            <w:pPr>
              <w:spacing w:after="0"/>
            </w:pPr>
            <w:r>
              <w:rPr>
                <w:rFonts w:ascii="Arial" w:hAnsi="Arial"/>
                <w:b w:val="0"/>
                <w:sz w:val="14"/>
              </w:rPr>
              <w:t>Wide-table remediation record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Figure readability</w:t>
            </w:r>
          </w:p>
        </w:tc>
        <w:tc>
          <w:tcPr>
            <w:tcW w:type="dxa" w:w="2045"/>
          </w:tcPr>
          <w:p>
            <w:pPr>
              <w:spacing w:after="0"/>
            </w:pPr>
            <w:r>
              <w:rPr>
                <w:rFonts w:ascii="Arial" w:hAnsi="Arial"/>
                <w:b w:val="0"/>
                <w:sz w:val="14"/>
              </w:rPr>
              <w:t>Figure panels or generated figures may not be publication grade</w:t>
            </w:r>
          </w:p>
        </w:tc>
        <w:tc>
          <w:tcPr>
            <w:tcW w:type="dxa" w:w="2045"/>
          </w:tcPr>
          <w:p>
            <w:pPr>
              <w:spacing w:after="0"/>
            </w:pPr>
            <w:r>
              <w:rPr>
                <w:rFonts w:ascii="Arial" w:hAnsi="Arial"/>
                <w:b w:val="0"/>
                <w:sz w:val="14"/>
              </w:rPr>
              <w:t>Verify figure resolution, labels, captions, and references</w:t>
            </w:r>
          </w:p>
        </w:tc>
        <w:tc>
          <w:tcPr>
            <w:tcW w:type="dxa" w:w="2045"/>
          </w:tcPr>
          <w:p>
            <w:pPr>
              <w:spacing w:after="0"/>
            </w:pPr>
            <w:r>
              <w:rPr>
                <w:rFonts w:ascii="Arial" w:hAnsi="Arial"/>
                <w:b w:val="0"/>
                <w:sz w:val="14"/>
              </w:rPr>
              <w:t>Figure QA record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Table captions and page breaks</w:t>
            </w:r>
          </w:p>
        </w:tc>
        <w:tc>
          <w:tcPr>
            <w:tcW w:type="dxa" w:w="2045"/>
          </w:tcPr>
          <w:p>
            <w:pPr>
              <w:spacing w:after="0"/>
            </w:pPr>
            <w:r>
              <w:rPr>
                <w:rFonts w:ascii="Arial" w:hAnsi="Arial"/>
                <w:b w:val="0"/>
                <w:sz w:val="14"/>
              </w:rPr>
              <w:t>Captions and headers may split incorrectly</w:t>
            </w:r>
          </w:p>
        </w:tc>
        <w:tc>
          <w:tcPr>
            <w:tcW w:type="dxa" w:w="2045"/>
          </w:tcPr>
          <w:p>
            <w:pPr>
              <w:spacing w:after="0"/>
            </w:pPr>
            <w:r>
              <w:rPr>
                <w:rFonts w:ascii="Arial" w:hAnsi="Arial"/>
                <w:b w:val="0"/>
                <w:sz w:val="14"/>
              </w:rPr>
              <w:t>Inspect page breaks, captions, repeated headers</w:t>
            </w:r>
          </w:p>
        </w:tc>
        <w:tc>
          <w:tcPr>
            <w:tcW w:type="dxa" w:w="2045"/>
          </w:tcPr>
          <w:p>
            <w:pPr>
              <w:spacing w:after="0"/>
            </w:pPr>
            <w:r>
              <w:rPr>
                <w:rFonts w:ascii="Arial" w:hAnsi="Arial"/>
                <w:b w:val="0"/>
                <w:sz w:val="14"/>
              </w:rPr>
              <w:t>Layout QA record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Citation rendering</w:t>
            </w:r>
          </w:p>
        </w:tc>
        <w:tc>
          <w:tcPr>
            <w:tcW w:type="dxa" w:w="2045"/>
          </w:tcPr>
          <w:p>
            <w:pPr>
              <w:spacing w:after="0"/>
            </w:pPr>
            <w:r>
              <w:rPr>
                <w:rFonts w:ascii="Arial" w:hAnsi="Arial"/>
                <w:b w:val="0"/>
                <w:sz w:val="14"/>
              </w:rPr>
              <w:t>Citations may not render consistently in DOCX/PDF</w:t>
            </w:r>
          </w:p>
        </w:tc>
        <w:tc>
          <w:tcPr>
            <w:tcW w:type="dxa" w:w="2045"/>
          </w:tcPr>
          <w:p>
            <w:pPr>
              <w:spacing w:after="0"/>
            </w:pPr>
            <w:r>
              <w:rPr>
                <w:rFonts w:ascii="Arial" w:hAnsi="Arial"/>
                <w:b w:val="0"/>
                <w:sz w:val="14"/>
              </w:rPr>
              <w:t>Verify citation formatting after generation</w:t>
            </w:r>
          </w:p>
        </w:tc>
        <w:tc>
          <w:tcPr>
            <w:tcW w:type="dxa" w:w="2045"/>
          </w:tcPr>
          <w:p>
            <w:pPr>
              <w:spacing w:after="0"/>
            </w:pPr>
            <w:r>
              <w:rPr>
                <w:rFonts w:ascii="Arial" w:hAnsi="Arial"/>
                <w:b w:val="0"/>
                <w:sz w:val="14"/>
              </w:rPr>
              <w:t>Citation rendering QA record</w:t>
            </w:r>
          </w:p>
        </w:tc>
        <w:tc>
          <w:tcPr>
            <w:tcW w:type="dxa" w:w="2045"/>
          </w:tcPr>
          <w:p>
            <w:pPr>
              <w:spacing w:after="0"/>
            </w:pPr>
            <w:r>
              <w:rPr>
                <w:rFonts w:ascii="Arial" w:hAnsi="Arial"/>
                <w:b w:val="0"/>
                <w:sz w:val="14"/>
              </w:rPr>
              <w:t>Phase 1D</w:t>
            </w:r>
          </w:p>
        </w:tc>
      </w:tr>
    </w:tbl>
    <w:p>
      <w:pPr>
        <w:pStyle w:val="Heading2"/>
      </w:pPr>
      <w:r>
        <w:t>J.5 Closure Interpretation Boundary</w:t>
      </w:r>
    </w:p>
    <w:p>
      <w:pPr>
        <w:spacing w:after="56"/>
      </w:pPr>
      <w:r>
        <w:t>Closed and structurally closed items indicate that the Markdown source now contains the required content or correction. They do not mean that source revalidation, legal review, procurement review, certification, publication layout, or final rendering has been completed.</w:t>
      </w:r>
    </w:p>
    <w:p>
      <w:pPr>
        <w:spacing w:after="56"/>
      </w:pPr>
      <w:r>
        <w:t>Phase 1C cleanup and claim-level source binding have been completed; remaining work is Phase 1D/publication QA. Deferred Phase 1D items remain active governance obligations until publication-candidate generation, citation rendering, table/figure proofing, and final review are complete.</w:t>
      </w:r>
    </w:p>
    <w:p>
      <w:pPr>
        <w:pStyle w:val="Heading1"/>
      </w:pPr>
      <w:r>
        <w:t>Appendix K — Editorial Remediation Record</w:t>
      </w:r>
    </w:p>
    <w:p>
      <w:pPr>
        <w:spacing w:after="56"/>
      </w:pPr>
      <w:r>
        <w:t>Version: v0.3.2-FRC-R3</w:t>
      </w:r>
    </w:p>
    <w:p>
      <w:pPr>
        <w:pStyle w:val="Heading2"/>
      </w:pPr>
      <w:r>
        <w:t>K.0 Editorial Remediation Boundary</w:t>
      </w:r>
    </w:p>
    <w:p>
      <w:pPr>
        <w:spacing w:after="56"/>
      </w:pPr>
      <w:r>
        <w:t>This appendix records governance-relevant remediation decisions across Phase 1A and Phase 1B. It is not a line-by-line changelog. It preserves audit traceability for reconstruction strategy, methodology correction, boundary hardening, source governance, and deferred cleanup.</w:t>
      </w:r>
    </w:p>
    <w:p>
      <w:pPr>
        <w:spacing w:after="56"/>
      </w:pPr>
      <w:r>
        <w:t>The record does not claim that Phase 1D publication QA or publication-candidate review has been completed.</w:t>
      </w:r>
    </w:p>
    <w:p>
      <w:pPr>
        <w:pStyle w:val="Heading2"/>
      </w:pPr>
      <w:r>
        <w:t>K.1 Remediation Categories</w:t>
      </w:r>
    </w:p>
    <w:p>
      <w:pPr>
        <w:spacing w:after="56"/>
      </w:pPr>
      <w:r>
        <w:t>Remediation categories:</w:t>
      </w:r>
    </w:p>
    <w:p>
      <w:pPr>
        <w:pStyle w:val="ListNumber"/>
        <w:spacing w:after="56"/>
      </w:pPr>
      <w:r>
        <w:t>Structural reconstruction: Creating clean Markdown source, filling chapters, and replacing unstable PDF extraction behavior.</w:t>
      </w:r>
    </w:p>
    <w:p>
      <w:pPr>
        <w:pStyle w:val="ListNumber"/>
        <w:spacing w:after="56"/>
      </w:pPr>
      <w:r>
        <w:t>Methodology correction: Aligning evidence multipliers, scoring formulas, score-5 interpretation, and composite weighting.</w:t>
      </w:r>
    </w:p>
    <w:p>
      <w:pPr>
        <w:pStyle w:val="ListNumber"/>
        <w:spacing w:after="56"/>
      </w:pPr>
      <w:r>
        <w:t>Boundary hardening: Preventing legal, procurement, certification, vendor ordering, or compliance-proof overclaim.</w:t>
      </w:r>
    </w:p>
    <w:p>
      <w:pPr>
        <w:pStyle w:val="ListNumber"/>
        <w:spacing w:after="56"/>
      </w:pPr>
      <w:r>
        <w:t>Source governance: Preserving citation inventory status, L2 revalidation requirements, evidence level annotation, and source coverage validation.</w:t>
      </w:r>
    </w:p>
    <w:p>
      <w:pPr>
        <w:pStyle w:val="ListNumber"/>
        <w:spacing w:after="56"/>
      </w:pPr>
      <w:r>
        <w:t>Publication deferral: Reserving DOCX/PDF generation and layout QA for Phase 1D.</w:t>
      </w:r>
    </w:p>
    <w:p>
      <w:pPr>
        <w:pStyle w:val="Heading2"/>
      </w:pPr>
      <w:r>
        <w:t>K.2 Phase 1A Remediation Record</w:t>
      </w:r>
    </w:p>
    <w:p>
      <w:pPr>
        <w:spacing w:after="56"/>
      </w:pPr>
      <w:r>
        <w:t>Phase 1A established the clean source foundation:</w:t>
      </w:r>
    </w:p>
    <w:p>
      <w:pPr>
        <w:pStyle w:val="ListBullet"/>
        <w:spacing w:after="56"/>
      </w:pPr>
      <w:r>
        <w:t>Rebuilt the document as Markdown-first source.</w:t>
      </w:r>
    </w:p>
    <w:p>
      <w:pPr>
        <w:pStyle w:val="ListBullet"/>
        <w:spacing w:after="56"/>
      </w:pPr>
      <w:r>
        <w:t>Filled core body chapters and methodology chapters.</w:t>
      </w:r>
    </w:p>
    <w:p>
      <w:pPr>
        <w:pStyle w:val="ListBullet"/>
        <w:spacing w:after="56"/>
      </w:pPr>
      <w:r>
        <w:t>Established RCCS, ALCS, evidence multiplier, and composite scoring discipline.</w:t>
      </w:r>
    </w:p>
    <w:p>
      <w:pPr>
        <w:pStyle w:val="ListBullet"/>
        <w:spacing w:after="56"/>
      </w:pPr>
      <w:r>
        <w:t>Preserved non-legal and non-certifying boundaries.</w:t>
      </w:r>
    </w:p>
    <w:p>
      <w:pPr>
        <w:pStyle w:val="ListBullet"/>
        <w:spacing w:after="56"/>
      </w:pPr>
      <w:r>
        <w:t>Deferred DOCX/PDF generation until after source completion and cleanup.</w:t>
      </w:r>
    </w:p>
    <w:p>
      <w:pPr>
        <w:pStyle w:val="Heading2"/>
      </w:pPr>
      <w:r>
        <w:t>K.3 Phase 1B Remediation Record</w:t>
      </w:r>
    </w:p>
    <w:p>
      <w:pPr>
        <w:keepNext/>
      </w:pPr>
      <w:r>
        <w:rPr>
          <w:b/>
          <w:sz w:val="16"/>
        </w:rPr>
        <w:t>Table T-K-01: Editorial Remediation Record</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Record ID</w:t>
            </w:r>
          </w:p>
        </w:tc>
        <w:tc>
          <w:tcPr>
            <w:tcW w:type="dxa" w:w="1704"/>
          </w:tcPr>
          <w:p>
            <w:pPr>
              <w:spacing w:after="0"/>
            </w:pPr>
            <w:r>
              <w:rPr>
                <w:rFonts w:ascii="Arial" w:hAnsi="Arial"/>
                <w:b/>
                <w:sz w:val="12"/>
              </w:rPr>
              <w:t>Phase</w:t>
            </w:r>
          </w:p>
        </w:tc>
        <w:tc>
          <w:tcPr>
            <w:tcW w:type="dxa" w:w="1704"/>
          </w:tcPr>
          <w:p>
            <w:pPr>
              <w:spacing w:after="0"/>
            </w:pPr>
            <w:r>
              <w:rPr>
                <w:rFonts w:ascii="Arial" w:hAnsi="Arial"/>
                <w:b/>
                <w:sz w:val="12"/>
              </w:rPr>
              <w:t>Issue</w:t>
            </w:r>
          </w:p>
        </w:tc>
        <w:tc>
          <w:tcPr>
            <w:tcW w:type="dxa" w:w="1704"/>
          </w:tcPr>
          <w:p>
            <w:pPr>
              <w:spacing w:after="0"/>
            </w:pPr>
            <w:r>
              <w:rPr>
                <w:rFonts w:ascii="Arial" w:hAnsi="Arial"/>
                <w:b/>
                <w:sz w:val="12"/>
              </w:rPr>
              <w:t>Remediation</w:t>
            </w:r>
          </w:p>
        </w:tc>
        <w:tc>
          <w:tcPr>
            <w:tcW w:type="dxa" w:w="1704"/>
          </w:tcPr>
          <w:p>
            <w:pPr>
              <w:spacing w:after="0"/>
            </w:pPr>
            <w:r>
              <w:rPr>
                <w:rFonts w:ascii="Arial" w:hAnsi="Arial"/>
                <w:b/>
                <w:sz w:val="12"/>
              </w:rPr>
              <w:t>Evidence / File Area</w:t>
            </w:r>
          </w:p>
        </w:tc>
        <w:tc>
          <w:tcPr>
            <w:tcW w:type="dxa" w:w="1704"/>
          </w:tcPr>
          <w:p>
            <w:pPr>
              <w:spacing w:after="0"/>
            </w:pPr>
            <w:r>
              <w:rPr>
                <w:rFonts w:ascii="Arial" w:hAnsi="Arial"/>
                <w:b/>
                <w:sz w:val="12"/>
              </w:rPr>
              <w:t>Status</w:t>
            </w:r>
          </w:p>
        </w:tc>
      </w:tr>
      <w:tr>
        <w:tc>
          <w:tcPr>
            <w:tcW w:type="dxa" w:w="1704"/>
          </w:tcPr>
          <w:p>
            <w:pPr>
              <w:spacing w:after="0"/>
            </w:pPr>
            <w:r>
              <w:rPr>
                <w:rFonts w:ascii="Arial" w:hAnsi="Arial"/>
                <w:b w:val="0"/>
                <w:sz w:val="12"/>
              </w:rPr>
              <w:t>R-K-01</w:t>
            </w:r>
          </w:p>
        </w:tc>
        <w:tc>
          <w:tcPr>
            <w:tcW w:type="dxa" w:w="1704"/>
          </w:tcPr>
          <w:p>
            <w:pPr>
              <w:spacing w:after="0"/>
            </w:pPr>
            <w:r>
              <w:rPr>
                <w:rFonts w:ascii="Arial" w:hAnsi="Arial"/>
                <w:b w:val="0"/>
                <w:sz w:val="12"/>
              </w:rPr>
              <w:t>Phase 1A</w:t>
            </w:r>
          </w:p>
        </w:tc>
        <w:tc>
          <w:tcPr>
            <w:tcW w:type="dxa" w:w="1704"/>
          </w:tcPr>
          <w:p>
            <w:pPr>
              <w:spacing w:after="0"/>
            </w:pPr>
            <w:r>
              <w:rPr>
                <w:rFonts w:ascii="Arial" w:hAnsi="Arial"/>
                <w:b w:val="0"/>
                <w:sz w:val="12"/>
              </w:rPr>
              <w:t>R2 extraction and layout instability</w:t>
            </w:r>
          </w:p>
        </w:tc>
        <w:tc>
          <w:tcPr>
            <w:tcW w:type="dxa" w:w="1704"/>
          </w:tcPr>
          <w:p>
            <w:pPr>
              <w:spacing w:after="0"/>
            </w:pPr>
            <w:r>
              <w:rPr>
                <w:rFonts w:ascii="Arial" w:hAnsi="Arial"/>
                <w:b w:val="0"/>
                <w:sz w:val="12"/>
              </w:rPr>
              <w:t>Adopted Markdown-first reconstruction strategy</w:t>
            </w:r>
          </w:p>
        </w:tc>
        <w:tc>
          <w:tcPr>
            <w:tcW w:type="dxa" w:w="1704"/>
          </w:tcPr>
          <w:p>
            <w:pPr>
              <w:spacing w:after="0"/>
            </w:pPr>
            <w:r>
              <w:rPr>
                <w:rFonts w:ascii="Arial" w:hAnsi="Arial"/>
                <w:b w:val="0"/>
                <w:sz w:val="12"/>
              </w:rPr>
              <w:t>Reconstruction notes; SOURCE MASTER</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R-K-02</w:t>
            </w:r>
          </w:p>
        </w:tc>
        <w:tc>
          <w:tcPr>
            <w:tcW w:type="dxa" w:w="1704"/>
          </w:tcPr>
          <w:p>
            <w:pPr>
              <w:spacing w:after="0"/>
            </w:pPr>
            <w:r>
              <w:rPr>
                <w:rFonts w:ascii="Arial" w:hAnsi="Arial"/>
                <w:b w:val="0"/>
                <w:sz w:val="12"/>
              </w:rPr>
              <w:t>Phase 1A</w:t>
            </w:r>
          </w:p>
        </w:tc>
        <w:tc>
          <w:tcPr>
            <w:tcW w:type="dxa" w:w="1704"/>
          </w:tcPr>
          <w:p>
            <w:pPr>
              <w:spacing w:after="0"/>
            </w:pPr>
            <w:r>
              <w:rPr>
                <w:rFonts w:ascii="Arial" w:hAnsi="Arial"/>
                <w:b w:val="0"/>
                <w:sz w:val="12"/>
              </w:rPr>
              <w:t>Core methodology needed stable scoring discipline</w:t>
            </w:r>
          </w:p>
        </w:tc>
        <w:tc>
          <w:tcPr>
            <w:tcW w:type="dxa" w:w="1704"/>
          </w:tcPr>
          <w:p>
            <w:pPr>
              <w:spacing w:after="0"/>
            </w:pPr>
            <w:r>
              <w:rPr>
                <w:rFonts w:ascii="Arial" w:hAnsi="Arial"/>
                <w:b w:val="0"/>
                <w:sz w:val="12"/>
              </w:rPr>
              <w:t>Established canonical evidence multipliers and scoring formulas</w:t>
            </w:r>
          </w:p>
        </w:tc>
        <w:tc>
          <w:tcPr>
            <w:tcW w:type="dxa" w:w="1704"/>
          </w:tcPr>
          <w:p>
            <w:pPr>
              <w:spacing w:after="0"/>
            </w:pPr>
            <w:r>
              <w:rPr>
                <w:rFonts w:ascii="Arial" w:hAnsi="Arial"/>
                <w:b w:val="0"/>
                <w:sz w:val="12"/>
              </w:rPr>
              <w:t>Chapters 7-9; Appendix B</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R-K-03</w:t>
            </w:r>
          </w:p>
        </w:tc>
        <w:tc>
          <w:tcPr>
            <w:tcW w:type="dxa" w:w="1704"/>
          </w:tcPr>
          <w:p>
            <w:pPr>
              <w:spacing w:after="0"/>
            </w:pPr>
            <w:r>
              <w:rPr>
                <w:rFonts w:ascii="Arial" w:hAnsi="Arial"/>
                <w:b w:val="0"/>
                <w:sz w:val="12"/>
              </w:rPr>
              <w:t>Phase 1B-1 to 1B-7</w:t>
            </w:r>
          </w:p>
        </w:tc>
        <w:tc>
          <w:tcPr>
            <w:tcW w:type="dxa" w:w="1704"/>
          </w:tcPr>
          <w:p>
            <w:pPr>
              <w:spacing w:after="0"/>
            </w:pPr>
            <w:r>
              <w:rPr>
                <w:rFonts w:ascii="Arial" w:hAnsi="Arial"/>
                <w:b w:val="0"/>
                <w:sz w:val="12"/>
              </w:rPr>
              <w:t>Body chapters 11-15 and 17-18 missing from clean source</w:t>
            </w:r>
          </w:p>
        </w:tc>
        <w:tc>
          <w:tcPr>
            <w:tcW w:type="dxa" w:w="1704"/>
          </w:tcPr>
          <w:p>
            <w:pPr>
              <w:spacing w:after="0"/>
            </w:pPr>
            <w:r>
              <w:rPr>
                <w:rFonts w:ascii="Arial" w:hAnsi="Arial"/>
                <w:b w:val="0"/>
                <w:sz w:val="12"/>
              </w:rPr>
              <w:t>Filled comparative field, mappings, validation pattern, failure scenarios, roadmap, and conclusion</w:t>
            </w:r>
          </w:p>
        </w:tc>
        <w:tc>
          <w:tcPr>
            <w:tcW w:type="dxa" w:w="1704"/>
          </w:tcPr>
          <w:p>
            <w:pPr>
              <w:spacing w:after="0"/>
            </w:pPr>
            <w:r>
              <w:rPr>
                <w:rFonts w:ascii="Arial" w:hAnsi="Arial"/>
                <w:b w:val="0"/>
                <w:sz w:val="12"/>
              </w:rPr>
              <w:t>Sections 11-15, 17-18</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R-K-04</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Appendices A-D missing from clean source</w:t>
            </w:r>
          </w:p>
        </w:tc>
        <w:tc>
          <w:tcPr>
            <w:tcW w:type="dxa" w:w="1704"/>
          </w:tcPr>
          <w:p>
            <w:pPr>
              <w:spacing w:after="0"/>
            </w:pPr>
            <w:r>
              <w:rPr>
                <w:rFonts w:ascii="Arial" w:hAnsi="Arial"/>
                <w:b w:val="0"/>
                <w:sz w:val="12"/>
              </w:rPr>
              <w:t>Created templates, scorecards, source notes, and expanded MRO mapping</w:t>
            </w:r>
          </w:p>
        </w:tc>
        <w:tc>
          <w:tcPr>
            <w:tcW w:type="dxa" w:w="1704"/>
          </w:tcPr>
          <w:p>
            <w:pPr>
              <w:spacing w:after="0"/>
            </w:pPr>
            <w:r>
              <w:rPr>
                <w:rFonts w:ascii="Arial" w:hAnsi="Arial"/>
                <w:b w:val="0"/>
                <w:sz w:val="12"/>
              </w:rPr>
              <w:t>Appendices A-D</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R-K-05</w:t>
            </w:r>
          </w:p>
        </w:tc>
        <w:tc>
          <w:tcPr>
            <w:tcW w:type="dxa" w:w="1704"/>
          </w:tcPr>
          <w:p>
            <w:pPr>
              <w:spacing w:after="0"/>
            </w:pPr>
            <w:r>
              <w:rPr>
                <w:rFonts w:ascii="Arial" w:hAnsi="Arial"/>
                <w:b w:val="0"/>
                <w:sz w:val="12"/>
              </w:rPr>
              <w:t>Phase 1B-8C</w:t>
            </w:r>
          </w:p>
        </w:tc>
        <w:tc>
          <w:tcPr>
            <w:tcW w:type="dxa" w:w="1704"/>
          </w:tcPr>
          <w:p>
            <w:pPr>
              <w:spacing w:after="0"/>
            </w:pPr>
            <w:r>
              <w:rPr>
                <w:rFonts w:ascii="Arial" w:hAnsi="Arial"/>
                <w:b w:val="0"/>
                <w:sz w:val="12"/>
              </w:rPr>
              <w:t>Appendix B methodology values inconsistent with canonical method</w:t>
            </w:r>
          </w:p>
        </w:tc>
        <w:tc>
          <w:tcPr>
            <w:tcW w:type="dxa" w:w="1704"/>
          </w:tcPr>
          <w:p>
            <w:pPr>
              <w:spacing w:after="0"/>
            </w:pPr>
            <w:r>
              <w:rPr>
                <w:rFonts w:ascii="Arial" w:hAnsi="Arial"/>
                <w:b w:val="0"/>
                <w:sz w:val="12"/>
              </w:rPr>
              <w:t>Corrected evidence multipliers, adjusted score formula, composite weights, and Article 12 example</w:t>
            </w:r>
          </w:p>
        </w:tc>
        <w:tc>
          <w:tcPr>
            <w:tcW w:type="dxa" w:w="1704"/>
          </w:tcPr>
          <w:p>
            <w:pPr>
              <w:spacing w:after="0"/>
            </w:pPr>
            <w:r>
              <w:rPr>
                <w:rFonts w:ascii="Arial" w:hAnsi="Arial"/>
                <w:b w:val="0"/>
                <w:sz w:val="12"/>
              </w:rPr>
              <w:t>Appendix B; Phase 1B-8C report</w:t>
            </w:r>
          </w:p>
        </w:tc>
        <w:tc>
          <w:tcPr>
            <w:tcW w:type="dxa" w:w="1704"/>
          </w:tcPr>
          <w:p>
            <w:pPr>
              <w:spacing w:after="0"/>
            </w:pPr>
            <w:r>
              <w:rPr>
                <w:rFonts w:ascii="Arial" w:hAnsi="Arial"/>
                <w:b w:val="0"/>
                <w:sz w:val="12"/>
              </w:rPr>
              <w:t>Corrected by later patch</w:t>
            </w:r>
          </w:p>
        </w:tc>
      </w:tr>
      <w:tr>
        <w:tc>
          <w:tcPr>
            <w:tcW w:type="dxa" w:w="1704"/>
          </w:tcPr>
          <w:p>
            <w:pPr>
              <w:spacing w:after="0"/>
            </w:pPr>
            <w:r>
              <w:rPr>
                <w:rFonts w:ascii="Arial" w:hAnsi="Arial"/>
                <w:b w:val="0"/>
                <w:sz w:val="12"/>
              </w:rPr>
              <w:t>R-K-06</w:t>
            </w:r>
          </w:p>
        </w:tc>
        <w:tc>
          <w:tcPr>
            <w:tcW w:type="dxa" w:w="1704"/>
          </w:tcPr>
          <w:p>
            <w:pPr>
              <w:spacing w:after="0"/>
            </w:pPr>
            <w:r>
              <w:rPr>
                <w:rFonts w:ascii="Arial" w:hAnsi="Arial"/>
                <w:b w:val="0"/>
                <w:sz w:val="12"/>
              </w:rPr>
              <w:t>Phase 1B-8C</w:t>
            </w:r>
          </w:p>
        </w:tc>
        <w:tc>
          <w:tcPr>
            <w:tcW w:type="dxa" w:w="1704"/>
          </w:tcPr>
          <w:p>
            <w:pPr>
              <w:spacing w:after="0"/>
            </w:pPr>
            <w:r>
              <w:rPr>
                <w:rFonts w:ascii="Arial" w:hAnsi="Arial"/>
                <w:b w:val="0"/>
                <w:sz w:val="12"/>
              </w:rPr>
              <w:t>Appendix A and D contained overclaim risk</w:t>
            </w:r>
          </w:p>
        </w:tc>
        <w:tc>
          <w:tcPr>
            <w:tcW w:type="dxa" w:w="1704"/>
          </w:tcPr>
          <w:p>
            <w:pPr>
              <w:spacing w:after="0"/>
            </w:pPr>
            <w:r>
              <w:rPr>
                <w:rFonts w:ascii="Arial" w:hAnsi="Arial"/>
                <w:b w:val="0"/>
                <w:sz w:val="12"/>
              </w:rPr>
              <w:t>Neutralized compliance-sounding template values and marked mappings provisional</w:t>
            </w:r>
          </w:p>
        </w:tc>
        <w:tc>
          <w:tcPr>
            <w:tcW w:type="dxa" w:w="1704"/>
          </w:tcPr>
          <w:p>
            <w:pPr>
              <w:spacing w:after="0"/>
            </w:pPr>
            <w:r>
              <w:rPr>
                <w:rFonts w:ascii="Arial" w:hAnsi="Arial"/>
                <w:b w:val="0"/>
                <w:sz w:val="12"/>
              </w:rPr>
              <w:t>Appendices A and D</w:t>
            </w:r>
          </w:p>
        </w:tc>
        <w:tc>
          <w:tcPr>
            <w:tcW w:type="dxa" w:w="1704"/>
          </w:tcPr>
          <w:p>
            <w:pPr>
              <w:spacing w:after="0"/>
            </w:pPr>
            <w:r>
              <w:rPr>
                <w:rFonts w:ascii="Arial" w:hAnsi="Arial"/>
                <w:b w:val="0"/>
                <w:sz w:val="12"/>
              </w:rPr>
              <w:t>Corrected by later patch</w:t>
            </w:r>
          </w:p>
        </w:tc>
      </w:tr>
      <w:tr>
        <w:tc>
          <w:tcPr>
            <w:tcW w:type="dxa" w:w="1704"/>
          </w:tcPr>
          <w:p>
            <w:pPr>
              <w:spacing w:after="0"/>
            </w:pPr>
            <w:r>
              <w:rPr>
                <w:rFonts w:ascii="Arial" w:hAnsi="Arial"/>
                <w:b w:val="0"/>
                <w:sz w:val="12"/>
              </w:rPr>
              <w:t>R-K-07</w:t>
            </w:r>
          </w:p>
        </w:tc>
        <w:tc>
          <w:tcPr>
            <w:tcW w:type="dxa" w:w="1704"/>
          </w:tcPr>
          <w:p>
            <w:pPr>
              <w:spacing w:after="0"/>
            </w:pPr>
            <w:r>
              <w:rPr>
                <w:rFonts w:ascii="Arial" w:hAnsi="Arial"/>
                <w:b w:val="0"/>
                <w:sz w:val="12"/>
              </w:rPr>
              <w:t>Phase 1B-9</w:t>
            </w:r>
          </w:p>
        </w:tc>
        <w:tc>
          <w:tcPr>
            <w:tcW w:type="dxa" w:w="1704"/>
          </w:tcPr>
          <w:p>
            <w:pPr>
              <w:spacing w:after="0"/>
            </w:pPr>
            <w:r>
              <w:rPr>
                <w:rFonts w:ascii="Arial" w:hAnsi="Arial"/>
                <w:b w:val="0"/>
                <w:sz w:val="12"/>
              </w:rPr>
              <w:t>Appendices E-G missing detailed rubric and assessment content</w:t>
            </w:r>
          </w:p>
        </w:tc>
        <w:tc>
          <w:tcPr>
            <w:tcW w:type="dxa" w:w="1704"/>
          </w:tcPr>
          <w:p>
            <w:pPr>
              <w:spacing w:after="0"/>
            </w:pPr>
            <w:r>
              <w:rPr>
                <w:rFonts w:ascii="Arial" w:hAnsi="Arial"/>
                <w:b w:val="0"/>
                <w:sz w:val="12"/>
              </w:rPr>
              <w:t>Created RCCS rubrics, ALCS rubrics, and provisional system assessments</w:t>
            </w:r>
          </w:p>
        </w:tc>
        <w:tc>
          <w:tcPr>
            <w:tcW w:type="dxa" w:w="1704"/>
          </w:tcPr>
          <w:p>
            <w:pPr>
              <w:spacing w:after="0"/>
            </w:pPr>
            <w:r>
              <w:rPr>
                <w:rFonts w:ascii="Arial" w:hAnsi="Arial"/>
                <w:b w:val="0"/>
                <w:sz w:val="12"/>
              </w:rPr>
              <w:t>Appendices E-G</w:t>
            </w:r>
          </w:p>
        </w:tc>
        <w:tc>
          <w:tcPr>
            <w:tcW w:type="dxa" w:w="1704"/>
          </w:tcPr>
          <w:p>
            <w:pPr>
              <w:spacing w:after="0"/>
            </w:pPr>
            <w:r>
              <w:rPr>
                <w:rFonts w:ascii="Arial" w:hAnsi="Arial"/>
                <w:b w:val="0"/>
                <w:sz w:val="12"/>
              </w:rPr>
              <w:t>Structurally closed</w:t>
            </w:r>
          </w:p>
        </w:tc>
      </w:tr>
      <w:tr>
        <w:tc>
          <w:tcPr>
            <w:tcW w:type="dxa" w:w="1704"/>
          </w:tcPr>
          <w:p>
            <w:pPr>
              <w:spacing w:after="0"/>
            </w:pPr>
            <w:r>
              <w:rPr>
                <w:rFonts w:ascii="Arial" w:hAnsi="Arial"/>
                <w:b w:val="0"/>
                <w:sz w:val="12"/>
              </w:rPr>
              <w:t>R-K-08</w:t>
            </w:r>
          </w:p>
        </w:tc>
        <w:tc>
          <w:tcPr>
            <w:tcW w:type="dxa" w:w="1704"/>
          </w:tcPr>
          <w:p>
            <w:pPr>
              <w:spacing w:after="0"/>
            </w:pPr>
            <w:r>
              <w:rPr>
                <w:rFonts w:ascii="Arial" w:hAnsi="Arial"/>
                <w:b w:val="0"/>
                <w:sz w:val="12"/>
              </w:rPr>
              <w:t>Phase 1B-9C</w:t>
            </w:r>
          </w:p>
        </w:tc>
        <w:tc>
          <w:tcPr>
            <w:tcW w:type="dxa" w:w="1704"/>
          </w:tcPr>
          <w:p>
            <w:pPr>
              <w:spacing w:after="0"/>
            </w:pPr>
            <w:r>
              <w:rPr>
                <w:rFonts w:ascii="Arial" w:hAnsi="Arial"/>
                <w:b w:val="0"/>
                <w:sz w:val="12"/>
              </w:rPr>
              <w:t>Appendix G scope drift and score/order overreach</w:t>
            </w:r>
          </w:p>
        </w:tc>
        <w:tc>
          <w:tcPr>
            <w:tcW w:type="dxa" w:w="1704"/>
          </w:tcPr>
          <w:p>
            <w:pPr>
              <w:spacing w:after="0"/>
            </w:pPr>
            <w:r>
              <w:rPr>
                <w:rFonts w:ascii="Arial" w:hAnsi="Arial"/>
                <w:b w:val="0"/>
                <w:sz w:val="12"/>
              </w:rPr>
              <w:t>Rewrote Appendix G using authorized 8 systems and qualitative provisional posture</w:t>
            </w:r>
          </w:p>
        </w:tc>
        <w:tc>
          <w:tcPr>
            <w:tcW w:type="dxa" w:w="1704"/>
          </w:tcPr>
          <w:p>
            <w:pPr>
              <w:spacing w:after="0"/>
            </w:pPr>
            <w:r>
              <w:rPr>
                <w:rFonts w:ascii="Arial" w:hAnsi="Arial"/>
                <w:b w:val="0"/>
                <w:sz w:val="12"/>
              </w:rPr>
              <w:t>Appendix G; 1B-9C report</w:t>
            </w:r>
          </w:p>
        </w:tc>
        <w:tc>
          <w:tcPr>
            <w:tcW w:type="dxa" w:w="1704"/>
          </w:tcPr>
          <w:p>
            <w:pPr>
              <w:spacing w:after="0"/>
            </w:pPr>
            <w:r>
              <w:rPr>
                <w:rFonts w:ascii="Arial" w:hAnsi="Arial"/>
                <w:b w:val="0"/>
                <w:sz w:val="12"/>
              </w:rPr>
              <w:t>Corrected by later patch</w:t>
            </w:r>
          </w:p>
        </w:tc>
      </w:tr>
      <w:tr>
        <w:tc>
          <w:tcPr>
            <w:tcW w:type="dxa" w:w="1704"/>
          </w:tcPr>
          <w:p>
            <w:pPr>
              <w:spacing w:after="0"/>
            </w:pPr>
            <w:r>
              <w:rPr>
                <w:rFonts w:ascii="Arial" w:hAnsi="Arial"/>
                <w:b w:val="0"/>
                <w:sz w:val="12"/>
              </w:rPr>
              <w:t>R-K-09</w:t>
            </w:r>
          </w:p>
        </w:tc>
        <w:tc>
          <w:tcPr>
            <w:tcW w:type="dxa" w:w="1704"/>
          </w:tcPr>
          <w:p>
            <w:pPr>
              <w:spacing w:after="0"/>
            </w:pPr>
            <w:r>
              <w:rPr>
                <w:rFonts w:ascii="Arial" w:hAnsi="Arial"/>
                <w:b w:val="0"/>
                <w:sz w:val="12"/>
              </w:rPr>
              <w:t>Phase 1B-9C</w:t>
            </w:r>
          </w:p>
        </w:tc>
        <w:tc>
          <w:tcPr>
            <w:tcW w:type="dxa" w:w="1704"/>
          </w:tcPr>
          <w:p>
            <w:pPr>
              <w:spacing w:after="0"/>
            </w:pPr>
            <w:r>
              <w:rPr>
                <w:rFonts w:ascii="Arial" w:hAnsi="Arial"/>
                <w:b w:val="0"/>
                <w:sz w:val="12"/>
              </w:rPr>
              <w:t>Appendix E/F score-5 wording risked implementation overclaim</w:t>
            </w:r>
          </w:p>
        </w:tc>
        <w:tc>
          <w:tcPr>
            <w:tcW w:type="dxa" w:w="1704"/>
          </w:tcPr>
          <w:p>
            <w:pPr>
              <w:spacing w:after="0"/>
            </w:pPr>
            <w:r>
              <w:rPr>
                <w:rFonts w:ascii="Arial" w:hAnsi="Arial"/>
                <w:b w:val="0"/>
                <w:sz w:val="12"/>
              </w:rPr>
              <w:t>Hardened score-5 rows to require implementation evidence</w:t>
            </w:r>
          </w:p>
        </w:tc>
        <w:tc>
          <w:tcPr>
            <w:tcW w:type="dxa" w:w="1704"/>
          </w:tcPr>
          <w:p>
            <w:pPr>
              <w:spacing w:after="0"/>
            </w:pPr>
            <w:r>
              <w:rPr>
                <w:rFonts w:ascii="Arial" w:hAnsi="Arial"/>
                <w:b w:val="0"/>
                <w:sz w:val="12"/>
              </w:rPr>
              <w:t>Appendices E/F</w:t>
            </w:r>
          </w:p>
        </w:tc>
        <w:tc>
          <w:tcPr>
            <w:tcW w:type="dxa" w:w="1704"/>
          </w:tcPr>
          <w:p>
            <w:pPr>
              <w:spacing w:after="0"/>
            </w:pPr>
            <w:r>
              <w:rPr>
                <w:rFonts w:ascii="Arial" w:hAnsi="Arial"/>
                <w:b w:val="0"/>
                <w:sz w:val="12"/>
              </w:rPr>
              <w:t>Corrected by later patch</w:t>
            </w:r>
          </w:p>
        </w:tc>
      </w:tr>
      <w:tr>
        <w:tc>
          <w:tcPr>
            <w:tcW w:type="dxa" w:w="1704"/>
          </w:tcPr>
          <w:p>
            <w:pPr>
              <w:spacing w:after="0"/>
            </w:pPr>
            <w:r>
              <w:rPr>
                <w:rFonts w:ascii="Arial" w:hAnsi="Arial"/>
                <w:b w:val="0"/>
                <w:sz w:val="12"/>
              </w:rPr>
              <w:t>R-K-10</w:t>
            </w:r>
          </w:p>
        </w:tc>
        <w:tc>
          <w:tcPr>
            <w:tcW w:type="dxa" w:w="1704"/>
          </w:tcPr>
          <w:p>
            <w:pPr>
              <w:spacing w:after="0"/>
            </w:pPr>
            <w:r>
              <w:rPr>
                <w:rFonts w:ascii="Arial" w:hAnsi="Arial"/>
                <w:b w:val="0"/>
                <w:sz w:val="12"/>
              </w:rPr>
              <w:t>Phase 1B-9D</w:t>
            </w:r>
          </w:p>
        </w:tc>
        <w:tc>
          <w:tcPr>
            <w:tcW w:type="dxa" w:w="1704"/>
          </w:tcPr>
          <w:p>
            <w:pPr>
              <w:spacing w:after="0"/>
            </w:pPr>
            <w:r>
              <w:rPr>
                <w:rFonts w:ascii="Arial" w:hAnsi="Arial"/>
                <w:b w:val="0"/>
                <w:sz w:val="12"/>
              </w:rPr>
              <w:t>Governance ledgers stale after partial 1B-9D patch</w:t>
            </w:r>
          </w:p>
        </w:tc>
        <w:tc>
          <w:tcPr>
            <w:tcW w:type="dxa" w:w="1704"/>
          </w:tcPr>
          <w:p>
            <w:pPr>
              <w:spacing w:after="0"/>
            </w:pPr>
            <w:r>
              <w:rPr>
                <w:rFonts w:ascii="Arial" w:hAnsi="Arial"/>
                <w:b w:val="0"/>
                <w:sz w:val="12"/>
              </w:rPr>
              <w:t>Synced Appendix G metadata, SOURCE MASTER, carryover list, and report</w:t>
            </w:r>
          </w:p>
        </w:tc>
        <w:tc>
          <w:tcPr>
            <w:tcW w:type="dxa" w:w="1704"/>
          </w:tcPr>
          <w:p>
            <w:pPr>
              <w:spacing w:after="0"/>
            </w:pPr>
            <w:r>
              <w:rPr>
                <w:rFonts w:ascii="Arial" w:hAnsi="Arial"/>
                <w:b w:val="0"/>
                <w:sz w:val="12"/>
              </w:rPr>
              <w:t>SOURCE MASTER; 1B-9D report</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R-K-11</w:t>
            </w:r>
          </w:p>
        </w:tc>
        <w:tc>
          <w:tcPr>
            <w:tcW w:type="dxa" w:w="1704"/>
          </w:tcPr>
          <w:p>
            <w:pPr>
              <w:spacing w:after="0"/>
            </w:pPr>
            <w:r>
              <w:rPr>
                <w:rFonts w:ascii="Arial" w:hAnsi="Arial"/>
                <w:b w:val="0"/>
                <w:sz w:val="12"/>
              </w:rPr>
              <w:t>Phase 1B-10</w:t>
            </w:r>
          </w:p>
        </w:tc>
        <w:tc>
          <w:tcPr>
            <w:tcW w:type="dxa" w:w="1704"/>
          </w:tcPr>
          <w:p>
            <w:pPr>
              <w:spacing w:after="0"/>
            </w:pPr>
            <w:r>
              <w:rPr>
                <w:rFonts w:ascii="Arial" w:hAnsi="Arial"/>
                <w:b w:val="0"/>
                <w:sz w:val="12"/>
              </w:rPr>
              <w:t>Appendices H-K missing</w:t>
            </w:r>
          </w:p>
        </w:tc>
        <w:tc>
          <w:tcPr>
            <w:tcW w:type="dxa" w:w="1704"/>
          </w:tcPr>
          <w:p>
            <w:pPr>
              <w:spacing w:after="0"/>
            </w:pPr>
            <w:r>
              <w:rPr>
                <w:rFonts w:ascii="Arial" w:hAnsi="Arial"/>
                <w:b w:val="0"/>
                <w:sz w:val="12"/>
              </w:rPr>
              <w:t>Filled procurement scorecard, source audit register, gap closure matrix, and editorial remediation record</w:t>
            </w:r>
          </w:p>
        </w:tc>
        <w:tc>
          <w:tcPr>
            <w:tcW w:type="dxa" w:w="1704"/>
          </w:tcPr>
          <w:p>
            <w:pPr>
              <w:spacing w:after="0"/>
            </w:pPr>
            <w:r>
              <w:rPr>
                <w:rFonts w:ascii="Arial" w:hAnsi="Arial"/>
                <w:b w:val="0"/>
                <w:sz w:val="12"/>
              </w:rPr>
              <w:t>Appendices H-K</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R-K-12</w:t>
            </w:r>
          </w:p>
        </w:tc>
        <w:tc>
          <w:tcPr>
            <w:tcW w:type="dxa" w:w="1704"/>
          </w:tcPr>
          <w:p>
            <w:pPr>
              <w:spacing w:after="0"/>
            </w:pPr>
            <w:r>
              <w:rPr>
                <w:rFonts w:ascii="Arial" w:hAnsi="Arial"/>
                <w:b w:val="0"/>
                <w:sz w:val="12"/>
              </w:rPr>
              <w:t>Phase 1B-10</w:t>
            </w:r>
          </w:p>
        </w:tc>
        <w:tc>
          <w:tcPr>
            <w:tcW w:type="dxa" w:w="1704"/>
          </w:tcPr>
          <w:p>
            <w:pPr>
              <w:spacing w:after="0"/>
            </w:pPr>
            <w:r>
              <w:rPr>
                <w:rFonts w:ascii="Arial" w:hAnsi="Arial"/>
                <w:b w:val="0"/>
                <w:sz w:val="12"/>
              </w:rPr>
              <w:t>Phase 1C / 1D obligations needed final pre-cleanup ledger</w:t>
            </w:r>
          </w:p>
        </w:tc>
        <w:tc>
          <w:tcPr>
            <w:tcW w:type="dxa" w:w="1704"/>
          </w:tcPr>
          <w:p>
            <w:pPr>
              <w:spacing w:after="0"/>
            </w:pPr>
            <w:r>
              <w:rPr>
                <w:rFonts w:ascii="Arial" w:hAnsi="Arial"/>
                <w:b w:val="0"/>
                <w:sz w:val="12"/>
              </w:rPr>
              <w:t>Preserved canonical carryover and publication deferrals</w:t>
            </w:r>
          </w:p>
        </w:tc>
        <w:tc>
          <w:tcPr>
            <w:tcW w:type="dxa" w:w="1704"/>
          </w:tcPr>
          <w:p>
            <w:pPr>
              <w:spacing w:after="0"/>
            </w:pPr>
            <w:r>
              <w:rPr>
                <w:rFonts w:ascii="Arial" w:hAnsi="Arial"/>
                <w:b w:val="0"/>
                <w:sz w:val="12"/>
              </w:rPr>
              <w:t>Appendices I/J/K; completion report</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R-K-13</w:t>
            </w:r>
          </w:p>
        </w:tc>
        <w:tc>
          <w:tcPr>
            <w:tcW w:type="dxa" w:w="1704"/>
          </w:tcPr>
          <w:p>
            <w:pPr>
              <w:spacing w:after="0"/>
            </w:pPr>
            <w:r>
              <w:rPr>
                <w:rFonts w:ascii="Arial" w:hAnsi="Arial"/>
                <w:b w:val="0"/>
                <w:sz w:val="12"/>
              </w:rPr>
              <w:t>Phase 1C</w:t>
            </w:r>
          </w:p>
        </w:tc>
        <w:tc>
          <w:tcPr>
            <w:tcW w:type="dxa" w:w="1704"/>
          </w:tcPr>
          <w:p>
            <w:pPr>
              <w:spacing w:after="0"/>
            </w:pPr>
            <w:r>
              <w:rPr>
                <w:rFonts w:ascii="Arial" w:hAnsi="Arial"/>
                <w:b w:val="0"/>
                <w:sz w:val="12"/>
              </w:rPr>
              <w:t>Taxonomy and editorial drift remained after Phase 1B</w:t>
            </w:r>
          </w:p>
        </w:tc>
        <w:tc>
          <w:tcPr>
            <w:tcW w:type="dxa" w:w="1704"/>
          </w:tcPr>
          <w:p>
            <w:pPr>
              <w:spacing w:after="0"/>
            </w:pPr>
            <w:r>
              <w:rPr>
                <w:rFonts w:ascii="Arial" w:hAnsi="Arial"/>
                <w:b w:val="0"/>
                <w:sz w:val="12"/>
              </w:rPr>
              <w:t>Corrected ALCS/MRO names, Stage 0-to-7 wording, eight-contribution wording, and F-09 reservation</w:t>
            </w:r>
          </w:p>
        </w:tc>
        <w:tc>
          <w:tcPr>
            <w:tcW w:type="dxa" w:w="1704"/>
          </w:tcPr>
          <w:p>
            <w:pPr>
              <w:spacing w:after="0"/>
            </w:pPr>
            <w:r>
              <w:rPr>
                <w:rFonts w:ascii="Arial" w:hAnsi="Arial"/>
                <w:b w:val="0"/>
                <w:sz w:val="12"/>
              </w:rPr>
              <w:t>Chapters 14/15/17/18; figure inventory</w:t>
            </w:r>
          </w:p>
        </w:tc>
        <w:tc>
          <w:tcPr>
            <w:tcW w:type="dxa" w:w="1704"/>
          </w:tcPr>
          <w:p>
            <w:pPr>
              <w:spacing w:after="0"/>
            </w:pPr>
            <w:r>
              <w:rPr>
                <w:rFonts w:ascii="Arial" w:hAnsi="Arial"/>
                <w:b w:val="0"/>
                <w:sz w:val="12"/>
              </w:rPr>
              <w:t>Closed for editorial cleanup</w:t>
            </w:r>
          </w:p>
        </w:tc>
      </w:tr>
      <w:tr>
        <w:tc>
          <w:tcPr>
            <w:tcW w:type="dxa" w:w="1704"/>
          </w:tcPr>
          <w:p>
            <w:pPr>
              <w:spacing w:after="0"/>
            </w:pPr>
            <w:r>
              <w:rPr>
                <w:rFonts w:ascii="Arial" w:hAnsi="Arial"/>
                <w:b w:val="0"/>
                <w:sz w:val="12"/>
              </w:rPr>
              <w:t>R-K-14</w:t>
            </w:r>
          </w:p>
        </w:tc>
        <w:tc>
          <w:tcPr>
            <w:tcW w:type="dxa" w:w="1704"/>
          </w:tcPr>
          <w:p>
            <w:pPr>
              <w:spacing w:after="0"/>
            </w:pPr>
            <w:r>
              <w:rPr>
                <w:rFonts w:ascii="Arial" w:hAnsi="Arial"/>
                <w:b w:val="0"/>
                <w:sz w:val="12"/>
              </w:rPr>
              <w:t>Phase 1C</w:t>
            </w:r>
          </w:p>
        </w:tc>
        <w:tc>
          <w:tcPr>
            <w:tcW w:type="dxa" w:w="1704"/>
          </w:tcPr>
          <w:p>
            <w:pPr>
              <w:spacing w:after="0"/>
            </w:pPr>
            <w:r>
              <w:rPr>
                <w:rFonts w:ascii="Arial" w:hAnsi="Arial"/>
                <w:b w:val="0"/>
                <w:sz w:val="12"/>
              </w:rPr>
              <w:t>Citation and coverage ledgers remained pre-cleanup</w:t>
            </w:r>
          </w:p>
        </w:tc>
        <w:tc>
          <w:tcPr>
            <w:tcW w:type="dxa" w:w="1704"/>
          </w:tcPr>
          <w:p>
            <w:pPr>
              <w:spacing w:after="0"/>
            </w:pPr>
            <w:r>
              <w:rPr>
                <w:rFonts w:ascii="Arial" w:hAnsi="Arial"/>
                <w:b w:val="0"/>
                <w:sz w:val="12"/>
              </w:rPr>
              <w:t>Updated citation inventory and source coverage matrix with URL/entry-point review and unresolved claim-level validation queue</w:t>
            </w:r>
          </w:p>
        </w:tc>
        <w:tc>
          <w:tcPr>
            <w:tcW w:type="dxa" w:w="1704"/>
          </w:tcPr>
          <w:p>
            <w:pPr>
              <w:spacing w:after="0"/>
            </w:pPr>
            <w:r>
              <w:rPr>
                <w:rFonts w:ascii="Arial" w:hAnsi="Arial"/>
                <w:b w:val="0"/>
                <w:sz w:val="12"/>
              </w:rPr>
              <w:t>Citation inventory; source coverage matrix</w:t>
            </w:r>
          </w:p>
        </w:tc>
        <w:tc>
          <w:tcPr>
            <w:tcW w:type="dxa" w:w="1704"/>
          </w:tcPr>
          <w:p>
            <w:pPr>
              <w:spacing w:after="0"/>
            </w:pPr>
            <w:r>
              <w:rPr>
                <w:rFonts w:ascii="Arial" w:hAnsi="Arial"/>
                <w:b w:val="0"/>
                <w:sz w:val="12"/>
              </w:rPr>
              <w:t>Corrected by Phase 1C follow-up</w:t>
            </w:r>
          </w:p>
        </w:tc>
      </w:tr>
      <w:tr>
        <w:tc>
          <w:tcPr>
            <w:tcW w:type="dxa" w:w="1704"/>
          </w:tcPr>
          <w:p>
            <w:pPr>
              <w:spacing w:after="0"/>
            </w:pPr>
            <w:r>
              <w:rPr>
                <w:rFonts w:ascii="Arial" w:hAnsi="Arial"/>
                <w:b w:val="0"/>
                <w:sz w:val="12"/>
              </w:rPr>
              <w:t>R-K-15</w:t>
            </w:r>
          </w:p>
        </w:tc>
        <w:tc>
          <w:tcPr>
            <w:tcW w:type="dxa" w:w="1704"/>
          </w:tcPr>
          <w:p>
            <w:pPr>
              <w:spacing w:after="0"/>
            </w:pPr>
            <w:r>
              <w:rPr>
                <w:rFonts w:ascii="Arial" w:hAnsi="Arial"/>
                <w:b w:val="0"/>
                <w:sz w:val="12"/>
              </w:rPr>
              <w:t>Phase 1C</w:t>
            </w:r>
          </w:p>
        </w:tc>
        <w:tc>
          <w:tcPr>
            <w:tcW w:type="dxa" w:w="1704"/>
          </w:tcPr>
          <w:p>
            <w:pPr>
              <w:spacing w:after="0"/>
            </w:pPr>
            <w:r>
              <w:rPr>
                <w:rFonts w:ascii="Arial" w:hAnsi="Arial"/>
                <w:b w:val="0"/>
                <w:sz w:val="12"/>
              </w:rPr>
              <w:t>Wide-table risks were not fully documented for Phase 1D</w:t>
            </w:r>
          </w:p>
        </w:tc>
        <w:tc>
          <w:tcPr>
            <w:tcW w:type="dxa" w:w="1704"/>
          </w:tcPr>
          <w:p>
            <w:pPr>
              <w:spacing w:after="0"/>
            </w:pPr>
            <w:r>
              <w:rPr>
                <w:rFonts w:ascii="Arial" w:hAnsi="Arial"/>
                <w:b w:val="0"/>
                <w:sz w:val="12"/>
              </w:rPr>
              <w:t>Added layout risk notes for requested wide-table set and H-K tables</w:t>
            </w:r>
          </w:p>
        </w:tc>
        <w:tc>
          <w:tcPr>
            <w:tcW w:type="dxa" w:w="1704"/>
          </w:tcPr>
          <w:p>
            <w:pPr>
              <w:spacing w:after="0"/>
            </w:pPr>
            <w:r>
              <w:rPr>
                <w:rFonts w:ascii="Arial" w:hAnsi="Arial"/>
                <w:b w:val="0"/>
                <w:sz w:val="12"/>
              </w:rPr>
              <w:t>Table inventory</w:t>
            </w:r>
          </w:p>
        </w:tc>
        <w:tc>
          <w:tcPr>
            <w:tcW w:type="dxa" w:w="1704"/>
          </w:tcPr>
          <w:p>
            <w:pPr>
              <w:spacing w:after="0"/>
            </w:pPr>
            <w:r>
              <w:rPr>
                <w:rFonts w:ascii="Arial" w:hAnsi="Arial"/>
                <w:b w:val="0"/>
                <w:sz w:val="12"/>
              </w:rPr>
              <w:t>Closed for layout-readiness audit</w:t>
            </w:r>
          </w:p>
        </w:tc>
      </w:tr>
      <w:tr>
        <w:tc>
          <w:tcPr>
            <w:tcW w:type="dxa" w:w="1704"/>
          </w:tcPr>
          <w:p>
            <w:pPr>
              <w:spacing w:after="0"/>
            </w:pPr>
            <w:r>
              <w:rPr>
                <w:rFonts w:ascii="Arial" w:hAnsi="Arial"/>
                <w:b w:val="0"/>
                <w:sz w:val="12"/>
              </w:rPr>
              <w:t>R-K-16</w:t>
            </w:r>
          </w:p>
        </w:tc>
        <w:tc>
          <w:tcPr>
            <w:tcW w:type="dxa" w:w="1704"/>
          </w:tcPr>
          <w:p>
            <w:pPr>
              <w:spacing w:after="0"/>
            </w:pPr>
            <w:r>
              <w:rPr>
                <w:rFonts w:ascii="Arial" w:hAnsi="Arial"/>
                <w:b w:val="0"/>
                <w:sz w:val="12"/>
              </w:rPr>
              <w:t>Phase 1C follow-up</w:t>
            </w:r>
          </w:p>
        </w:tc>
        <w:tc>
          <w:tcPr>
            <w:tcW w:type="dxa" w:w="1704"/>
          </w:tcPr>
          <w:p>
            <w:pPr>
              <w:spacing w:after="0"/>
            </w:pPr>
            <w:r>
              <w:rPr>
                <w:rFonts w:ascii="Arial" w:hAnsi="Arial"/>
                <w:b w:val="0"/>
                <w:sz w:val="12"/>
              </w:rPr>
              <w:t>Claim-level L2 product/protocol source binding remained pending</w:t>
            </w:r>
          </w:p>
        </w:tc>
        <w:tc>
          <w:tcPr>
            <w:tcW w:type="dxa" w:w="1704"/>
          </w:tcPr>
          <w:p>
            <w:pPr>
              <w:spacing w:after="0"/>
            </w:pPr>
            <w:r>
              <w:rPr>
                <w:rFonts w:ascii="Arial" w:hAnsi="Arial"/>
                <w:b w:val="0"/>
                <w:sz w:val="12"/>
              </w:rPr>
              <w:t>Created claim evidence register; located official source entry points; narrowed or downgraded material product/protocol claims; marked Appendix G revalidated provisional</w:t>
            </w:r>
          </w:p>
        </w:tc>
        <w:tc>
          <w:tcPr>
            <w:tcW w:type="dxa" w:w="1704"/>
          </w:tcPr>
          <w:p>
            <w:pPr>
              <w:spacing w:after="0"/>
            </w:pPr>
            <w:r>
              <w:rPr>
                <w:rFonts w:ascii="Arial" w:hAnsi="Arial"/>
                <w:b w:val="0"/>
                <w:sz w:val="12"/>
              </w:rPr>
              <w:t>Claim evidence register; citation inventory; source coverage matrix; Appendix G</w:t>
            </w:r>
          </w:p>
        </w:tc>
        <w:tc>
          <w:tcPr>
            <w:tcW w:type="dxa" w:w="1704"/>
          </w:tcPr>
          <w:p>
            <w:pPr>
              <w:spacing w:after="0"/>
            </w:pPr>
            <w:r>
              <w:rPr>
                <w:rFonts w:ascii="Arial" w:hAnsi="Arial"/>
                <w:b w:val="0"/>
                <w:sz w:val="12"/>
              </w:rPr>
              <w:t>Closed for claim-level source binding; page-level citation pinning remains</w:t>
            </w:r>
          </w:p>
        </w:tc>
      </w:tr>
    </w:tbl>
    <w:p>
      <w:pPr>
        <w:pStyle w:val="Heading2"/>
      </w:pPr>
      <w:r>
        <w:t>K.4 Boundary and Non-Claim Remediation Record</w:t>
      </w:r>
    </w:p>
    <w:p>
      <w:pPr>
        <w:keepNext/>
      </w:pPr>
      <w:r>
        <w:rPr>
          <w:b/>
          <w:sz w:val="16"/>
        </w:rPr>
        <w:t>Table T-K-02: Boundary Hardening Record</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Boundary Area</w:t>
            </w:r>
          </w:p>
        </w:tc>
        <w:tc>
          <w:tcPr>
            <w:tcW w:type="dxa" w:w="2045"/>
          </w:tcPr>
          <w:p>
            <w:pPr>
              <w:spacing w:after="0"/>
            </w:pPr>
            <w:r>
              <w:rPr>
                <w:rFonts w:ascii="Arial" w:hAnsi="Arial"/>
                <w:b/>
                <w:sz w:val="14"/>
              </w:rPr>
              <w:t>Risk</w:t>
            </w:r>
          </w:p>
        </w:tc>
        <w:tc>
          <w:tcPr>
            <w:tcW w:type="dxa" w:w="2045"/>
          </w:tcPr>
          <w:p>
            <w:pPr>
              <w:spacing w:after="0"/>
            </w:pPr>
            <w:r>
              <w:rPr>
                <w:rFonts w:ascii="Arial" w:hAnsi="Arial"/>
                <w:b/>
                <w:sz w:val="14"/>
              </w:rPr>
              <w:t>Remediation Applied</w:t>
            </w:r>
          </w:p>
        </w:tc>
        <w:tc>
          <w:tcPr>
            <w:tcW w:type="dxa" w:w="2045"/>
          </w:tcPr>
          <w:p>
            <w:pPr>
              <w:spacing w:after="0"/>
            </w:pPr>
            <w:r>
              <w:rPr>
                <w:rFonts w:ascii="Arial" w:hAnsi="Arial"/>
                <w:b/>
                <w:sz w:val="14"/>
              </w:rPr>
              <w:t>Remaining Check</w:t>
            </w:r>
          </w:p>
        </w:tc>
        <w:tc>
          <w:tcPr>
            <w:tcW w:type="dxa" w:w="2045"/>
          </w:tcPr>
          <w:p>
            <w:pPr>
              <w:spacing w:after="0"/>
            </w:pPr>
            <w:r>
              <w:rPr>
                <w:rFonts w:ascii="Arial" w:hAnsi="Arial"/>
                <w:b/>
                <w:sz w:val="14"/>
              </w:rPr>
              <w:t>Phase</w:t>
            </w:r>
          </w:p>
        </w:tc>
      </w:tr>
      <w:tr>
        <w:tc>
          <w:tcPr>
            <w:tcW w:type="dxa" w:w="2045"/>
          </w:tcPr>
          <w:p>
            <w:pPr>
              <w:spacing w:after="0"/>
            </w:pPr>
            <w:r>
              <w:rPr>
                <w:rFonts w:ascii="Arial" w:hAnsi="Arial"/>
                <w:b w:val="0"/>
                <w:sz w:val="14"/>
              </w:rPr>
              <w:t>RCCS/ALCS non-legal-score boundary</w:t>
            </w:r>
          </w:p>
        </w:tc>
        <w:tc>
          <w:tcPr>
            <w:tcW w:type="dxa" w:w="2045"/>
          </w:tcPr>
          <w:p>
            <w:pPr>
              <w:spacing w:after="0"/>
            </w:pPr>
            <w:r>
              <w:rPr>
                <w:rFonts w:ascii="Arial" w:hAnsi="Arial"/>
                <w:b w:val="0"/>
                <w:sz w:val="14"/>
              </w:rPr>
              <w:t>Readers may treat analytical scores as legal determinations</w:t>
            </w:r>
          </w:p>
        </w:tc>
        <w:tc>
          <w:tcPr>
            <w:tcW w:type="dxa" w:w="2045"/>
          </w:tcPr>
          <w:p>
            <w:pPr>
              <w:spacing w:after="0"/>
            </w:pPr>
            <w:r>
              <w:rPr>
                <w:rFonts w:ascii="Arial" w:hAnsi="Arial"/>
                <w:b w:val="0"/>
                <w:sz w:val="14"/>
              </w:rPr>
              <w:t>Repeated boundary language across chapters and appendices</w:t>
            </w:r>
          </w:p>
        </w:tc>
        <w:tc>
          <w:tcPr>
            <w:tcW w:type="dxa" w:w="2045"/>
          </w:tcPr>
          <w:p>
            <w:pPr>
              <w:spacing w:after="0"/>
            </w:pPr>
            <w:r>
              <w:rPr>
                <w:rFonts w:ascii="Arial" w:hAnsi="Arial"/>
                <w:b w:val="0"/>
                <w:sz w:val="14"/>
              </w:rPr>
              <w:t>Phase 1C consistency review completed; verify in final proof</w:t>
            </w:r>
          </w:p>
        </w:tc>
        <w:tc>
          <w:tcPr>
            <w:tcW w:type="dxa" w:w="2045"/>
          </w:tcPr>
          <w:p>
            <w:pPr>
              <w:spacing w:after="0"/>
            </w:pPr>
            <w:r>
              <w:rPr>
                <w:rFonts w:ascii="Arial" w:hAnsi="Arial"/>
                <w:b w:val="0"/>
                <w:sz w:val="14"/>
              </w:rPr>
              <w:t>Phase 1A / 1B</w:t>
            </w:r>
          </w:p>
        </w:tc>
      </w:tr>
      <w:tr>
        <w:tc>
          <w:tcPr>
            <w:tcW w:type="dxa" w:w="2045"/>
          </w:tcPr>
          <w:p>
            <w:pPr>
              <w:spacing w:after="0"/>
            </w:pPr>
            <w:r>
              <w:rPr>
                <w:rFonts w:ascii="Arial" w:hAnsi="Arial"/>
                <w:b w:val="0"/>
                <w:sz w:val="14"/>
              </w:rPr>
              <w:t>MPLP non-required / non-exclusive boundary</w:t>
            </w:r>
          </w:p>
        </w:tc>
        <w:tc>
          <w:tcPr>
            <w:tcW w:type="dxa" w:w="2045"/>
          </w:tcPr>
          <w:p>
            <w:pPr>
              <w:spacing w:after="0"/>
            </w:pPr>
            <w:r>
              <w:rPr>
                <w:rFonts w:ascii="Arial" w:hAnsi="Arial"/>
                <w:b w:val="0"/>
                <w:sz w:val="14"/>
              </w:rPr>
              <w:t>MPLP could be misread as required or sufficient by itself</w:t>
            </w:r>
          </w:p>
        </w:tc>
        <w:tc>
          <w:tcPr>
            <w:tcW w:type="dxa" w:w="2045"/>
          </w:tcPr>
          <w:p>
            <w:pPr>
              <w:spacing w:after="0"/>
            </w:pPr>
            <w:r>
              <w:rPr>
                <w:rFonts w:ascii="Arial" w:hAnsi="Arial"/>
                <w:b w:val="0"/>
                <w:sz w:val="14"/>
              </w:rPr>
              <w:t>Disclosed author relationship and framed MPLP as one protocol path</w:t>
            </w:r>
          </w:p>
        </w:tc>
        <w:tc>
          <w:tcPr>
            <w:tcW w:type="dxa" w:w="2045"/>
          </w:tcPr>
          <w:p>
            <w:pPr>
              <w:spacing w:after="0"/>
            </w:pPr>
            <w:r>
              <w:rPr>
                <w:rFonts w:ascii="Arial" w:hAnsi="Arial"/>
                <w:b w:val="0"/>
                <w:sz w:val="14"/>
              </w:rPr>
              <w:t>Phase 1C wording review completed; verify in final proof</w:t>
            </w:r>
          </w:p>
        </w:tc>
        <w:tc>
          <w:tcPr>
            <w:tcW w:type="dxa" w:w="2045"/>
          </w:tcPr>
          <w:p>
            <w:pPr>
              <w:spacing w:after="0"/>
            </w:pPr>
            <w:r>
              <w:rPr>
                <w:rFonts w:ascii="Arial" w:hAnsi="Arial"/>
                <w:b w:val="0"/>
                <w:sz w:val="14"/>
              </w:rPr>
              <w:t>Phase 1B-4</w:t>
            </w:r>
          </w:p>
        </w:tc>
      </w:tr>
      <w:tr>
        <w:tc>
          <w:tcPr>
            <w:tcW w:type="dxa" w:w="2045"/>
          </w:tcPr>
          <w:p>
            <w:pPr>
              <w:spacing w:after="0"/>
            </w:pPr>
            <w:r>
              <w:rPr>
                <w:rFonts w:ascii="Arial" w:hAnsi="Arial"/>
                <w:b w:val="0"/>
                <w:sz w:val="14"/>
              </w:rPr>
              <w:t>Validation Lab non-certifying boundary</w:t>
            </w:r>
          </w:p>
        </w:tc>
        <w:tc>
          <w:tcPr>
            <w:tcW w:type="dxa" w:w="2045"/>
          </w:tcPr>
          <w:p>
            <w:pPr>
              <w:spacing w:after="0"/>
            </w:pPr>
            <w:r>
              <w:rPr>
                <w:rFonts w:ascii="Arial" w:hAnsi="Arial"/>
                <w:b w:val="0"/>
                <w:sz w:val="14"/>
              </w:rPr>
              <w:t>Validation Lab could be misread as an approval body</w:t>
            </w:r>
          </w:p>
        </w:tc>
        <w:tc>
          <w:tcPr>
            <w:tcW w:type="dxa" w:w="2045"/>
          </w:tcPr>
          <w:p>
            <w:pPr>
              <w:spacing w:after="0"/>
            </w:pPr>
            <w:r>
              <w:rPr>
                <w:rFonts w:ascii="Arial" w:hAnsi="Arial"/>
                <w:b w:val="0"/>
                <w:sz w:val="14"/>
              </w:rPr>
              <w:t>Framed as a non-certifying evidence adjudication example</w:t>
            </w:r>
          </w:p>
        </w:tc>
        <w:tc>
          <w:tcPr>
            <w:tcW w:type="dxa" w:w="2045"/>
          </w:tcPr>
          <w:p>
            <w:pPr>
              <w:spacing w:after="0"/>
            </w:pPr>
            <w:r>
              <w:rPr>
                <w:rFonts w:ascii="Arial" w:hAnsi="Arial"/>
                <w:b w:val="0"/>
                <w:sz w:val="14"/>
              </w:rPr>
              <w:t>URL and boundary language reviewed at entry-point level; verify in final proof</w:t>
            </w:r>
          </w:p>
        </w:tc>
        <w:tc>
          <w:tcPr>
            <w:tcW w:type="dxa" w:w="2045"/>
          </w:tcPr>
          <w:p>
            <w:pPr>
              <w:spacing w:after="0"/>
            </w:pPr>
            <w:r>
              <w:rPr>
                <w:rFonts w:ascii="Arial" w:hAnsi="Arial"/>
                <w:b w:val="0"/>
                <w:sz w:val="14"/>
              </w:rPr>
              <w:t>Phase 1B-5</w:t>
            </w:r>
          </w:p>
        </w:tc>
      </w:tr>
      <w:tr>
        <w:tc>
          <w:tcPr>
            <w:tcW w:type="dxa" w:w="2045"/>
          </w:tcPr>
          <w:p>
            <w:pPr>
              <w:spacing w:after="0"/>
            </w:pPr>
            <w:r>
              <w:rPr>
                <w:rFonts w:ascii="Arial" w:hAnsi="Arial"/>
                <w:b w:val="0"/>
                <w:sz w:val="14"/>
              </w:rPr>
              <w:t>Appendix G no-score/no-ranking boundary</w:t>
            </w:r>
          </w:p>
        </w:tc>
        <w:tc>
          <w:tcPr>
            <w:tcW w:type="dxa" w:w="2045"/>
          </w:tcPr>
          <w:p>
            <w:pPr>
              <w:spacing w:after="0"/>
            </w:pPr>
            <w:r>
              <w:rPr>
                <w:rFonts w:ascii="Arial" w:hAnsi="Arial"/>
                <w:b w:val="0"/>
                <w:sz w:val="14"/>
              </w:rPr>
              <w:t>Provisional assessment could be misused as vendor ordering</w:t>
            </w:r>
          </w:p>
        </w:tc>
        <w:tc>
          <w:tcPr>
            <w:tcW w:type="dxa" w:w="2045"/>
          </w:tcPr>
          <w:p>
            <w:pPr>
              <w:spacing w:after="0"/>
            </w:pPr>
            <w:r>
              <w:rPr>
                <w:rFonts w:ascii="Arial" w:hAnsi="Arial"/>
                <w:b w:val="0"/>
                <w:sz w:val="14"/>
              </w:rPr>
              <w:t>Removed scores, ordered comparisons, and selection language; Phase 1C follow-up preserved revalidated provisional status</w:t>
            </w:r>
          </w:p>
        </w:tc>
        <w:tc>
          <w:tcPr>
            <w:tcW w:type="dxa" w:w="2045"/>
          </w:tcPr>
          <w:p>
            <w:pPr>
              <w:spacing w:after="0"/>
            </w:pPr>
            <w:r>
              <w:rPr>
                <w:rFonts w:ascii="Arial" w:hAnsi="Arial"/>
                <w:b w:val="0"/>
                <w:sz w:val="14"/>
              </w:rPr>
              <w:t>Verify no score/ranking language in final proof</w:t>
            </w:r>
          </w:p>
        </w:tc>
        <w:tc>
          <w:tcPr>
            <w:tcW w:type="dxa" w:w="2045"/>
          </w:tcPr>
          <w:p>
            <w:pPr>
              <w:spacing w:after="0"/>
            </w:pPr>
            <w:r>
              <w:rPr>
                <w:rFonts w:ascii="Arial" w:hAnsi="Arial"/>
                <w:b w:val="0"/>
                <w:sz w:val="14"/>
              </w:rPr>
              <w:t>Phase 1B-9C / 1B-9D / 1C</w:t>
            </w:r>
          </w:p>
        </w:tc>
      </w:tr>
      <w:tr>
        <w:tc>
          <w:tcPr>
            <w:tcW w:type="dxa" w:w="2045"/>
          </w:tcPr>
          <w:p>
            <w:pPr>
              <w:spacing w:after="0"/>
            </w:pPr>
            <w:r>
              <w:rPr>
                <w:rFonts w:ascii="Arial" w:hAnsi="Arial"/>
                <w:b w:val="0"/>
                <w:sz w:val="14"/>
              </w:rPr>
              <w:t>Appendix E/F legal-text boundary</w:t>
            </w:r>
          </w:p>
        </w:tc>
        <w:tc>
          <w:tcPr>
            <w:tcW w:type="dxa" w:w="2045"/>
          </w:tcPr>
          <w:p>
            <w:pPr>
              <w:spacing w:after="0"/>
            </w:pPr>
            <w:r>
              <w:rPr>
                <w:rFonts w:ascii="Arial" w:hAnsi="Arial"/>
                <w:b w:val="0"/>
                <w:sz w:val="14"/>
              </w:rPr>
              <w:t>Legal text could be misread as implementation evidence</w:t>
            </w:r>
          </w:p>
        </w:tc>
        <w:tc>
          <w:tcPr>
            <w:tcW w:type="dxa" w:w="2045"/>
          </w:tcPr>
          <w:p>
            <w:pPr>
              <w:spacing w:after="0"/>
            </w:pPr>
            <w:r>
              <w:rPr>
                <w:rFonts w:ascii="Arial" w:hAnsi="Arial"/>
                <w:b w:val="0"/>
                <w:sz w:val="14"/>
              </w:rPr>
              <w:t>Hardened score-5 rows and top-level scale language</w:t>
            </w:r>
          </w:p>
        </w:tc>
        <w:tc>
          <w:tcPr>
            <w:tcW w:type="dxa" w:w="2045"/>
          </w:tcPr>
          <w:p>
            <w:pPr>
              <w:spacing w:after="0"/>
            </w:pPr>
            <w:r>
              <w:rPr>
                <w:rFonts w:ascii="Arial" w:hAnsi="Arial"/>
                <w:b w:val="0"/>
                <w:sz w:val="14"/>
              </w:rPr>
              <w:t>Formula and rubric consistency reviewed; verify in final proof</w:t>
            </w:r>
          </w:p>
        </w:tc>
        <w:tc>
          <w:tcPr>
            <w:tcW w:type="dxa" w:w="2045"/>
          </w:tcPr>
          <w:p>
            <w:pPr>
              <w:spacing w:after="0"/>
            </w:pPr>
            <w:r>
              <w:rPr>
                <w:rFonts w:ascii="Arial" w:hAnsi="Arial"/>
                <w:b w:val="0"/>
                <w:sz w:val="14"/>
              </w:rPr>
              <w:t>Phase 1B-9C / 1B-9D</w:t>
            </w:r>
          </w:p>
        </w:tc>
      </w:tr>
      <w:tr>
        <w:tc>
          <w:tcPr>
            <w:tcW w:type="dxa" w:w="2045"/>
          </w:tcPr>
          <w:p>
            <w:pPr>
              <w:spacing w:after="0"/>
            </w:pPr>
            <w:r>
              <w:rPr>
                <w:rFonts w:ascii="Arial" w:hAnsi="Arial"/>
                <w:b w:val="0"/>
                <w:sz w:val="14"/>
              </w:rPr>
              <w:t>Appendix H procurement boundary</w:t>
            </w:r>
          </w:p>
        </w:tc>
        <w:tc>
          <w:tcPr>
            <w:tcW w:type="dxa" w:w="2045"/>
          </w:tcPr>
          <w:p>
            <w:pPr>
              <w:spacing w:after="0"/>
            </w:pPr>
            <w:r>
              <w:rPr>
                <w:rFonts w:ascii="Arial" w:hAnsi="Arial"/>
                <w:b w:val="0"/>
                <w:sz w:val="14"/>
              </w:rPr>
              <w:t>Buyer checklist could be misused as vendor selection advice</w:t>
            </w:r>
          </w:p>
        </w:tc>
        <w:tc>
          <w:tcPr>
            <w:tcW w:type="dxa" w:w="2045"/>
          </w:tcPr>
          <w:p>
            <w:pPr>
              <w:spacing w:after="0"/>
            </w:pPr>
            <w:r>
              <w:rPr>
                <w:rFonts w:ascii="Arial" w:hAnsi="Arial"/>
                <w:b w:val="0"/>
                <w:sz w:val="14"/>
              </w:rPr>
              <w:t>Added procurement-use boundary and required human review</w:t>
            </w:r>
          </w:p>
        </w:tc>
        <w:tc>
          <w:tcPr>
            <w:tcW w:type="dxa" w:w="2045"/>
          </w:tcPr>
          <w:p>
            <w:pPr>
              <w:spacing w:after="0"/>
            </w:pPr>
            <w:r>
              <w:rPr>
                <w:rFonts w:ascii="Arial" w:hAnsi="Arial"/>
                <w:b w:val="0"/>
                <w:sz w:val="14"/>
              </w:rPr>
              <w:t>Verify no vendor ordering language in final proof</w:t>
            </w:r>
          </w:p>
        </w:tc>
        <w:tc>
          <w:tcPr>
            <w:tcW w:type="dxa" w:w="2045"/>
          </w:tcPr>
          <w:p>
            <w:pPr>
              <w:spacing w:after="0"/>
            </w:pPr>
            <w:r>
              <w:rPr>
                <w:rFonts w:ascii="Arial" w:hAnsi="Arial"/>
                <w:b w:val="0"/>
                <w:sz w:val="14"/>
              </w:rPr>
              <w:t>Phase 1B-10</w:t>
            </w:r>
          </w:p>
        </w:tc>
      </w:tr>
      <w:tr>
        <w:tc>
          <w:tcPr>
            <w:tcW w:type="dxa" w:w="2045"/>
          </w:tcPr>
          <w:p>
            <w:pPr>
              <w:spacing w:after="0"/>
            </w:pPr>
            <w:r>
              <w:rPr>
                <w:rFonts w:ascii="Arial" w:hAnsi="Arial"/>
                <w:b w:val="0"/>
                <w:sz w:val="14"/>
              </w:rPr>
              <w:t>Appendix I source audit boundary</w:t>
            </w:r>
          </w:p>
        </w:tc>
        <w:tc>
          <w:tcPr>
            <w:tcW w:type="dxa" w:w="2045"/>
          </w:tcPr>
          <w:p>
            <w:pPr>
              <w:spacing w:after="0"/>
            </w:pPr>
            <w:r>
              <w:rPr>
                <w:rFonts w:ascii="Arial" w:hAnsi="Arial"/>
                <w:b w:val="0"/>
                <w:sz w:val="14"/>
              </w:rPr>
              <w:t>Revalidation register could be misread as completed validation</w:t>
            </w:r>
          </w:p>
        </w:tc>
        <w:tc>
          <w:tcPr>
            <w:tcW w:type="dxa" w:w="2045"/>
          </w:tcPr>
          <w:p>
            <w:pPr>
              <w:spacing w:after="0"/>
            </w:pPr>
            <w:r>
              <w:rPr>
                <w:rFonts w:ascii="Arial" w:hAnsi="Arial"/>
                <w:b w:val="0"/>
                <w:sz w:val="14"/>
              </w:rPr>
              <w:t>Stated that Phase 1B-10 was preparatory; Phase 1C follow-up added claim-level source-binding status without claiming final publication readiness</w:t>
            </w:r>
          </w:p>
        </w:tc>
        <w:tc>
          <w:tcPr>
            <w:tcW w:type="dxa" w:w="2045"/>
          </w:tcPr>
          <w:p>
            <w:pPr>
              <w:spacing w:after="0"/>
            </w:pPr>
            <w:r>
              <w:rPr>
                <w:rFonts w:ascii="Arial" w:hAnsi="Arial"/>
                <w:b w:val="0"/>
                <w:sz w:val="14"/>
              </w:rPr>
              <w:t>Perform final page-level citation pinning and rendering QA</w:t>
            </w:r>
          </w:p>
        </w:tc>
        <w:tc>
          <w:tcPr>
            <w:tcW w:type="dxa" w:w="2045"/>
          </w:tcPr>
          <w:p>
            <w:pPr>
              <w:spacing w:after="0"/>
            </w:pPr>
            <w:r>
              <w:rPr>
                <w:rFonts w:ascii="Arial" w:hAnsi="Arial"/>
                <w:b w:val="0"/>
                <w:sz w:val="14"/>
              </w:rPr>
              <w:t>Phase 1B-10 / Phase 1C</w:t>
            </w:r>
          </w:p>
        </w:tc>
      </w:tr>
      <w:tr>
        <w:tc>
          <w:tcPr>
            <w:tcW w:type="dxa" w:w="2045"/>
          </w:tcPr>
          <w:p>
            <w:pPr>
              <w:spacing w:after="0"/>
            </w:pPr>
            <w:r>
              <w:rPr>
                <w:rFonts w:ascii="Arial" w:hAnsi="Arial"/>
                <w:b w:val="0"/>
                <w:sz w:val="14"/>
              </w:rPr>
              <w:t>Appendix J closure boundary</w:t>
            </w:r>
          </w:p>
        </w:tc>
        <w:tc>
          <w:tcPr>
            <w:tcW w:type="dxa" w:w="2045"/>
          </w:tcPr>
          <w:p>
            <w:pPr>
              <w:spacing w:after="0"/>
            </w:pPr>
            <w:r>
              <w:rPr>
                <w:rFonts w:ascii="Arial" w:hAnsi="Arial"/>
                <w:b w:val="0"/>
                <w:sz w:val="14"/>
              </w:rPr>
              <w:t>Gap closure could be misread as final publication readiness</w:t>
            </w:r>
          </w:p>
        </w:tc>
        <w:tc>
          <w:tcPr>
            <w:tcW w:type="dxa" w:w="2045"/>
          </w:tcPr>
          <w:p>
            <w:pPr>
              <w:spacing w:after="0"/>
            </w:pPr>
            <w:r>
              <w:rPr>
                <w:rFonts w:ascii="Arial" w:hAnsi="Arial"/>
                <w:b w:val="0"/>
                <w:sz w:val="14"/>
              </w:rPr>
              <w:t>Distinguished closed, structurally closed, completed Phase 1C follow-up, and Phase 1D/publication QA items</w:t>
            </w:r>
          </w:p>
        </w:tc>
        <w:tc>
          <w:tcPr>
            <w:tcW w:type="dxa" w:w="2045"/>
          </w:tcPr>
          <w:p>
            <w:pPr>
              <w:spacing w:after="0"/>
            </w:pPr>
            <w:r>
              <w:rPr>
                <w:rFonts w:ascii="Arial" w:hAnsi="Arial"/>
                <w:b w:val="0"/>
                <w:sz w:val="14"/>
              </w:rPr>
              <w:t>Complete remaining publication QA work</w:t>
            </w:r>
          </w:p>
        </w:tc>
        <w:tc>
          <w:tcPr>
            <w:tcW w:type="dxa" w:w="2045"/>
          </w:tcPr>
          <w:p>
            <w:pPr>
              <w:spacing w:after="0"/>
            </w:pPr>
            <w:r>
              <w:rPr>
                <w:rFonts w:ascii="Arial" w:hAnsi="Arial"/>
                <w:b w:val="0"/>
                <w:sz w:val="14"/>
              </w:rPr>
              <w:t>Phase 1B-10 / Wave 7</w:t>
            </w:r>
          </w:p>
        </w:tc>
      </w:tr>
    </w:tbl>
    <w:p>
      <w:pPr>
        <w:pStyle w:val="Heading2"/>
      </w:pPr>
      <w:r>
        <w:t>K.5 Remaining Publication QA Actions</w:t>
      </w:r>
    </w:p>
    <w:p>
      <w:pPr>
        <w:keepNext/>
      </w:pPr>
      <w:r>
        <w:rPr>
          <w:b/>
          <w:sz w:val="16"/>
        </w:rPr>
        <w:t>Table T-K-03: Remaining Publication QA Actions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Action</w:t>
            </w:r>
          </w:p>
        </w:tc>
        <w:tc>
          <w:tcPr>
            <w:tcW w:type="dxa" w:w="2045"/>
          </w:tcPr>
          <w:p>
            <w:pPr>
              <w:spacing w:after="0"/>
            </w:pPr>
            <w:r>
              <w:rPr>
                <w:rFonts w:ascii="Arial" w:hAnsi="Arial"/>
                <w:b/>
                <w:sz w:val="14"/>
              </w:rPr>
              <w:t>Reason</w:t>
            </w:r>
          </w:p>
        </w:tc>
        <w:tc>
          <w:tcPr>
            <w:tcW w:type="dxa" w:w="2045"/>
          </w:tcPr>
          <w:p>
            <w:pPr>
              <w:spacing w:after="0"/>
            </w:pPr>
            <w:r>
              <w:rPr>
                <w:rFonts w:ascii="Arial" w:hAnsi="Arial"/>
                <w:b/>
                <w:sz w:val="14"/>
              </w:rPr>
              <w:t>Target Phase</w:t>
            </w:r>
          </w:p>
        </w:tc>
        <w:tc>
          <w:tcPr>
            <w:tcW w:type="dxa" w:w="2045"/>
          </w:tcPr>
          <w:p>
            <w:pPr>
              <w:spacing w:after="0"/>
            </w:pPr>
            <w:r>
              <w:rPr>
                <w:rFonts w:ascii="Arial" w:hAnsi="Arial"/>
                <w:b/>
                <w:sz w:val="14"/>
              </w:rPr>
              <w:t>Required Evidence</w:t>
            </w:r>
          </w:p>
        </w:tc>
        <w:tc>
          <w:tcPr>
            <w:tcW w:type="dxa" w:w="2045"/>
          </w:tcPr>
          <w:p>
            <w:pPr>
              <w:spacing w:after="0"/>
            </w:pPr>
            <w:r>
              <w:rPr>
                <w:rFonts w:ascii="Arial" w:hAnsi="Arial"/>
                <w:b/>
                <w:sz w:val="14"/>
              </w:rPr>
              <w:t>Blocking Level</w:t>
            </w:r>
          </w:p>
        </w:tc>
      </w:tr>
      <w:tr>
        <w:tc>
          <w:tcPr>
            <w:tcW w:type="dxa" w:w="2045"/>
          </w:tcPr>
          <w:p>
            <w:pPr>
              <w:spacing w:after="0"/>
            </w:pPr>
            <w:r>
              <w:rPr>
                <w:rFonts w:ascii="Arial" w:hAnsi="Arial"/>
                <w:b w:val="0"/>
                <w:sz w:val="14"/>
              </w:rPr>
              <w:t>Page-level citation pinning for source-bound product/protocol claims</w:t>
            </w:r>
          </w:p>
        </w:tc>
        <w:tc>
          <w:tcPr>
            <w:tcW w:type="dxa" w:w="2045"/>
          </w:tcPr>
          <w:p>
            <w:pPr>
              <w:spacing w:after="0"/>
            </w:pPr>
            <w:r>
              <w:rPr>
                <w:rFonts w:ascii="Arial" w:hAnsi="Arial"/>
                <w:b w:val="0"/>
                <w:sz w:val="14"/>
              </w:rPr>
              <w:t>Official entry points were located, but final citation pages must be pinned before publication</w:t>
            </w:r>
          </w:p>
        </w:tc>
        <w:tc>
          <w:tcPr>
            <w:tcW w:type="dxa" w:w="2045"/>
          </w:tcPr>
          <w:p>
            <w:pPr>
              <w:spacing w:after="0"/>
            </w:pPr>
            <w:r>
              <w:rPr>
                <w:rFonts w:ascii="Arial" w:hAnsi="Arial"/>
                <w:b w:val="0"/>
                <w:sz w:val="14"/>
              </w:rPr>
              <w:t>Phase 1D / publication-candidate QA</w:t>
            </w:r>
          </w:p>
        </w:tc>
        <w:tc>
          <w:tcPr>
            <w:tcW w:type="dxa" w:w="2045"/>
          </w:tcPr>
          <w:p>
            <w:pPr>
              <w:spacing w:after="0"/>
            </w:pPr>
            <w:r>
              <w:rPr>
                <w:rFonts w:ascii="Arial" w:hAnsi="Arial"/>
                <w:b w:val="0"/>
                <w:sz w:val="14"/>
              </w:rPr>
              <w:t>Exact source page references and citation rendering record</w:t>
            </w:r>
          </w:p>
        </w:tc>
        <w:tc>
          <w:tcPr>
            <w:tcW w:type="dxa" w:w="2045"/>
          </w:tcPr>
          <w:p>
            <w:pPr>
              <w:spacing w:after="0"/>
            </w:pPr>
            <w:r>
              <w:rPr>
                <w:rFonts w:ascii="Arial" w:hAnsi="Arial"/>
                <w:b w:val="0"/>
                <w:sz w:val="14"/>
              </w:rPr>
              <w:t>Blocks publication release</w:t>
            </w:r>
          </w:p>
        </w:tc>
      </w:tr>
      <w:tr>
        <w:tc>
          <w:tcPr>
            <w:tcW w:type="dxa" w:w="2045"/>
          </w:tcPr>
          <w:p>
            <w:pPr>
              <w:spacing w:after="0"/>
            </w:pPr>
            <w:r>
              <w:rPr>
                <w:rFonts w:ascii="Arial" w:hAnsi="Arial"/>
                <w:b w:val="0"/>
                <w:sz w:val="14"/>
              </w:rPr>
              <w:t>Validation Lab methodology-specific citation</w:t>
            </w:r>
          </w:p>
        </w:tc>
        <w:tc>
          <w:tcPr>
            <w:tcW w:type="dxa" w:w="2045"/>
          </w:tcPr>
          <w:p>
            <w:pPr>
              <w:spacing w:after="0"/>
            </w:pPr>
            <w:r>
              <w:rPr>
                <w:rFonts w:ascii="Arial" w:hAnsi="Arial"/>
                <w:b w:val="0"/>
                <w:sz w:val="14"/>
              </w:rPr>
              <w:t>Public entry point was located, but methodology-specific support remains limited</w:t>
            </w:r>
          </w:p>
        </w:tc>
        <w:tc>
          <w:tcPr>
            <w:tcW w:type="dxa" w:w="2045"/>
          </w:tcPr>
          <w:p>
            <w:pPr>
              <w:spacing w:after="0"/>
            </w:pPr>
            <w:r>
              <w:rPr>
                <w:rFonts w:ascii="Arial" w:hAnsi="Arial"/>
                <w:b w:val="0"/>
                <w:sz w:val="14"/>
              </w:rPr>
              <w:t>Phase 1D / publication-candidate QA</w:t>
            </w:r>
          </w:p>
        </w:tc>
        <w:tc>
          <w:tcPr>
            <w:tcW w:type="dxa" w:w="2045"/>
          </w:tcPr>
          <w:p>
            <w:pPr>
              <w:spacing w:after="0"/>
            </w:pPr>
            <w:r>
              <w:rPr>
                <w:rFonts w:ascii="Arial" w:hAnsi="Arial"/>
                <w:b w:val="0"/>
                <w:sz w:val="14"/>
              </w:rPr>
              <w:t>Methodology URL or retained unresolved note</w:t>
            </w:r>
          </w:p>
        </w:tc>
        <w:tc>
          <w:tcPr>
            <w:tcW w:type="dxa" w:w="2045"/>
          </w:tcPr>
          <w:p>
            <w:pPr>
              <w:spacing w:after="0"/>
            </w:pPr>
            <w:r>
              <w:rPr>
                <w:rFonts w:ascii="Arial" w:hAnsi="Arial"/>
                <w:b w:val="0"/>
                <w:sz w:val="14"/>
              </w:rPr>
              <w:t>Blocks treating methodology claims as more than boundary-limited</w:t>
            </w:r>
          </w:p>
        </w:tc>
      </w:tr>
      <w:tr>
        <w:tc>
          <w:tcPr>
            <w:tcW w:type="dxa" w:w="2045"/>
          </w:tcPr>
          <w:p>
            <w:pPr>
              <w:spacing w:after="0"/>
            </w:pPr>
            <w:r>
              <w:rPr>
                <w:rFonts w:ascii="Arial" w:hAnsi="Arial"/>
                <w:b w:val="0"/>
                <w:sz w:val="14"/>
              </w:rPr>
              <w:t>Evidence level source-to-claim rendering check</w:t>
            </w:r>
          </w:p>
        </w:tc>
        <w:tc>
          <w:tcPr>
            <w:tcW w:type="dxa" w:w="2045"/>
          </w:tcPr>
          <w:p>
            <w:pPr>
              <w:spacing w:after="0"/>
            </w:pPr>
            <w:r>
              <w:rPr>
                <w:rFonts w:ascii="Arial" w:hAnsi="Arial"/>
                <w:b w:val="0"/>
                <w:sz w:val="14"/>
              </w:rPr>
              <w:t>Evidence confidence is now tied to claims, but final artifacts must preserve labels</w:t>
            </w:r>
          </w:p>
        </w:tc>
        <w:tc>
          <w:tcPr>
            <w:tcW w:type="dxa" w:w="2045"/>
          </w:tcPr>
          <w:p>
            <w:pPr>
              <w:spacing w:after="0"/>
            </w:pPr>
            <w:r>
              <w:rPr>
                <w:rFonts w:ascii="Arial" w:hAnsi="Arial"/>
                <w:b w:val="0"/>
                <w:sz w:val="14"/>
              </w:rPr>
              <w:t>Phase 1D / publication-candidate QA</w:t>
            </w:r>
          </w:p>
        </w:tc>
        <w:tc>
          <w:tcPr>
            <w:tcW w:type="dxa" w:w="2045"/>
          </w:tcPr>
          <w:p>
            <w:pPr>
              <w:spacing w:after="0"/>
            </w:pPr>
            <w:r>
              <w:rPr>
                <w:rFonts w:ascii="Arial" w:hAnsi="Arial"/>
                <w:b w:val="0"/>
                <w:sz w:val="14"/>
              </w:rPr>
              <w:t>Citation/evidence rendering QA record</w:t>
            </w:r>
          </w:p>
        </w:tc>
        <w:tc>
          <w:tcPr>
            <w:tcW w:type="dxa" w:w="2045"/>
          </w:tcPr>
          <w:p>
            <w:pPr>
              <w:spacing w:after="0"/>
            </w:pPr>
            <w:r>
              <w:rPr>
                <w:rFonts w:ascii="Arial" w:hAnsi="Arial"/>
                <w:b w:val="0"/>
                <w:sz w:val="14"/>
              </w:rPr>
              <w:t>Blocks publication release</w:t>
            </w:r>
          </w:p>
        </w:tc>
      </w:tr>
      <w:tr>
        <w:tc>
          <w:tcPr>
            <w:tcW w:type="dxa" w:w="2045"/>
          </w:tcPr>
          <w:p>
            <w:pPr>
              <w:spacing w:after="0"/>
            </w:pPr>
            <w:r>
              <w:rPr>
                <w:rFonts w:ascii="Arial" w:hAnsi="Arial"/>
                <w:b w:val="0"/>
                <w:sz w:val="14"/>
              </w:rPr>
              <w:t>Appendix G revalidated provisional proofread</w:t>
            </w:r>
          </w:p>
        </w:tc>
        <w:tc>
          <w:tcPr>
            <w:tcW w:type="dxa" w:w="2045"/>
          </w:tcPr>
          <w:p>
            <w:pPr>
              <w:spacing w:after="0"/>
            </w:pPr>
            <w:r>
              <w:rPr>
                <w:rFonts w:ascii="Arial" w:hAnsi="Arial"/>
                <w:b w:val="0"/>
                <w:sz w:val="14"/>
              </w:rPr>
              <w:t>Provisional postures now have source binding but remain non-final</w:t>
            </w:r>
          </w:p>
        </w:tc>
        <w:tc>
          <w:tcPr>
            <w:tcW w:type="dxa" w:w="2045"/>
          </w:tcPr>
          <w:p>
            <w:pPr>
              <w:spacing w:after="0"/>
            </w:pPr>
            <w:r>
              <w:rPr>
                <w:rFonts w:ascii="Arial" w:hAnsi="Arial"/>
                <w:b w:val="0"/>
                <w:sz w:val="14"/>
              </w:rPr>
              <w:t>Phase 1D / publication-candidate QA</w:t>
            </w:r>
          </w:p>
        </w:tc>
        <w:tc>
          <w:tcPr>
            <w:tcW w:type="dxa" w:w="2045"/>
          </w:tcPr>
          <w:p>
            <w:pPr>
              <w:spacing w:after="0"/>
            </w:pPr>
            <w:r>
              <w:rPr>
                <w:rFonts w:ascii="Arial" w:hAnsi="Arial"/>
                <w:b w:val="0"/>
                <w:sz w:val="14"/>
              </w:rPr>
              <w:t>Final no-score/no-ranking grep and citation check</w:t>
            </w:r>
          </w:p>
        </w:tc>
        <w:tc>
          <w:tcPr>
            <w:tcW w:type="dxa" w:w="2045"/>
          </w:tcPr>
          <w:p>
            <w:pPr>
              <w:spacing w:after="0"/>
            </w:pPr>
            <w:r>
              <w:rPr>
                <w:rFonts w:ascii="Arial" w:hAnsi="Arial"/>
                <w:b w:val="0"/>
                <w:sz w:val="14"/>
              </w:rPr>
              <w:t>Blocks final Appendix G publication status</w:t>
            </w:r>
          </w:p>
        </w:tc>
      </w:tr>
      <w:tr>
        <w:tc>
          <w:tcPr>
            <w:tcW w:type="dxa" w:w="2045"/>
          </w:tcPr>
          <w:p>
            <w:pPr>
              <w:spacing w:after="0"/>
            </w:pPr>
            <w:r>
              <w:rPr>
                <w:rFonts w:ascii="Arial" w:hAnsi="Arial"/>
                <w:b w:val="0"/>
                <w:sz w:val="14"/>
              </w:rPr>
              <w:t>DOCX/PDF generation and visual QA</w:t>
            </w:r>
          </w:p>
        </w:tc>
        <w:tc>
          <w:tcPr>
            <w:tcW w:type="dxa" w:w="2045"/>
          </w:tcPr>
          <w:p>
            <w:pPr>
              <w:spacing w:after="0"/>
            </w:pPr>
            <w:r>
              <w:rPr>
                <w:rFonts w:ascii="Arial" w:hAnsi="Arial"/>
                <w:b w:val="0"/>
                <w:sz w:val="14"/>
              </w:rPr>
              <w:t>Publication rendering not yet produced</w:t>
            </w:r>
          </w:p>
        </w:tc>
        <w:tc>
          <w:tcPr>
            <w:tcW w:type="dxa" w:w="2045"/>
          </w:tcPr>
          <w:p>
            <w:pPr>
              <w:spacing w:after="0"/>
            </w:pPr>
            <w:r>
              <w:rPr>
                <w:rFonts w:ascii="Arial" w:hAnsi="Arial"/>
                <w:b w:val="0"/>
                <w:sz w:val="14"/>
              </w:rPr>
              <w:t>Phase 1D / publication-candidate QA</w:t>
            </w:r>
          </w:p>
        </w:tc>
        <w:tc>
          <w:tcPr>
            <w:tcW w:type="dxa" w:w="2045"/>
          </w:tcPr>
          <w:p>
            <w:pPr>
              <w:spacing w:after="0"/>
            </w:pPr>
            <w:r>
              <w:rPr>
                <w:rFonts w:ascii="Arial" w:hAnsi="Arial"/>
                <w:b w:val="0"/>
                <w:sz w:val="14"/>
              </w:rPr>
              <w:t>DOCX/PDF artifacts and visual QA report</w:t>
            </w:r>
          </w:p>
        </w:tc>
        <w:tc>
          <w:tcPr>
            <w:tcW w:type="dxa" w:w="2045"/>
          </w:tcPr>
          <w:p>
            <w:pPr>
              <w:spacing w:after="0"/>
            </w:pPr>
            <w:r>
              <w:rPr>
                <w:rFonts w:ascii="Arial" w:hAnsi="Arial"/>
                <w:b w:val="0"/>
                <w:sz w:val="14"/>
              </w:rPr>
              <w:t>Blocks publication release</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Arial" w:hAnsi="Arial"/>
      <w:b/>
      <w:bCs/>
      <w:i/>
      <w:iCs/>
      <w:color w:val="4F81BD" w:themeColor="accent1"/>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