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交付后’未明确具体支付时限（如‘交付并验收合格后5个工作日内’），亦未约定发票类型（增值税专用发票）、开票前提及延迟开票的违约责任；同时缺失预付款约定，甲方资金风险与乙方履约保障均失衡
建议：修改为：‘甲方应在设备交付且双方签署验收合格单后5个工作日内，向乙方支付全部合同价款；乙方须于收款前开具合法有效的增值税专用发票；本合同签订后3日内，甲方支付20%预付款作为履约担保’]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【高风险】违约金标准完全未约定（无比例、计算基数、上限或起算时间），属于约定不明，导致条款缺乏可执行性，司法实践中可能被认定为无效或需另行举证实际损失
建议：应明确违约金计算方式（如：按日万分之三计算，总额不超过合同总额10%），并区分逾期交货与逾期付款的不同责任标准]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法律途径’表述过于宽泛，未约定具体管辖法院或仲裁机构，违反《民事诉讼法》第24条及《仲裁法》第16条关于协议管辖/仲裁条款必须明确的要求，导致争议发生时管辖权不确定，易引发程序争议和诉讼成本增加
建议：明确约定‘提交甲方所在地有管辖权的人民法院诉讼解决’或‘提交XX仲裁委员会仲裁’，二者择一且表述唯一确定]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