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【中风险】未约定付款时限（如‘交付并验收合格后5个工作日内’），未明确‘交付’是否以签收单或验收单为凭，亦未约定发票类型（专票/普票）及开票时间，易引发付款拖延与税务合规风险
建议：修改为：‘甲方应在双方签署《设备验收合格单》后5个工作日内，向乙方支付全部合同价款；乙方须在收款前开具合法有效的增值税专用发票，发票信息与本合同一致’]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r>
        <w:t xml:space="preserve">5.1 任何一方违反本合同约定，应承担相应赔偿责任。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【高风险】违约金标准完全未约定（无比例、计算基数、上限或起算时间），属于约定不明，导致条款缺乏可执行性，司法实践中可能被认定为无效或需另行举证实际损失
建议：应明确违约金计算方式（如：按日万分之三计算，总额不超过合同总额10%），并区分逾期交货与逾期付款的不同责任标准]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【高风险】未约定具体争议解决机构（法院或仲裁），亦未明确管辖法院或仲裁委员会名称，违反《民事诉讼法》第24条及《仲裁法》第16条，导致争议发生时管辖不明，易引发程序争议和诉讼成本增加
建议：明确选择‘提交甲方所在地有管辖权的人民法院诉讼解决’或‘提交XX仲裁委员会仲裁’，二者择一且表述唯一确定]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