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pPr>
        <w:pStyle w:val="text"/>
      </w:pPr>
      <w:commentRangeStart w:id="0"/>
      <w:r>
        <w:rPr>
          <w:shd w:fill="FFFF00"/>
        </w:rPr>
        <w:t xml:space="preserve">（2）服务期满 6 个月且乙方完成阶段性服务验收后 15 个工作日内，甲方支付总费用的 30%（即______元）；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【中风险】‘完成阶段性服务验收’未明确验收主体、流程、时限及未通过时的救济机制；若甲方无正当理由拖延验收，乙方将长期无法收款，显失公平
建议：应约定甲方应在收到乙方《阶段性服务报告》后5个工作日内组织验收，逾期未提出书面异议视为验收通过；对异议应列明具体整改要求及复验时限]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pPr>
        <w:pStyle w:val="text"/>
      </w:pPr>
      <w:commentRangeStart w:id="0"/>
      <w:r>
        <w:rPr>
          <w:shd w:fill="FFFF00"/>
        </w:rPr>
        <w:t xml:space="preserve">（1）有权要求甲方提供必要的配合，若因甲方未配合导致服务延误，不承担违约责任；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【中风险】该条款未限定‘甲方配合义务’的具体内容、履行标准及证明责任，易被滥用为乙方推诿责任的兜底条款，显失公平
建议：应列举甲方配合义务的具体事项（如提供系统访问权限、指定对接人、及时反馈测试结果等），并约定乙方需书面通知甲方配合要求及合理履行期限]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pPr>
        <w:pStyle w:val="text"/>
      </w:pPr>
      <w:commentRangeStart w:id="0"/>
      <w:r>
        <w:rPr>
          <w:shd w:fill="FFFF00"/>
        </w:rPr>
        <w:t xml:space="preserve">6.1 若甲方逾期付款，每逾期 1 日，按逾期金额的 0.05% 向乙方支付违约金；逾期超过 30 日，乙方有权暂停服务，直至甲方付清款项。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【高风险】日利率0.05%折合年化利率18.25%，显著高于LPR四倍（当前1年期LPR为3.45%，四倍为13.8%），可能被认定为过高而遭法院调减；且未设置违约金上限，存在无限累积风险
建议：建议将日违约金比例调整为不超过LPR四倍的日利率（即约0.0377%/日），并增设累计违约金总额上限（如不超过合同总金额10%）]</w:t>
      </w:r>
    </w:p>
    <w:p>
      <w:pPr>
        <w:pStyle w:val="text"/>
      </w:pPr>
      <w:commentRangeStart w:id="0"/>
      <w:r>
        <w:rPr>
          <w:shd w:fill="FFFF00"/>
        </w:rP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【中风险】违约金计算基数为‘合同总金额’而非对应服务阶段或单次违约所涉金额，缺乏比例性；未界定‘未按约定提供服务’的具体情形（如响应超时是否以分钟/小时为单位），易引发争议
建议：建议明确违约行为类型及对应违约金计算基准（如按单次服务费用比例计），并定义‘响应超时’等关键标准（如‘首次响应超过2小时’）]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pPr>
        <w:pStyle w:val="text"/>
      </w:pPr>
      <w:commentRangeStart w:id="0"/>
      <w:r>
        <w:rPr>
          <w:shd w:fill="FFFF00"/>
        </w:rPr>
        <w:t xml:space="preserve">7.3 一方严重违约导致合同目的无法实现的，另一方有权书面通知对方解除合同，通知送达之日起合同解除。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【中风险】‘严重违约’‘合同目的无法实现’属高度概括性表述，缺乏客观判断标准，易引发解除权滥用争议；未规定解除通知的生效条件（如送达方式、异议期）
建议：应列举具体严重违约情形（如乙方连续3次重大故障未解决、甲方逾期付款超60日），并约定解除通知须以书面形式送达，对方收到后5个工作日内未补救则解除生效]</w:t>
      </w:r>
    </w:p>
    <w:p>
      <w:pPr>
        <w:pStyle w:val="Heading2"/>
      </w:pPr>
      <w:r>
        <w:t xml:space="preserve">第八条 争议解决</w:t>
      </w:r>
    </w:p>
    <w:p>
      <w:pPr>
        <w:pStyle w:val="text"/>
      </w:pPr>
      <w:commentRangeStart w:id="0"/>
      <w:r>
        <w:rPr>
          <w:shd w:fill="FFFF00"/>
        </w:rPr>
        <w:t xml:space="preserve">因本合同引起的或与本合同有关的争议，双方应首先协商解决；协商不成的，任何一方均有权向</w:t>
      </w:r>
      <w:r>
        <w:rPr>
          <w:rStyle w:val="CommentReference"/>
        </w:rPr>
        <w:annotationRef w:id="0"/>
      </w:r>
      <w:commentRangeEnd w:id="0"/>
      <w:r>
        <w:rPr>
          <w:b/>
          <w:bCs/>
        </w:rPr>
        <w:t xml:space="preserve">甲方所在地</w:t>
      </w:r>
      <w:r>
        <w:t xml:space="preserve">人民法院提起诉讼。</w:t>
      </w:r>
      <w:r>
        <w:rPr>
          <w:color w:val="FF0000"/>
          <w:sz w:val="20"/>
        </w:rPr>
        <w:t xml:space="preserve">
[AI审核: 【低风险】虽合法有效，但未约定诉讼前的替代性争议解决机制（如调解、仲裁），可能增加诉讼成本；且甲方所在地法院管辖对乙方存在地理不便利性，易引发执行障碍
建议：可补充‘协商不成时，提交XX仲裁委员会仲裁’作为优先选项；若坚持诉讼，建议改为‘合同签订地人民法院’以增强中立性]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