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设备采购合同</w:t>
      </w:r>
    </w:p>
    <w:p>
      <w:pPr>
        <w:pStyle w:val="text"/>
      </w:pPr>
      <w:r>
        <w:t xml:space="preserve">合同编号：CG2024-001</w:t>
      </w:r>
    </w:p>
    <w:p>
      <w:pPr>
        <w:pStyle w:val="text"/>
      </w:pPr>
      <w:r>
        <w:t xml:space="preserve">甲方（采购方）：XX 商贸有限公司</w:t>
      </w:r>
    </w:p>
    <w:p>
      <w:pPr>
        <w:pStyle w:val="text"/>
      </w:pPr>
      <w:r>
        <w:t xml:space="preserve">乙方（供应方）：XX 设备制造有限公司</w:t>
      </w:r>
    </w:p>
    <w:p>
      <w:pPr>
        <w:pStyle w:val="Heading2"/>
      </w:pPr>
      <w:r>
        <w:t xml:space="preserve">一、采购标的</w:t>
      </w:r>
    </w:p>
    <w:p>
      <w:pPr>
        <w:pStyle w:val="text"/>
      </w:pPr>
      <w:r>
        <w:t xml:space="preserve">1.1 甲方向乙方采购生产用设备一批（具体型号、规格、数量见附件）。</w:t>
      </w:r>
    </w:p>
    <w:p>
      <w:pPr>
        <w:pStyle w:val="text"/>
      </w:pPr>
      <w:r>
        <w:t xml:space="preserve">1.2 设备质量需符合国家相关标准，乙方需提供产品合格证明。</w:t>
      </w:r>
    </w:p>
    <w:p>
      <w:pPr>
        <w:pStyle w:val="Heading2"/>
      </w:pPr>
      <w:r>
        <w:t xml:space="preserve">二、合同价款及支付</w:t>
      </w:r>
    </w:p>
    <w:p>
      <w:pPr>
        <w:pStyle w:val="text"/>
      </w:pPr>
      <w:r>
        <w:t xml:space="preserve">2.1 本合同总价款为人民币 50 万元（大写：伍拾万元整）。</w:t>
      </w:r>
    </w:p>
    <w:p>
      <w:pPr>
        <w:pStyle w:val="text"/>
      </w:pPr>
      <w:commentRangeStart w:id="0"/>
      <w:r>
        <w:rPr>
          <w:shd w:fill="FFFF00"/>
        </w:rPr>
        <w:t xml:space="preserve">2.2 甲方于设备交付后支付款项，乙方需开具等额发票。</w:t>
      </w:r>
      <w:r>
        <w:rPr>
          <w:rStyle w:val="CommentReference"/>
        </w:rPr>
        <w:annotationRef w:id="0"/>
      </w:r>
      <w:commentRangeEnd w:id="0"/>
      <w:r>
        <w:rPr>
          <w:color w:val="FF0000"/>
          <w:sz w:val="20"/>
        </w:rPr>
        <w:t xml:space="preserve">
[AI审核: 【高风险】未约定付款时限（‘交付后’无具体天数）、付款前提（是否以验收合格为条件）、发票类型（专票/普票）、开票时间，且未设置甲方付款前的验收确认机制，易引发付款争议并导致乙方税务风险
建议：修改为：‘甲方应在设备通过最终验收并收到乙方开具的合法有效增值税专用发票后5个工作日内，支付全部合同价款’，并前置约定验收标准与流程]</w:t>
      </w:r>
    </w:p>
    <w:p>
      <w:pPr>
        <w:pStyle w:val="Heading2"/>
      </w:pPr>
      <w:r>
        <w:t xml:space="preserve">三、交货及验收</w:t>
      </w:r>
    </w:p>
    <w:p>
      <w:pPr>
        <w:pStyle w:val="text"/>
      </w:pPr>
      <w:r>
        <w:t xml:space="preserve">3.1 乙方需在收到甲方预付款后尽快发货，交货地点为甲方指定厂区。</w:t>
      </w:r>
    </w:p>
    <w:p>
      <w:pPr>
        <w:pStyle w:val="text"/>
      </w:pPr>
      <w:r>
        <w:t xml:space="preserve">3.2 甲方收到设备后进行验收，如发现问题应及时通知乙方。</w:t>
      </w:r>
    </w:p>
    <w:p>
      <w:pPr>
        <w:pStyle w:val="Heading2"/>
      </w:pPr>
      <w:r>
        <w:t xml:space="preserve">四、质量保证</w:t>
      </w:r>
    </w:p>
    <w:p>
      <w:pPr>
        <w:pStyle w:val="text"/>
      </w:pPr>
      <w:r>
        <w:t xml:space="preserve">4.1 乙方对所供设备提供质量保证，质保期自设备交付之日起计算。</w:t>
      </w:r>
    </w:p>
    <w:p>
      <w:pPr>
        <w:pStyle w:val="text"/>
      </w:pPr>
      <w:r>
        <w:t xml:space="preserve">4.2 质保期内设备出现质量问题，乙方负责维修或更换。</w:t>
      </w:r>
    </w:p>
    <w:p>
      <w:pPr>
        <w:pStyle w:val="Heading2"/>
      </w:pPr>
      <w:r>
        <w:t xml:space="preserve">五、违约责任</w:t>
      </w:r>
    </w:p>
    <w:p>
      <w:pPr>
        <w:pStyle w:val="text"/>
      </w:pPr>
      <w:r>
        <w:t xml:space="preserve">5.1 任何一方违反本合同约定，应承担相应赔偿责任。</w:t>
      </w:r>
    </w:p>
    <w:p>
      <w:pPr>
        <w:pStyle w:val="text"/>
      </w:pPr>
      <w:commentRangeStart w:id="0"/>
      <w:r>
        <w:rPr>
          <w:shd w:fill="FFFF00"/>
        </w:rPr>
        <w:t xml:space="preserve">5.2 乙方逾期交货的，需向甲方支付违约金；甲方逾期付款的，同理承担违约责任。</w:t>
      </w:r>
      <w:r>
        <w:rPr>
          <w:rStyle w:val="CommentReference"/>
        </w:rPr>
        <w:annotationRef w:id="0"/>
      </w:r>
      <w:commentRangeEnd w:id="0"/>
      <w:r>
        <w:rPr>
          <w:color w:val="FF0000"/>
          <w:sz w:val="20"/>
        </w:rPr>
        <w:t xml:space="preserve">
[AI审核: 【高风险】违约金标准完全缺失：未约定计算基数、比例、起算时间及上限，属约定不明，可能导致条款无效或执行困难，且‘同理’表述模糊，缺乏对等性与可操作性
建议：应明确违约金计算方式（如：按日万分之三计算，总额不超过合同总价10%），分别列明甲乙双方违约金标准，并设定合理上限]</w:t>
      </w:r>
    </w:p>
    <w:p>
      <w:pPr>
        <w:pStyle w:val="Heading2"/>
      </w:pPr>
      <w:r>
        <w:t xml:space="preserve">六、争议解决</w:t>
      </w:r>
    </w:p>
    <w:p>
      <w:pPr>
        <w:pStyle w:val="text"/>
      </w:pPr>
      <w:commentRangeStart w:id="0"/>
      <w:r>
        <w:rPr>
          <w:shd w:fill="FFFF00"/>
        </w:rPr>
        <w:t xml:space="preserve">6.1 因本合同引起的争议，双方应协商解决；协商不成的，可通过法律途径解决。</w:t>
      </w:r>
      <w:r>
        <w:rPr>
          <w:rStyle w:val="CommentReference"/>
        </w:rPr>
        <w:annotationRef w:id="0"/>
      </w:r>
      <w:commentRangeEnd w:id="0"/>
      <w:r>
        <w:rPr>
          <w:color w:val="FF0000"/>
          <w:sz w:val="20"/>
        </w:rPr>
        <w:t xml:space="preserve">
[AI审核: 【高风险】‘法律途径’表述极度不明确，未约定仲裁或诉讼，亦未指定管辖法院或仲裁机构，违反《民事诉讼法》第24条及《仲裁法》第16条，将导致争议解决机制失效，显著增加维权成本与不确定性
建议：明确选择‘提交甲方所在地有管辖权的人民法院诉讼解决’或‘提交XX仲裁委员会仲裁’，二者择一，不得并列或模糊表述]</w:t>
      </w:r>
    </w:p>
    <w:p>
      <w:pPr>
        <w:pStyle w:val="Heading2"/>
      </w:pPr>
      <w:r>
        <w:t xml:space="preserve">七、其他</w:t>
      </w:r>
    </w:p>
    <w:p>
      <w:pPr>
        <w:pStyle w:val="text"/>
      </w:pPr>
      <w:r>
        <w:t xml:space="preserve">7.1 本合同自双方签字盖章之日起生效，一式两份，双方各执一份。</w:t>
      </w:r>
    </w:p>
    <w:p>
      <w:pPr>
        <w:pStyle w:val="text"/>
      </w:pPr>
      <w:r>
        <w:t xml:space="preserve">7.2 本合同未尽事宜，双方可另行协商并签订补充协议。</w:t>
      </w:r>
    </w:p>
    <w:p>
      <w:pPr>
        <w:pStyle w:val="text"/>
      </w:pPr>
      <w:r>
        <w:t xml:space="preserve">甲方（盖章）：__________________</w:t>
      </w:r>
    </w:p>
    <w:p>
      <w:pPr>
        <w:pStyle w:val="text"/>
      </w:pPr>
      <w:r>
        <w:t xml:space="preserve">法定代表人（签字）：____________</w:t>
      </w:r>
    </w:p>
    <w:p>
      <w:pPr>
        <w:pStyle w:val="text"/>
      </w:pPr>
      <w:r>
        <w:t xml:space="preserve">日期：______年______月______日</w:t>
      </w:r>
    </w:p>
    <w:p>
      <w:pPr>
        <w:pStyle w:val="text"/>
      </w:pPr>
      <w:r>
        <w:t xml:space="preserve">乙方（盖章）：__________________</w:t>
      </w:r>
    </w:p>
    <w:p>
      <w:pPr>
        <w:pStyle w:val="text"/>
      </w:pPr>
      <w:r>
        <w:t xml:space="preserve">法定代表人（签字）：____________</w:t>
      </w:r>
    </w:p>
    <w:p>
      <w:pPr>
        <w:pStyle w:val="text"/>
      </w:pPr>
      <w:r>
        <w:t xml:space="preserve">日期：______年______月______日</w:t>
      </w:r>
    </w:p>
    <w:p>
      <w:pPr>
        <w:pStyle w:val="blockquote"/>
        <w:pBdr>
          <w:left w:val="single" w:color="BBBFC4" w:sz="18" w:space="0"/>
        </w:pBdr>
      </w:pPr>
      <w:r>
        <w:t xml:space="preserve">（注：文档部分内容可能由 AI 生成）</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288" w:hanging="288"/>
      </w:pPr>
      <w:rPr>
        <w:color w:val="3370FF"/>
        <w:sz w:val="22"/>
        <w:szCs w:val="22"/>
      </w:rPr>
    </w:lvl>
    <w:lvl w:ilvl="1" w15:tentative="1">
      <w:start w:val="1"/>
      <w:numFmt w:val="lowerLetter"/>
      <w:lvlText w:val="%2."/>
      <w:lvlJc w:val="start"/>
      <w:pPr>
        <w:ind w:left="720" w:hanging="288"/>
      </w:pPr>
      <w:rPr>
        <w:color w:val="3370FF"/>
        <w:sz w:val="22"/>
        <w:szCs w:val="22"/>
      </w:rPr>
    </w:lvl>
    <w:lvl w:ilvl="2" w15:tentative="1">
      <w:start w:val="1"/>
      <w:numFmt w:val="lowerRoman"/>
      <w:lvlText w:val="%3."/>
      <w:lvlJc w:val="start"/>
      <w:pPr>
        <w:ind w:left="1152" w:hanging="288"/>
      </w:pPr>
      <w:rPr>
        <w:color w:val="3370FF"/>
        <w:sz w:val="22"/>
        <w:szCs w:val="22"/>
      </w:rPr>
    </w:lvl>
    <w:lvl w:ilvl="3" w15:tentative="1">
      <w:start w:val="1"/>
      <w:numFmt w:val="decimal"/>
      <w:lvlText w:val="%4."/>
      <w:lvlJc w:val="start"/>
      <w:pPr>
        <w:ind w:left="1583" w:hanging="288"/>
      </w:pPr>
      <w:rPr>
        <w:color w:val="3370FF"/>
        <w:sz w:val="22"/>
        <w:szCs w:val="22"/>
      </w:rPr>
    </w:lvl>
    <w:lvl w:ilvl="4" w15:tentative="1">
      <w:start w:val="1"/>
      <w:numFmt w:val="lowerLetter"/>
      <w:lvlText w:val="%5."/>
      <w:lvlJc w:val="start"/>
      <w:pPr>
        <w:ind w:left="2015" w:hanging="288"/>
      </w:pPr>
      <w:rPr>
        <w:color w:val="3370FF"/>
        <w:sz w:val="22"/>
        <w:szCs w:val="22"/>
      </w:rPr>
    </w:lvl>
    <w:lvl w:ilvl="5" w15:tentative="1">
      <w:start w:val="1"/>
      <w:numFmt w:val="lowerRoman"/>
      <w:lvlText w:val="%6."/>
      <w:lvlJc w:val="start"/>
      <w:pPr>
        <w:ind w:left="2448" w:hanging="288"/>
      </w:pPr>
      <w:rPr>
        <w:color w:val="3370FF"/>
        <w:sz w:val="22"/>
        <w:szCs w:val="22"/>
      </w:rPr>
    </w:lvl>
    <w:lvl w:ilvl="6" w15:tentative="1">
      <w:start w:val="1"/>
      <w:numFmt w:val="decimal"/>
      <w:lvlText w:val="%7."/>
      <w:lvlJc w:val="start"/>
      <w:pPr>
        <w:ind w:left="2879" w:hanging="288"/>
      </w:pPr>
      <w:rPr>
        <w:color w:val="3370FF"/>
        <w:sz w:val="22"/>
        <w:szCs w:val="22"/>
      </w:rPr>
    </w:lvl>
    <w:lvl w:ilvl="7" w15:tentative="1">
      <w:start w:val="1"/>
      <w:numFmt w:val="lowerLetter"/>
      <w:lvlText w:val="%8."/>
      <w:lvlJc w:val="start"/>
      <w:pPr>
        <w:ind w:left="3312" w:hanging="288"/>
      </w:pPr>
      <w:rPr>
        <w:color w:val="3370FF"/>
        <w:sz w:val="22"/>
        <w:szCs w:val="22"/>
      </w:rPr>
    </w:lvl>
    <w:lvl w:ilvl="8" w15:tentative="1">
      <w:start w:val="1"/>
      <w:numFmt w:val="lowerRoman"/>
      <w:lvlText w:val="%9."/>
      <w:lvlJc w:val="start"/>
      <w:pPr>
        <w:ind w:left="3744" w:hanging="288"/>
      </w:pPr>
      <w:rPr>
        <w:color w:val="3370FF"/>
        <w:sz w:val="22"/>
        <w:szCs w:val="22"/>
      </w:rPr>
    </w:lvl>
    <w:lvl w:ilvl="9" w15:tentative="1">
      <w:start w:val="1"/>
      <w:numFmt w:val="decimal"/>
      <w:lvlText w:val="%10."/>
      <w:lvlJc w:val="start"/>
      <w:pPr>
        <w:ind w:left="4176" w:hanging="288"/>
      </w:pPr>
      <w:rPr>
        <w:color w:val="3370FF"/>
        <w:sz w:val="22"/>
        <w:szCs w:val="22"/>
      </w:rPr>
    </w:lvl>
  </w:abstractNum>
  <w:abstractNum w:abstractNumId="3" w15:restartNumberingAfterBreak="0">
    <w:multiLevelType w:val="hybridMultilevel"/>
    <w:lvl w:ilvl="0" w15:tentative="1">
      <w:start w:val="1"/>
      <w:numFmt w:val="bullet"/>
      <w:lvlText w:val="•"/>
      <w:lvlJc w:val="start"/>
      <w:pPr>
        <w:ind w:left="288" w:hanging="288"/>
      </w:pPr>
      <w:rPr>
        <w:color w:val="3370FF"/>
        <w:sz w:val="22"/>
        <w:szCs w:val="22"/>
      </w:rPr>
    </w:lvl>
    <w:lvl w:ilvl="1" w15:tentative="1">
      <w:start w:val="1"/>
      <w:numFmt w:val="bullet"/>
      <w:lvlText w:val="◦"/>
      <w:lvlJc w:val="start"/>
      <w:pPr>
        <w:ind w:left="720" w:hanging="288"/>
      </w:pPr>
      <w:rPr>
        <w:color w:val="3370FF"/>
        <w:sz w:val="22"/>
        <w:szCs w:val="22"/>
      </w:rPr>
    </w:lvl>
    <w:lvl w:ilvl="2" w15:tentative="1">
      <w:start w:val="1"/>
      <w:numFmt w:val="bullet"/>
      <w:lvlText w:val="▪"/>
      <w:lvlJc w:val="start"/>
      <w:pPr>
        <w:ind w:left="1152" w:hanging="288"/>
      </w:pPr>
      <w:rPr>
        <w:color w:val="3370FF"/>
        <w:sz w:val="22"/>
        <w:szCs w:val="22"/>
      </w:rPr>
    </w:lvl>
    <w:lvl w:ilvl="3" w15:tentative="1">
      <w:start w:val="1"/>
      <w:numFmt w:val="bullet"/>
      <w:lvlText w:val="•"/>
      <w:lvlJc w:val="start"/>
      <w:pPr>
        <w:ind w:left="1583" w:hanging="288"/>
      </w:pPr>
      <w:rPr>
        <w:color w:val="3370FF"/>
        <w:sz w:val="22"/>
        <w:szCs w:val="22"/>
      </w:rPr>
    </w:lvl>
    <w:lvl w:ilvl="4" w15:tentative="1">
      <w:start w:val="1"/>
      <w:numFmt w:val="bullet"/>
      <w:lvlText w:val="◦"/>
      <w:lvlJc w:val="start"/>
      <w:pPr>
        <w:ind w:left="2015" w:hanging="288"/>
      </w:pPr>
      <w:rPr>
        <w:color w:val="3370FF"/>
        <w:sz w:val="22"/>
        <w:szCs w:val="22"/>
      </w:rPr>
    </w:lvl>
    <w:lvl w:ilvl="5" w15:tentative="1">
      <w:start w:val="1"/>
      <w:numFmt w:val="bullet"/>
      <w:lvlText w:val="▪"/>
      <w:lvlJc w:val="start"/>
      <w:pPr>
        <w:ind w:left="2448" w:hanging="288"/>
      </w:pPr>
      <w:rPr>
        <w:color w:val="3370FF"/>
        <w:sz w:val="22"/>
        <w:szCs w:val="22"/>
      </w:rPr>
    </w:lvl>
    <w:lvl w:ilvl="6" w15:tentative="1">
      <w:start w:val="1"/>
      <w:numFmt w:val="bullet"/>
      <w:lvlText w:val="•"/>
      <w:lvlJc w:val="start"/>
      <w:pPr>
        <w:ind w:left="2879" w:hanging="288"/>
      </w:pPr>
      <w:rPr>
        <w:color w:val="3370FF"/>
        <w:sz w:val="22"/>
        <w:szCs w:val="22"/>
      </w:rPr>
    </w:lvl>
    <w:lvl w:ilvl="7" w15:tentative="1">
      <w:start w:val="1"/>
      <w:numFmt w:val="bullet"/>
      <w:lvlText w:val="◦"/>
      <w:lvlJc w:val="start"/>
      <w:pPr>
        <w:ind w:left="3312" w:hanging="288"/>
      </w:pPr>
      <w:rPr>
        <w:color w:val="3370FF"/>
        <w:sz w:val="22"/>
        <w:szCs w:val="22"/>
      </w:rPr>
    </w:lvl>
    <w:lvl w:ilvl="8" w15:tentative="1">
      <w:start w:val="1"/>
      <w:numFmt w:val="bullet"/>
      <w:lvlText w:val="▪"/>
      <w:lvlJc w:val="start"/>
      <w:pPr>
        <w:ind w:left="3744" w:hanging="288"/>
      </w:pPr>
      <w:rPr>
        <w:color w:val="3370FF"/>
        <w:sz w:val="22"/>
        <w:szCs w:val="22"/>
      </w:rPr>
    </w:lvl>
    <w:lvl w:ilvl="9" w15:tentative="1">
      <w:start w:val="1"/>
      <w:numFmt w:val="bullet"/>
      <w:lvlText w:val="•"/>
      <w:lvlJc w:val="start"/>
      <w:pPr>
        <w:ind w:left="4176" w:hanging="288"/>
      </w:pPr>
      <w:rPr>
        <w:color w:val="3370FF"/>
        <w:sz w:val="22"/>
        <w:szCs w:val="22"/>
      </w:rPr>
    </w:lvl>
  </w:abstractNum>
  <w:abstractNum w:abstractNumId="4"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lvl w:ilvl="3" w15:tentative="1">
      <w:start w:val="1"/>
      <w:numFmt w:val="custom"/>
      <w:lvlText w:val="☐"/>
      <w:lvlJc w:val="start"/>
      <w:pPr>
        <w:ind w:left="1583" w:hanging="288"/>
      </w:pPr>
    </w:lvl>
    <w:lvl w:ilvl="4" w15:tentative="1">
      <w:start w:val="1"/>
      <w:numFmt w:val="custom"/>
      <w:lvlText w:val="☐"/>
      <w:lvlJc w:val="start"/>
      <w:pPr>
        <w:ind w:left="2015" w:hanging="288"/>
      </w:pPr>
    </w:lvl>
    <w:lvl w:ilvl="5" w15:tentative="1">
      <w:start w:val="1"/>
      <w:numFmt w:val="custom"/>
      <w:lvlText w:val="☐"/>
      <w:lvlJc w:val="start"/>
      <w:pPr>
        <w:ind w:left="2448" w:hanging="288"/>
      </w:pPr>
    </w:lvl>
    <w:lvl w:ilvl="6" w15:tentative="1">
      <w:start w:val="1"/>
      <w:numFmt w:val="custom"/>
      <w:lvlText w:val="☐"/>
      <w:lvlJc w:val="start"/>
      <w:pPr>
        <w:ind w:left="2879" w:hanging="288"/>
      </w:pPr>
    </w:lvl>
    <w:lvl w:ilvl="7" w15:tentative="1">
      <w:start w:val="1"/>
      <w:numFmt w:val="custom"/>
      <w:lvlText w:val="☐"/>
      <w:lvlJc w:val="start"/>
      <w:pPr>
        <w:ind w:left="3312" w:hanging="288"/>
      </w:pPr>
    </w:lvl>
    <w:lvl w:ilvl="8" w15:tentative="1">
      <w:start w:val="1"/>
      <w:numFmt w:val="custom"/>
      <w:lvlText w:val="☐"/>
      <w:lvlJc w:val="start"/>
      <w:pPr>
        <w:ind w:left="3744" w:hanging="288"/>
      </w:pPr>
    </w:lvl>
    <w:lvl w:ilvl="9" w15:tentative="1">
      <w:start w:val="1"/>
      <w:numFmt w:val="custom"/>
      <w:lvlText w:val="☐"/>
      <w:lvlJc w:val="start"/>
      <w:pPr>
        <w:ind w:left="4176" w:hanging="288"/>
      </w:pPr>
    </w:lvl>
  </w:abstractNum>
  <w:abstractNum w:abstractNumId="5"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lvl w:ilvl="3" w15:tentative="1">
      <w:start w:val="1"/>
      <w:numFmt w:val="custom"/>
      <w:lvlText w:val="☑"/>
      <w:lvlJc w:val="start"/>
      <w:pPr>
        <w:ind w:left="1583" w:hanging="288"/>
      </w:pPr>
    </w:lvl>
    <w:lvl w:ilvl="4" w15:tentative="1">
      <w:start w:val="1"/>
      <w:numFmt w:val="custom"/>
      <w:lvlText w:val="☑"/>
      <w:lvlJc w:val="start"/>
      <w:pPr>
        <w:ind w:left="2015" w:hanging="288"/>
      </w:pPr>
    </w:lvl>
    <w:lvl w:ilvl="5" w15:tentative="1">
      <w:start w:val="1"/>
      <w:numFmt w:val="custom"/>
      <w:lvlText w:val="☑"/>
      <w:lvlJc w:val="start"/>
      <w:pPr>
        <w:ind w:left="2448" w:hanging="288"/>
      </w:pPr>
    </w:lvl>
    <w:lvl w:ilvl="6" w15:tentative="1">
      <w:start w:val="1"/>
      <w:numFmt w:val="custom"/>
      <w:lvlText w:val="☑"/>
      <w:lvlJc w:val="start"/>
      <w:pPr>
        <w:ind w:left="2879" w:hanging="288"/>
      </w:pPr>
    </w:lvl>
    <w:lvl w:ilvl="7" w15:tentative="1">
      <w:start w:val="1"/>
      <w:numFmt w:val="custom"/>
      <w:lvlText w:val="☑"/>
      <w:lvlJc w:val="start"/>
      <w:pPr>
        <w:ind w:left="3312" w:hanging="288"/>
      </w:pPr>
    </w:lvl>
    <w:lvl w:ilvl="8" w15:tentative="1">
      <w:start w:val="1"/>
      <w:numFmt w:val="custom"/>
      <w:lvlText w:val="☑"/>
      <w:lvlJc w:val="start"/>
      <w:pPr>
        <w:ind w:left="3744" w:hanging="288"/>
      </w:pPr>
    </w:lvl>
    <w:lvl w:ilvl="9" w15:tentative="1">
      <w:start w:val="1"/>
      <w:numFmt w:val="custom"/>
      <w:lvlText w:val="☑"/>
      <w:lvlJc w:val="start"/>
      <w:pPr>
        <w:ind w:left="4176"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before="480" w:after="480" w:line="288" w:lineRule="auto"/>
      <w:ind w:left="0"/>
    </w:pPr>
    <w:rPr>
      <w:b/>
      <w:bCs/>
      <w:sz w:val="52"/>
      <w:szCs w:val="52"/>
      <w:rFonts w:ascii="Arial" w:hAnsi="Arial" w:eastAsia="等线" w:cs="Arial"/>
    </w:rPr>
  </w:style>
  <w:style w:type="paragraph" w:styleId="Heading1">
    <w:name w:val="Heading 1"/>
    <w:basedOn w:val="Normal"/>
    <w:next w:val="Normal"/>
    <w:qFormat/>
    <w:pPr>
      <w:spacing w:before="380" w:after="140" w:line="288" w:lineRule="auto"/>
      <w:ind w:left="0"/>
      <w:jc w:val="left"/>
      <w:outlineLvl w:val="0"/>
    </w:pPr>
    <w:rPr>
      <w:b/>
      <w:bCs/>
      <w:sz w:val="36"/>
      <w:szCs w:val="36"/>
      <w:rFonts w:ascii="Arial" w:hAnsi="Arial" w:eastAsia="等线" w:cs="Arial"/>
    </w:rPr>
  </w:style>
  <w:style w:type="paragraph" w:styleId="Heading2">
    <w:name w:val="Heading 2"/>
    <w:basedOn w:val="Normal"/>
    <w:next w:val="Normal"/>
    <w:qFormat/>
    <w:pPr>
      <w:spacing w:before="320" w:after="120" w:line="288" w:lineRule="auto"/>
      <w:ind w:left="0"/>
      <w:jc w:val="left"/>
      <w:outlineLvl w:val="1"/>
    </w:pPr>
    <w:rPr>
      <w:b/>
      <w:bCs/>
      <w:sz w:val="32"/>
      <w:szCs w:val="32"/>
      <w:rFonts w:ascii="Arial" w:hAnsi="Arial" w:eastAsia="等线" w:cs="Arial"/>
    </w:rPr>
  </w:style>
  <w:style w:type="paragraph" w:styleId="Heading3">
    <w:name w:val="Heading 3"/>
    <w:basedOn w:val="Normal"/>
    <w:next w:val="Normal"/>
    <w:qFormat/>
    <w:pPr>
      <w:spacing w:before="300" w:after="120" w:line="288" w:lineRule="auto"/>
      <w:ind w:left="0"/>
      <w:jc w:val="left"/>
      <w:outlineLvl w:val="2"/>
    </w:pPr>
    <w:rPr>
      <w:b/>
      <w:bCs/>
      <w:sz w:val="30"/>
      <w:szCs w:val="30"/>
      <w:rFonts w:ascii="Arial" w:hAnsi="Arial" w:eastAsia="等线" w:cs="Arial"/>
    </w:rPr>
  </w:style>
  <w:style w:type="paragraph" w:styleId="Heading4">
    <w:name w:val="Heading 4"/>
    <w:basedOn w:val="Normal"/>
    <w:next w:val="Normal"/>
    <w:qFormat/>
    <w:pPr>
      <w:spacing w:before="260" w:after="120" w:line="288" w:lineRule="auto"/>
      <w:ind w:left="0"/>
      <w:jc w:val="left"/>
      <w:outlineLvl w:val="3"/>
    </w:pPr>
    <w:rPr>
      <w:b/>
      <w:bCs/>
      <w:sz w:val="28"/>
      <w:szCs w:val="28"/>
      <w:rFonts w:ascii="Arial" w:hAnsi="Arial" w:eastAsia="等线" w:cs="Arial"/>
    </w:rPr>
  </w:style>
  <w:style w:type="paragraph" w:styleId="Heading5">
    <w:name w:val="Heading 5"/>
    <w:basedOn w:val="Normal"/>
    <w:next w:val="Normal"/>
    <w:qFormat/>
    <w:pPr>
      <w:spacing w:before="240" w:after="120" w:line="288" w:lineRule="auto"/>
      <w:ind w:left="0"/>
      <w:jc w:val="left"/>
      <w:outlineLvl w:val="4"/>
    </w:pPr>
    <w:rPr>
      <w:b/>
      <w:bCs/>
      <w:sz w:val="24"/>
      <w:szCs w:val="24"/>
      <w:rFonts w:ascii="Arial" w:hAnsi="Arial" w:eastAsia="等线" w:cs="Arial"/>
    </w:rPr>
  </w:style>
  <w:style w:type="paragraph" w:styleId="Heading6">
    <w:name w:val="Heading 6"/>
    <w:basedOn w:val="Normal"/>
    <w:next w:val="Normal"/>
    <w:qFormat/>
    <w:pPr>
      <w:spacing w:before="240" w:after="120" w:line="288" w:lineRule="auto"/>
      <w:ind w:left="0"/>
      <w:jc w:val="left"/>
      <w:outlineLvl w:val="5"/>
    </w:pPr>
    <w:rPr>
      <w:b/>
      <w:bCs/>
      <w:sz w:val="24"/>
      <w:szCs w:val="24"/>
      <w:rFonts w:ascii="Arial" w:hAnsi="Arial" w:eastAsia="等线" w:cs="Arial"/>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ext">
    <w:pPr>
      <w:spacing w:before="120" w:after="120" w:line="288" w:lineRule="auto"/>
      <w:ind w:left="0"/>
      <w:jc w:val="left"/>
    </w:pPr>
    <w:rPr>
      <w:sz w:val="22"/>
      <w:szCs w:val="22"/>
      <w:rFonts w:ascii="Arial" w:hAnsi="Arial" w:eastAsia="等线" w:cs="Arial"/>
    </w:rPr>
  </w:style>
  <w:style w:type="paragraph" w:styleId="blockquote">
    <w:pPr>
      <w:spacing w:before="120" w:after="120" w:line="288" w:lineRule="auto"/>
      <w:ind w:left="0"/>
      <w:jc w:val="left"/>
    </w:pPr>
    <w:rPr>
      <w:color w:val="8F959E"/>
      <w:sz w:val="22"/>
      <w:szCs w:val="22"/>
      <w:rFonts w:ascii="Arial" w:hAnsi="Arial" w:eastAsia="等线" w:cs="Arial"/>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2026-01-25T18:27:19.545Z</dcterms:created>
  <dcterms:modified xsi:type="dcterms:W3CDTF">2026-01-25T18:27:19.545Z</dcterms:modified>
</cp:coreProperties>
</file>

<file path=docProps/custom.xml><?xml version="1.0" encoding="utf-8"?>
<Properties xmlns="http://schemas.openxmlformats.org/officeDocument/2006/custom-properties" xmlns:vt="http://schemas.openxmlformats.org/officeDocument/2006/docPropsVTypes"/>
</file>