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X686898da0e8306ce8f2284d991d4cf5a6c5422f"/>
    <w:p>
      <w:pPr>
        <w:pStyle w:val="Heading1"/>
      </w:pPr>
      <w:r>
        <w:t xml:space="preserve">Atmos Renderers and Sonic Sphere Architecture: A Deep Technical Analysis</w:t>
      </w:r>
    </w:p>
    <w:bookmarkStart w:id="29" w:name="introduction"/>
    <w:p>
      <w:pPr>
        <w:pStyle w:val="Heading2"/>
      </w:pPr>
      <w:r>
        <w:t xml:space="preserve">1. Introduction</w:t>
      </w:r>
    </w:p>
    <w:bookmarkStart w:id="22" w:name="X2bd47f8eaa94d6e783f0dcd1a03955f637f0596"/>
    <w:p>
      <w:pPr>
        <w:pStyle w:val="Heading3"/>
      </w:pPr>
      <w:r>
        <w:t xml:space="preserve">1.1 The Paradigm Shift from Channel-Based to Object-Based Audio</w:t>
      </w:r>
    </w:p>
    <w:bookmarkStart w:id="20" w:name="Xb7e3058cd992e3223496bc8cea681aa073893f9"/>
    <w:p>
      <w:pPr>
        <w:pStyle w:val="Heading4"/>
      </w:pPr>
      <w:r>
        <w:t xml:space="preserve">1.1.1 The Adaptation Problem in Channel-Based Audio</w:t>
      </w:r>
    </w:p>
    <w:p>
      <w:pPr>
        <w:pStyle w:val="FirstParagraph"/>
      </w:pPr>
      <w:r>
        <w:t xml:space="preserve">For decades, audio production operated within a channel-based paradigm: signals were assigned to predefined loudspeaker channels at the mixing stage, and that assignment was frozen into the delivery medium. In a stereophonic mix, a sound panned left was committed to the left loudspeaker; in 5.1 surround, the rear channels carried signals for specific positions defined by ITU-R BS.775-3</w:t>
      </w:r>
      <w:r>
        <w:t xml:space="preserve"> </w:t>
      </w:r>
      <w:r>
        <w:rPr>
          <w:vertAlign w:val="superscript"/>
        </w:rPr>
        <w:footnoteReference w:id="1"/>
      </w:r>
      <w:r>
        <w:t xml:space="preserve">. The spatial image was baked into the channel assignment, and any mismatch between the production layout and the consumer playback system degraded the experience. A 7.1 array could not recover spatial information missing from a 5.1 stream; a stereo downmix could only fold surrounds forward through coarse level-based matrices. Channel-based audio assigns signals to predefined speakers, yielding a fixed channel assignment regardless of playback environment</w:t>
      </w:r>
      <w:r>
        <w:t xml:space="preserve"> </w:t>
      </w:r>
      <w:r>
        <w:rPr>
          <w:vertAlign w:val="superscript"/>
        </w:rPr>
        <w:footnoteReference w:id="2"/>
      </w:r>
      <w:r>
        <w:t xml:space="preserve">. The adaptation problem was therefore architectural: content was rendered once at the mixing console, and every downstream system received a fixed feed that could not be spatially re-interpreted.</w:t>
      </w:r>
    </w:p>
    <w:bookmarkEnd w:id="20"/>
    <w:bookmarkStart w:id="21" w:name="the-object-based-breakthrough"/>
    <w:p>
      <w:pPr>
        <w:pStyle w:val="Heading4"/>
      </w:pPr>
      <w:r>
        <w:t xml:space="preserve">1.1.2 The Object-Based Breakthrough</w:t>
      </w:r>
    </w:p>
    <w:p>
      <w:pPr>
        <w:pStyle w:val="FirstParagraph"/>
      </w:pPr>
      <w:r>
        <w:t xml:space="preserve">Object-based audio decouples the sound source from the loudspeaker configuration. Each element is transmitted as an independent audio signal paired with metadata describing its desired position, size, and rendering behavior in three-dimensional space</w:t>
      </w:r>
      <w:r>
        <w:t xml:space="preserve"> </w:t>
      </w:r>
      <w:fldSimple w:instr="NOTEREF _Ref_Footnote_2 \h \f">
        <w:r>
          <w:rPr>
            <w:vertAlign w:val="superscript"/>
          </w:rPr>
          <w:t>2</w:t>
        </w:r>
      </w:fldSimple>
      <w:r>
        <w:t xml:space="preserve"> </w:t>
      </w:r>
      <w:r>
        <w:rPr>
          <w:vertAlign w:val="superscript"/>
        </w:rPr>
        <w:footnoteReference w:id="3"/>
      </w:r>
      <w:r>
        <w:t xml:space="preserve">. Mapping to physical loudspeakers is deferred to playback time, performed by a renderer with knowledge of the specific speaker layout at the listener’s location. A single master adapts to stereo headphones, a 5.1 living room system, a 7.1.4 home theatre, or a 64-channel cinema array—without re-authoring. In traditional channel-based audio, positioning is achieved by adjusting levels in each speaker at the mix stage; object-based audio positions each part discretely with more convincing locality</w:t>
      </w:r>
      <w:r>
        <w:t xml:space="preserve"> </w:t>
      </w:r>
      <w:r>
        <w:rPr>
          <w:vertAlign w:val="superscript"/>
        </w:rPr>
        <w:footnoteReference w:id="4"/>
      </w:r>
      <w:r>
        <w:t xml:space="preserve">. This separation of content from configuration is the architectural foundation of all modern immersive audio systems.</w:t>
      </w:r>
    </w:p>
    <w:bookmarkEnd w:id="21"/>
    <w:bookmarkEnd w:id="22"/>
    <w:bookmarkStart w:id="25" w:name="dolby-atmos-architecture-at-a-glance"/>
    <w:p>
      <w:pPr>
        <w:pStyle w:val="Heading3"/>
      </w:pPr>
      <w:r>
        <w:t xml:space="preserve">1.2 Dolby Atmos: Architecture at a Glance</w:t>
      </w:r>
    </w:p>
    <w:bookmarkStart w:id="23" w:name="the-128-track-structure-beds-and-objects"/>
    <w:p>
      <w:pPr>
        <w:pStyle w:val="Heading4"/>
      </w:pPr>
      <w:r>
        <w:t xml:space="preserve">1.2.1 The 128-Track Structure: Beds and Objects</w:t>
      </w:r>
    </w:p>
    <w:p>
      <w:pPr>
        <w:pStyle w:val="FirstParagraph"/>
      </w:pPr>
      <w:r>
        <w:t xml:space="preserve">Dolby Atmos implements the object-based paradigm through a hybrid architecture combining a channel-based bed with an object-based layer. The system supports 128 simultaneous audio tracks: a 10-channel 7.1.2 bed (L, R, C, LFE, Ls, Rs, Lsr, Rsr, Lts, Rts) plus up to 118 mono objects</w:t>
      </w:r>
      <w:r>
        <w:t xml:space="preserve"> </w:t>
      </w:r>
      <w:r>
        <w:rPr>
          <w:vertAlign w:val="superscript"/>
        </w:rPr>
        <w:footnoteReference w:id="5"/>
      </w:r>
      <w:r>
        <w:t xml:space="preserve"> </w:t>
      </w:r>
      <w:r>
        <w:rPr>
          <w:vertAlign w:val="superscript"/>
        </w:rPr>
        <w:footnoteReference w:id="6"/>
      </w:r>
      <w:r>
        <w:t xml:space="preserve">. The bed provides fixed-position spatial stability for ambience, dialogue, and music submixes</w:t>
      </w:r>
      <w:r>
        <w:t xml:space="preserve"> </w:t>
      </w:r>
      <w:fldSimple w:instr="NOTEREF _Ref_Footnote_5 \h \f">
        <w:r>
          <w:rPr>
            <w:vertAlign w:val="superscript"/>
          </w:rPr>
          <w:t>5</w:t>
        </w:r>
      </w:fldSimple>
      <w:r>
        <w:t xml:space="preserve"> </w:t>
      </w:r>
      <w:r>
        <w:rPr>
          <w:vertAlign w:val="superscript"/>
        </w:rPr>
        <w:footnoteReference w:id="7"/>
      </w:r>
      <w:r>
        <w:t xml:space="preserve">. Objects are mono or stereo signals carrying Object Audio Metadata (OAMD) with X, Y, Z coordinates in a normalized Cartesian cube, object size controlling spatial extent, snap tolerance trading position for timbral fidelity, and zone gain restricting rendering to specific speaker groups</w:t>
      </w:r>
      <w:r>
        <w:t xml:space="preserve"> </w:t>
      </w:r>
      <w:r>
        <w:rPr>
          <w:vertAlign w:val="superscript"/>
        </w:rPr>
        <w:footnoteReference w:id="8"/>
      </w:r>
      <w:r>
        <w:t xml:space="preserve"> </w:t>
      </w:r>
      <w:r>
        <w:rPr>
          <w:vertAlign w:val="superscript"/>
        </w:rPr>
        <w:footnoteReference w:id="9"/>
      </w:r>
      <w:r>
        <w:t xml:space="preserve"> </w:t>
      </w:r>
      <w:r>
        <w:rPr>
          <w:vertAlign w:val="superscript"/>
        </w:rPr>
        <w:footnoteReference w:id="10"/>
      </w:r>
      <w:r>
        <w:t xml:space="preserve"> </w:t>
      </w:r>
      <w:r>
        <w:rPr>
          <w:vertAlign w:val="superscript"/>
        </w:rPr>
        <w:footnoteReference w:id="11"/>
      </w:r>
      <w:r>
        <w:t xml:space="preserve"> </w:t>
      </w:r>
      <w:r>
        <w:rPr>
          <w:vertAlign w:val="superscript"/>
        </w:rPr>
        <w:footnoteReference w:id="12"/>
      </w:r>
      <w:r>
        <w:t xml:space="preserve">. SMPTE ST 2098-1 formalizes this model, with the Z-axis spanning the listening plane (Z = 0) to the overhead plane (Z = 1)</w:t>
      </w:r>
      <w:r>
        <w:t xml:space="preserve"> </w:t>
      </w:r>
      <w:r>
        <w:rPr>
          <w:vertAlign w:val="superscript"/>
        </w:rPr>
        <w:footnoteReference w:id="13"/>
      </w:r>
      <w:r>
        <w:t xml:space="preserve">.</w:t>
      </w:r>
    </w:p>
    <w:bookmarkEnd w:id="23"/>
    <w:bookmarkStart w:id="24" w:name="the-renderer-as-universal-translator"/>
    <w:p>
      <w:pPr>
        <w:pStyle w:val="Heading4"/>
      </w:pPr>
      <w:r>
        <w:t xml:space="preserve">1.2.2 The Renderer as Universal Translator</w:t>
      </w:r>
    </w:p>
    <w:p>
      <w:pPr>
        <w:pStyle w:val="FirstParagraph"/>
      </w:pPr>
      <w:r>
        <w:t xml:space="preserve">The Dolby Atmos renderer transforms the 128-channel master into loudspeaker feeds for the specific playback configuration. Bed channels receive direct channel-to-speaker mapping or fixed-coefficient downmix matrices</w:t>
      </w:r>
      <w:r>
        <w:t xml:space="preserve"> </w:t>
      </w:r>
      <w:r>
        <w:rPr>
          <w:vertAlign w:val="superscript"/>
        </w:rPr>
        <w:footnoteReference w:id="14"/>
      </w:r>
      <w:r>
        <w:t xml:space="preserve">. Objects are rendered via Vector Base Amplitude Panning (VBAP), computing gain factors for the two or three nearest loudspeakers such that the vector sum matches the intended virtual source direction</w:t>
      </w:r>
      <w:r>
        <w:t xml:space="preserve"> </w:t>
      </w:r>
      <w:r>
        <w:rPr>
          <w:vertAlign w:val="superscript"/>
        </w:rPr>
        <w:footnoteReference w:id="15"/>
      </w:r>
      <w:r>
        <w:t xml:space="preserve"> </w:t>
      </w:r>
      <w:r>
        <w:rPr>
          <w:vertAlign w:val="superscript"/>
        </w:rPr>
        <w:footnoteReference w:id="16"/>
      </w:r>
      <w:r>
        <w:t xml:space="preserve">. The same master thus produces a binaural feed via HRTF processing, a 5.1 downmix via the Lo/Ro matrix (−3 dB center/surround attenuation), a 7.1.4 output via full VBAP triangulation, or a theatrical 64-speaker deployment</w:t>
      </w:r>
      <w:r>
        <w:t xml:space="preserve"> </w:t>
      </w:r>
      <w:fldSimple w:instr="NOTEREF _Ref_Footnote_14 \h \f">
        <w:r>
          <w:rPr>
            <w:vertAlign w:val="superscript"/>
          </w:rPr>
          <w:t>14</w:t>
        </w:r>
      </w:fldSimple>
      <w:r>
        <w:t xml:space="preserve"> </w:t>
      </w:r>
      <w:r>
        <w:rPr>
          <w:vertAlign w:val="superscript"/>
        </w:rPr>
        <w:footnoteReference w:id="17"/>
      </w:r>
      <w:r>
        <w:t xml:space="preserve">.</w:t>
      </w:r>
    </w:p>
    <w:p>
      <w:pPr>
        <w:pStyle w:val="BodyText"/>
      </w:pPr>
      <w:r>
        <w:t xml:space="preserve">For consumer delivery, spatial coding clusters 128 authoring channels into 12–16 elements via perceptual proximity grouping, enabling transmission at 768 kbps through Dolby Digital Plus with Joint Object Coding (DD+ JOC)</w:t>
      </w:r>
      <w:r>
        <w:t xml:space="preserve"> </w:t>
      </w:r>
      <w:r>
        <w:rPr>
          <w:vertAlign w:val="superscript"/>
        </w:rPr>
        <w:footnoteReference w:id="18"/>
      </w:r>
      <w:r>
        <w:t xml:space="preserve"> </w:t>
      </w:r>
      <w:r>
        <w:rPr>
          <w:vertAlign w:val="superscript"/>
        </w:rPr>
        <w:footnoteReference w:id="19"/>
      </w:r>
      <w:r>
        <w:t xml:space="preserve"> </w:t>
      </w:r>
      <w:r>
        <w:rPr>
          <w:vertAlign w:val="superscript"/>
        </w:rPr>
        <w:footnoteReference w:id="20"/>
      </w:r>
      <w:r>
        <w:t xml:space="preserve">. Without this stage, 128 channels of 48 kHz/24-bit audio would require ~147 Mbps, a figure incompatible with consumer distribution</w:t>
      </w:r>
      <w:r>
        <w:t xml:space="preserve"> </w:t>
      </w:r>
      <w:fldSimple w:instr="NOTEREF _Ref_Footnote_18 \h \f">
        <w:r>
          <w:rPr>
            <w:vertAlign w:val="superscript"/>
          </w:rPr>
          <w:t>18</w:t>
        </w:r>
      </w:fldSimple>
      <w:r>
        <w:t xml:space="preserve">. The Object Audio Renderer (OAR) in playback devices expands these elements to the local speaker configuration using embedded OAMD.</w:t>
      </w:r>
    </w:p>
    <w:bookmarkEnd w:id="24"/>
    <w:bookmarkEnd w:id="25"/>
    <w:bookmarkStart w:id="28" w:name="X7d99e4bc7fe790bc0ea6400cc87ff483a882a50"/>
    <w:p>
      <w:pPr>
        <w:pStyle w:val="Heading3"/>
      </w:pPr>
      <w:r>
        <w:t xml:space="preserve">1.3 Enter Sonic Sphere: The Full-Sphere Extension</w:t>
      </w:r>
    </w:p>
    <w:bookmarkStart w:id="26" w:name="atmoss-hemispherical-limitation"/>
    <w:p>
      <w:pPr>
        <w:pStyle w:val="Heading4"/>
      </w:pPr>
      <w:r>
        <w:t xml:space="preserve">1.3.1 Atmos’s Hemispherical Limitation</w:t>
      </w:r>
    </w:p>
    <w:p>
      <w:pPr>
        <w:pStyle w:val="FirstParagraph"/>
      </w:pPr>
      <w:r>
        <w:t xml:space="preserve">A structural constraint of the Atmos architecture is its restriction to the upper hemisphere. The Z coordinate in SMPTE ST 2098-1 spans 0 (listening plane) to 1 (ceiling) with no negative values</w:t>
      </w:r>
      <w:r>
        <w:t xml:space="preserve"> </w:t>
      </w:r>
      <w:fldSimple w:instr="NOTEREF _Ref_Footnote_13 \h \f">
        <w:r>
          <w:rPr>
            <w:vertAlign w:val="superscript"/>
          </w:rPr>
          <w:t>13</w:t>
        </w:r>
      </w:fldSimple>
      <w:r>
        <w:t xml:space="preserve"> </w:t>
      </w:r>
      <w:r>
        <w:rPr>
          <w:vertAlign w:val="superscript"/>
        </w:rPr>
        <w:footnoteReference w:id="21"/>
      </w:r>
      <w:r>
        <w:t xml:space="preserve">. All bed channels sit at or above ear level; the two top surround channels (Lts, Rts) are positioned at approximately +45° elevation</w:t>
      </w:r>
      <w:r>
        <w:t xml:space="preserve"> </w:t>
      </w:r>
      <w:r>
        <w:rPr>
          <w:vertAlign w:val="superscript"/>
        </w:rPr>
        <w:footnoteReference w:id="22"/>
      </w:r>
      <w:r>
        <w:t xml:space="preserve"> </w:t>
      </w:r>
      <w:r>
        <w:rPr>
          <w:vertAlign w:val="superscript"/>
        </w:rPr>
        <w:footnoteReference w:id="23"/>
      </w:r>
      <w:r>
        <w:t xml:space="preserve">. Objects traverse the full horizontal plane and range from horizon to overhead, but cannot be placed below the listener. This reflects Atmos’s cinematic origins—the audience faces a screen above the horizon, and no meaningful sources exist below the floor. The result is that approximately 50% of the spherical vector space around the listener is unavailable</w:t>
      </w:r>
      <w:r>
        <w:t xml:space="preserve"> </w:t>
      </w:r>
      <w:fldSimple w:instr="NOTEREF _Ref_Footnote_21 \h \f">
        <w:r>
          <w:rPr>
            <w:vertAlign w:val="superscript"/>
          </w:rPr>
          <w:t>21</w:t>
        </w:r>
      </w:fldSimple>
      <w:r>
        <w:t xml:space="preserve">.</w:t>
      </w:r>
    </w:p>
    <w:bookmarkEnd w:id="26"/>
    <w:bookmarkStart w:id="27" w:name="the-sonic-sphere-concept"/>
    <w:p>
      <w:pPr>
        <w:pStyle w:val="Heading4"/>
      </w:pPr>
      <w:r>
        <w:t xml:space="preserve">1.3.2 The Sonic Sphere Concept</w:t>
      </w:r>
    </w:p>
    <w:p>
      <w:pPr>
        <w:pStyle w:val="FirstParagraph"/>
      </w:pPr>
      <w:r>
        <w:t xml:space="preserve">The Sonic Sphere extension removes this hemispherical boundary while preserving Atmos’s architectural framework. Extending the Z coordinate to [−1, +1] permits positioning anywhere on the full sphere, including below-horizon reproduction. This is not speculative: ITU-R BS.2051 System H (NHK 22.2) already defines a standardized full-sphere loudspeaker arrangement with three bottom-layer channels (Bottom Front Left, Bottom Front Center, Bottom Front Right at −15° to −30° elevation), deployed since the 2012 London Olympics. The Sonic Sphere renderer leverages the same object-based architecture—signals plus positional metadata, spatial coding for delivery, and VBAP-based rendering at playback—while expanding the valid coordinate domain to include below-horizon loudspeakers. The VBAP engine requires no algorithmic change; it triangulates gain factors from the three nearest speakers regardless of whether those speakers lie above or below the equatorial plane</w:t>
      </w:r>
      <w:r>
        <w:t xml:space="preserve"> </w:t>
      </w:r>
      <w:fldSimple w:instr="NOTEREF _Ref_Footnote_15 \h \f">
        <w:r>
          <w:rPr>
            <w:vertAlign w:val="superscript"/>
          </w:rPr>
          <w:t>15</w:t>
        </w:r>
      </w:fldSimple>
      <w:r>
        <w:t xml:space="preserve">. Sonic Sphere extends the same content-configuration separation that made Atmos transformative, completing the sphere that Atmos left half-closed.</w:t>
      </w:r>
    </w:p>
    <w:p>
      <w:r>
        <w:pict>
          <v:rect style="width:0;height:1.5pt" o:hralign="center" o:hrstd="t" o:hr="t"/>
        </w:pict>
      </w:r>
    </w:p>
    <w:bookmarkEnd w:id="27"/>
    <w:bookmarkEnd w:id="28"/>
    <w:bookmarkEnd w:id="29"/>
    <w:bookmarkStart w:id="42" w:name="the-atmos-bed-channel-based-foundation"/>
    <w:p>
      <w:pPr>
        <w:pStyle w:val="Heading2"/>
      </w:pPr>
      <w:r>
        <w:t xml:space="preserve">2. The Atmos Bed: Channel-Based Foundation</w:t>
      </w:r>
    </w:p>
    <w:bookmarkStart w:id="33" w:name="X617d1d8118c3787489b00bac583c9cd71a39af5"/>
    <w:p>
      <w:pPr>
        <w:pStyle w:val="Heading3"/>
      </w:pPr>
      <w:r>
        <w:t xml:space="preserve">2.1 Bed Architecture and Channel Specification</w:t>
      </w:r>
    </w:p>
    <w:p>
      <w:pPr>
        <w:pStyle w:val="FirstParagraph"/>
      </w:pPr>
      <w:r>
        <w:t xml:space="preserve">Every Dolby Atmos presentation rests on a channel-based substrate called the</w:t>
      </w:r>
      <w:r>
        <w:t xml:space="preserve"> </w:t>
      </w:r>
      <w:r>
        <w:rPr>
          <w:iCs/>
          <w:i/>
        </w:rPr>
        <w:t xml:space="preserve">bed</w:t>
      </w:r>
      <w:r>
        <w:t xml:space="preserve"> </w:t>
      </w:r>
      <w:r>
        <w:t xml:space="preserve">— a fixed-layout, multichannel submix that occupies Renderer inputs 1 through 10 in the standard home entertainment configuration. The Renderer accepts a maximum of 128 simultaneous inputs, of which the bed consumes 10 channels (7.8% of the channel budget), leaving 118 for audio objects</w:t>
      </w:r>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 The bed is not an optional legacy layer; it is a mandatory component providing the only deterministic pathway for LFE (Low-Frequency Effects) routing and the primary vehicle for ambient and music content</w:t>
      </w:r>
      <w:r>
        <w:t xml:space="preserve"> </w:t>
      </w:r>
      <w:fldSimple w:instr="NOTEREF _Ref_Footnote_7 \h \f">
        <w:r>
          <w:rPr>
            <w:vertAlign w:val="superscript"/>
          </w:rPr>
          <w:t>7</w:t>
        </w:r>
      </w:fldSimple>
      <w:r>
        <w:t xml:space="preserve"> </w:t>
      </w:r>
      <w:fldSimple w:instr="NOTEREF _Ref_Footnote_14 \h \f">
        <w:r>
          <w:rPr>
            <w:vertAlign w:val="superscript"/>
          </w:rPr>
          <w:t>14</w:t>
        </w:r>
      </w:fldSimple>
      <w:r>
        <w:t xml:space="preserve">.</w:t>
      </w:r>
    </w:p>
    <w:bookmarkStart w:id="30" w:name="Xb1fa30cdee62a07445d89218efbf1bc76d26c3d"/>
    <w:p>
      <w:pPr>
        <w:pStyle w:val="Heading4"/>
      </w:pPr>
      <w:r>
        <w:t xml:space="preserve">2.1.1 The 7.1.2 Bed Structure and SMPTE Channel Ordering</w:t>
      </w:r>
    </w:p>
    <w:p>
      <w:pPr>
        <w:pStyle w:val="FirstParagraph"/>
      </w:pPr>
      <w:r>
        <w:t xml:space="preserve">The canonical home entertainment bed format is</w:t>
      </w:r>
      <w:r>
        <w:t xml:space="preserve"> </w:t>
      </w:r>
      <w:r>
        <w:rPr>
          <w:bCs/>
          <w:b/>
        </w:rPr>
        <w:t xml:space="preserve">7.1.2</w:t>
      </w:r>
      <w:r>
        <w:t xml:space="preserve">: seven ear-level full-range channels, one LFE channel, and two overhead channels. In SMPTE (Society of Motion Picture and Television Engineers) order, the ten channels are:</w:t>
      </w:r>
      <w:r>
        <w:t xml:space="preserve"> </w:t>
      </w:r>
      <w:r>
        <w:rPr>
          <w:bCs/>
          <w:b/>
        </w:rPr>
        <w:t xml:space="preserve">L, R, C, LFE, Ls, Rs, Lsr, Rsr, Lts, Rts</w:t>
      </w:r>
      <w:r>
        <w:t xml:space="preserve"> </w:t>
      </w:r>
      <w:r>
        <w:t xml:space="preserve">— Left, Right, Center, Low-Frequency Effects, Left Side Surround, Right Side Surround, Left Surround Rear, Right Surround Rear, Left Top Surround, and Right Top Surround</w:t>
      </w:r>
      <w:r>
        <w:t xml:space="preserve"> </w:t>
      </w:r>
      <w:r>
        <w:rPr>
          <w:vertAlign w:val="superscript"/>
        </w:rPr>
        <w:footnoteReference w:id="24"/>
      </w:r>
      <w:r>
        <w:t xml:space="preserve"> </w:t>
      </w:r>
      <w:fldSimple w:instr="NOTEREF _Ref_Footnote_14 \h \f">
        <w:r>
          <w:rPr>
            <w:vertAlign w:val="superscript"/>
          </w:rPr>
          <w:t>14</w:t>
        </w:r>
      </w:fldSimple>
      <w:r>
        <w:t xml:space="preserve">. This ordering is mandatory when assigning bed audio to the Renderer; deviation causes incorrect channel-to-speaker mapping that misroutes, for instance, rear surround content to overhead speakers</w:t>
      </w:r>
      <w:r>
        <w:t xml:space="preserve"> </w:t>
      </w:r>
      <w:r>
        <w:rPr>
          <w:vertAlign w:val="superscript"/>
        </w:rPr>
        <w:footnoteReference w:id="25"/>
      </w:r>
      <w:r>
        <w:t xml:space="preserve">. Multiple nomenclature conventions coexist — SMPTE ST 428-12 defines an alternative labeling scheme</w:t>
      </w:r>
      <w:r>
        <w:t xml:space="preserve"> </w:t>
      </w:r>
      <w:r>
        <w:rPr>
          <w:vertAlign w:val="superscript"/>
        </w:rPr>
        <w:footnoteReference w:id="26"/>
      </w:r>
      <w:r>
        <w:t xml:space="preserve"> </w:t>
      </w:r>
      <w:r>
        <w:rPr>
          <w:vertAlign w:val="superscript"/>
        </w:rPr>
        <w:footnoteReference w:id="27"/>
      </w:r>
      <w:r>
        <w:t xml:space="preserve">, while home theater documentation often uses Ltf/Rtf/Ltr/Rtr for 7.1.4 playback layouts — but the Renderer itself expects the Dolby convention: LFE fourth, height channels last</w:t>
      </w:r>
      <w:r>
        <w:t xml:space="preserve"> </w:t>
      </w:r>
      <w:r>
        <w:rPr>
          <w:vertAlign w:val="superscript"/>
        </w:rPr>
        <w:footnoteReference w:id="28"/>
      </w:r>
      <w:r>
        <w:t xml:space="preserve">.</w:t>
      </w:r>
    </w:p>
    <w:bookmarkEnd w:id="30"/>
    <w:bookmarkStart w:id="31" w:name="angular-positions-per-itu-r-bs.775-3"/>
    <w:p>
      <w:pPr>
        <w:pStyle w:val="Heading4"/>
      </w:pPr>
      <w:r>
        <w:t xml:space="preserve">2.1.2 Angular Positions per ITU-R BS.775-3</w:t>
      </w:r>
    </w:p>
    <w:p>
      <w:pPr>
        <w:pStyle w:val="FirstParagraph"/>
      </w:pPr>
      <w:r>
        <w:t xml:space="preserve">Speaker placement corresponding to bed channels follows ITU-R BS.775-3 (Recommendation ITU-R BS.775-3, August 2012), the international standard for multichannel stereophonic sound systems</w:t>
      </w:r>
      <w:r>
        <w:t xml:space="preserve"> </w:t>
      </w:r>
      <w:fldSimple w:instr="NOTEREF _Ref_Footnote_1 \h \f">
        <w:r>
          <w:rPr>
            <w:vertAlign w:val="superscript"/>
          </w:rPr>
          <w:t>1</w:t>
        </w:r>
      </w:fldSimple>
      <w:r>
        <w:t xml:space="preserve"> </w:t>
      </w:r>
      <w:fldSimple w:instr="NOTEREF _Ref_Footnote_7 \h \f">
        <w:r>
          <w:rPr>
            <w:vertAlign w:val="superscript"/>
          </w:rPr>
          <w:t>7</w:t>
        </w:r>
      </w:fldSimple>
      <w:r>
        <w:t xml:space="preserve">. Front L and R speakers sit at</w:t>
      </w:r>
      <w:r>
        <w:t xml:space="preserve"> </w:t>
      </w:r>
      <m:oMath>
        <m:r>
          <m:rPr>
            <m:sty m:val="p"/>
          </m:rPr>
          <m:t>±</m:t>
        </m:r>
        <m:r>
          <m:t>30</m:t>
        </m:r>
      </m:oMath>
      <w:r>
        <w:t xml:space="preserve"> </w:t>
      </w:r>
      <w:r>
        <w:t xml:space="preserve">degrees azimuth, forming a 60-degree arc. The center channel is at 0 degrees. Side surrounds (Ls, Rs) occupy the 90–110 degree sector, and rear surrounds (Lsr, Rsr) are placed at 135–150 degrees</w:t>
      </w:r>
      <w:r>
        <w:t xml:space="preserve"> </w:t>
      </w:r>
      <w:r>
        <w:rPr>
          <w:vertAlign w:val="superscript"/>
        </w:rPr>
        <w:footnoteReference w:id="29"/>
      </w:r>
      <w:r>
        <w:t xml:space="preserve"> </w:t>
      </w:r>
      <w:r>
        <w:rPr>
          <w:vertAlign w:val="superscript"/>
        </w:rPr>
        <w:footnoteReference w:id="30"/>
      </w:r>
      <w:r>
        <w:t xml:space="preserve">. The two height channels, Lts and Rts, are oriented toward the listening position at a</w:t>
      </w:r>
      <w:r>
        <w:t xml:space="preserve"> </w:t>
      </w:r>
      <w:r>
        <w:rPr>
          <w:bCs/>
          <w:b/>
        </w:rPr>
        <w:t xml:space="preserve">45-degree vertical elevation angle</w:t>
      </w:r>
      <w:r>
        <w:t xml:space="preserve">, adjustable between 30 and 55 degrees depending on room constraints</w:t>
      </w:r>
      <w:r>
        <w:t xml:space="preserve"> </w:t>
      </w:r>
      <w:fldSimple w:instr="NOTEREF _Ref_Footnote_22 \h \f">
        <w:r>
          <w:rPr>
            <w:vertAlign w:val="superscript"/>
          </w:rPr>
          <w:t>22</w:t>
        </w:r>
      </w:fldSimple>
      <w:r>
        <w:t xml:space="preserve"> </w:t>
      </w:r>
      <w:fldSimple w:instr="NOTEREF _Ref_Footnote_23 \h \f">
        <w:r>
          <w:rPr>
            <w:vertAlign w:val="superscript"/>
          </w:rPr>
          <w:t>23</w:t>
        </w:r>
      </w:fldSimple>
      <w:r>
        <w:t xml:space="preserve">. This angle provides consistent overhead coverage across a broad listening area. The LFE channel carries no directional metadata; it is a non-positional, band-limited channel (nominal 120 Hz cutoff) routed directly to the subwoofer output.</w:t>
      </w:r>
    </w:p>
    <w:bookmarkEnd w:id="31"/>
    <w:bookmarkStart w:id="32" w:name="the-9.1-cinema-bed-variant"/>
    <w:p>
      <w:pPr>
        <w:pStyle w:val="Heading4"/>
      </w:pPr>
      <w:r>
        <w:t xml:space="preserve">2.1.3 The 9.1 Cinema Bed Variant</w:t>
      </w:r>
    </w:p>
    <w:p>
      <w:pPr>
        <w:pStyle w:val="FirstParagraph"/>
      </w:pPr>
      <w:r>
        <w:t xml:space="preserve">Cinema Atmos installations use a</w:t>
      </w:r>
      <w:r>
        <w:t xml:space="preserve"> </w:t>
      </w:r>
      <w:r>
        <w:rPr>
          <w:bCs/>
          <w:b/>
        </w:rPr>
        <w:t xml:space="preserve">9.1 bed</w:t>
      </w:r>
      <w:r>
        <w:t xml:space="preserve"> </w:t>
      </w:r>
      <w:r>
        <w:t xml:space="preserve">that adds</w:t>
      </w:r>
      <w:r>
        <w:t xml:space="preserve"> </w:t>
      </w:r>
      <w:r>
        <w:rPr>
          <w:bCs/>
          <w:b/>
        </w:rPr>
        <w:t xml:space="preserve">Lw</w:t>
      </w:r>
      <w:r>
        <w:t xml:space="preserve"> </w:t>
      </w:r>
      <w:r>
        <w:t xml:space="preserve">(Left Wide) and</w:t>
      </w:r>
      <w:r>
        <w:t xml:space="preserve"> </w:t>
      </w:r>
      <w:r>
        <w:rPr>
          <w:bCs/>
          <w:b/>
        </w:rPr>
        <w:t xml:space="preserve">Rw</w:t>
      </w:r>
      <w:r>
        <w:t xml:space="preserve"> </w:t>
      </w:r>
      <w:r>
        <w:t xml:space="preserve">(Right Wide) channels between the front L/R speakers (30 degrees) and side surrounds (90–110 degrees). The ideal wide position is approximately</w:t>
      </w:r>
      <w:r>
        <w:t xml:space="preserve"> </w:t>
      </w:r>
      <w:r>
        <w:rPr>
          <w:bCs/>
          <w:b/>
        </w:rPr>
        <w:t xml:space="preserve">45 degrees</w:t>
      </w:r>
      <w:r>
        <w:t xml:space="preserve"> </w:t>
      </w:r>
      <w:r>
        <w:t xml:space="preserve">from center, with</w:t>
      </w:r>
      <w:r>
        <w:t xml:space="preserve"> </w:t>
      </w:r>
      <m:oMath>
        <m:r>
          <m:rPr>
            <m:sty m:val="p"/>
          </m:rPr>
          <m:t>±</m:t>
        </m:r>
        <m:r>
          <m:t>5</m:t>
        </m:r>
      </m:oMath>
      <w:r>
        <w:t xml:space="preserve"> </w:t>
      </w:r>
      <w:r>
        <w:t xml:space="preserve">degrees tolerance</w:t>
      </w:r>
      <w:r>
        <w:t xml:space="preserve"> </w:t>
      </w:r>
      <w:r>
        <w:rPr>
          <w:vertAlign w:val="superscript"/>
        </w:rPr>
        <w:footnoteReference w:id="31"/>
      </w:r>
      <w:r>
        <w:t xml:space="preserve">. The 9.1 roster totals 12 channels: L, C, R, Lw, Rw, Ls, Rs, Lsr, Rsr, LFE, Lts, Rts. The home entertainment Renderer is limited to 7.1.2 beds, so cinema 9.1 content requires the wide channels to fold into adjacent speakers or render via static objects at wide speaker positions</w:t>
      </w:r>
      <w:r>
        <w:t xml:space="preserve"> </w:t>
      </w:r>
      <w:fldSimple w:instr="NOTEREF _Ref_Footnote_28 \h \f">
        <w:r>
          <w:rPr>
            <w:vertAlign w:val="superscript"/>
          </w:rPr>
          <w:t>28</w:t>
        </w:r>
      </w:fldSimple>
      <w:r>
        <w:t xml:space="preserve"> </w:t>
      </w:r>
      <w:r>
        <w:rPr>
          <w:vertAlign w:val="superscript"/>
        </w:rPr>
        <w:footnoteReference w:id="32"/>
      </w:r>
      <w:r>
        <w:t xml:space="preserve">. These wide channels fill the angular gap between front and side speakers, enabling smoother front-to-side pans for sounds traversing the frontal arc.</w:t>
      </w:r>
    </w:p>
    <w:bookmarkEnd w:id="32"/>
    <w:bookmarkEnd w:id="33"/>
    <w:bookmarkStart w:id="37" w:name="the-role-of-beds-in-the-hybrid-paradigm"/>
    <w:p>
      <w:pPr>
        <w:pStyle w:val="Heading3"/>
      </w:pPr>
      <w:r>
        <w:t xml:space="preserve">2.2 The Role of Beds in the Hybrid Paradigm</w:t>
      </w:r>
    </w:p>
    <w:p>
      <w:pPr>
        <w:pStyle w:val="FirstParagraph"/>
      </w:pPr>
      <w:r>
        <w:t xml:space="preserve">Dolby Atmos is fundamentally a</w:t>
      </w:r>
      <w:r>
        <w:t xml:space="preserve"> </w:t>
      </w:r>
      <w:r>
        <w:rPr>
          <w:bCs/>
          <w:b/>
        </w:rPr>
        <w:t xml:space="preserve">hybrid</w:t>
      </w:r>
      <w:r>
        <w:t xml:space="preserve"> </w:t>
      </w:r>
      <w:r>
        <w:t xml:space="preserve">system combining channel-based beds with object-based audio in a single presentation</w:t>
      </w:r>
      <w:r>
        <w:t xml:space="preserve"> </w:t>
      </w:r>
      <w:r>
        <w:rPr>
          <w:vertAlign w:val="superscript"/>
        </w:rPr>
        <w:footnoteReference w:id="33"/>
      </w:r>
      <w:r>
        <w:t xml:space="preserve"> </w:t>
      </w:r>
      <w:fldSimple w:instr="NOTEREF _Ref_Footnote_7 \h \f">
        <w:r>
          <w:rPr>
            <w:vertAlign w:val="superscript"/>
          </w:rPr>
          <w:t>7</w:t>
        </w:r>
      </w:fldSimple>
      <w:r>
        <w:t xml:space="preserve">. The bed serves technical and creative functions that objects cannot replicate.</w:t>
      </w:r>
    </w:p>
    <w:bookmarkStart w:id="34" w:name="why-beds-persist"/>
    <w:p>
      <w:pPr>
        <w:pStyle w:val="Heading4"/>
      </w:pPr>
      <w:r>
        <w:t xml:space="preserve">2.2.1 Why Beds Persist</w:t>
      </w:r>
    </w:p>
    <w:p>
      <w:pPr>
        <w:pStyle w:val="FirstParagraph"/>
      </w:pPr>
      <w:r>
        <w:t xml:space="preserve">Beds provide spatial stability for content that benefits from fixed speaker anchoring: environmental ambience (room tone, crowd backgrounds), music stems, center-channel dialogue, and 3D reverb returns are conventionally bed-routed</w:t>
      </w:r>
      <w:r>
        <w:t xml:space="preserve"> </w:t>
      </w:r>
      <w:fldSimple w:instr="NOTEREF _Ref_Footnote_5 \h \f">
        <w:r>
          <w:rPr>
            <w:vertAlign w:val="superscript"/>
          </w:rPr>
          <w:t>5</w:t>
        </w:r>
      </w:fldSimple>
      <w:r>
        <w:t xml:space="preserve"> </w:t>
      </w:r>
      <w:fldSimple w:instr="NOTEREF _Ref_Footnote_7 \h \f">
        <w:r>
          <w:rPr>
            <w:vertAlign w:val="superscript"/>
          </w:rPr>
          <w:t>7</w:t>
        </w:r>
      </w:fldSimple>
      <w:r>
        <w:t xml:space="preserve">. Diffuse ambient material does not require per-sample positional metadata, and treating it as bed audio eliminates the computational and bandwidth overhead of object metadata streaming</w:t>
      </w:r>
      <w:r>
        <w:t xml:space="preserve"> </w:t>
      </w:r>
      <w:r>
        <w:rPr>
          <w:vertAlign w:val="superscript"/>
        </w:rPr>
        <w:footnoteReference w:id="34"/>
      </w:r>
      <w:r>
        <w:t xml:space="preserve"> </w:t>
      </w:r>
      <w:r>
        <w:rPr>
          <w:vertAlign w:val="superscript"/>
        </w:rPr>
        <w:footnoteReference w:id="35"/>
      </w:r>
      <w:r>
        <w:t xml:space="preserve">. In theatrical environments, bed channels activate entire speaker arrays — all side surround speakers receive the Ls signal simultaneously — producing an enveloping, diffuse quality that single-speaker object rendering cannot match</w:t>
      </w:r>
      <w:r>
        <w:t xml:space="preserve"> </w:t>
      </w:r>
      <w:fldSimple w:instr="NOTEREF _Ref_Footnote_32 \h \f">
        <w:r>
          <w:rPr>
            <w:vertAlign w:val="superscript"/>
          </w:rPr>
          <w:t>32</w:t>
        </w:r>
      </w:fldSimple>
      <w:r>
        <w:t xml:space="preserve"> </w:t>
      </w:r>
      <w:r>
        <w:rPr>
          <w:vertAlign w:val="superscript"/>
        </w:rPr>
        <w:footnoteReference w:id="36"/>
      </w:r>
      <w:r>
        <w:t xml:space="preserve">. Beds also allow mixers to use familiar surround panning interfaces rather than positioning every element as an individual object</w:t>
      </w:r>
      <w:r>
        <w:t xml:space="preserve"> </w:t>
      </w:r>
      <w:fldSimple w:instr="NOTEREF _Ref_Footnote_14 \h \f">
        <w:r>
          <w:rPr>
            <w:vertAlign w:val="superscript"/>
          </w:rPr>
          <w:t>14</w:t>
        </w:r>
      </w:fldSimple>
      <w:r>
        <w:t xml:space="preserve"> </w:t>
      </w:r>
      <w:fldSimple w:instr="NOTEREF _Ref_Footnote_32 \h \f">
        <w:r>
          <w:rPr>
            <w:vertAlign w:val="superscript"/>
          </w:rPr>
          <w:t>32</w:t>
        </w:r>
      </w:fldSimple>
      <w:r>
        <w:t xml:space="preserve">.</w:t>
      </w:r>
    </w:p>
    <w:bookmarkEnd w:id="34"/>
    <w:bookmarkStart w:id="35" w:name="the-lfe-routing-constraint"/>
    <w:p>
      <w:pPr>
        <w:pStyle w:val="Heading4"/>
      </w:pPr>
      <w:r>
        <w:t xml:space="preserve">2.2.2 The LFE Routing Constraint</w:t>
      </w:r>
    </w:p>
    <w:p>
      <w:pPr>
        <w:pStyle w:val="FirstParagraph"/>
      </w:pPr>
      <w:r>
        <w:t xml:space="preserve">A critical architectural limitation is that</w:t>
      </w:r>
      <w:r>
        <w:t xml:space="preserve"> </w:t>
      </w:r>
      <w:r>
        <w:rPr>
          <w:bCs/>
          <w:b/>
        </w:rPr>
        <w:t xml:space="preserve">audio objects cannot feed the LFE channel</w:t>
      </w:r>
      <w:r>
        <w:t xml:space="preserve">; only bed channels provide a signal path to the subwoofer</w:t>
      </w:r>
      <w:r>
        <w:t xml:space="preserve"> </w:t>
      </w:r>
      <w:fldSimple w:instr="NOTEREF _Ref_Footnote_4 \h \f">
        <w:r>
          <w:rPr>
            <w:vertAlign w:val="superscript"/>
          </w:rPr>
          <w:t>4</w:t>
        </w:r>
      </w:fldSimple>
      <w:r>
        <w:t xml:space="preserve">. Content requiring low-frequency extension — explosions, rumbles, sub-bass musical elements — must be routed through a bed LFE channel, or embedded within an object’s full-range signal for post-render bass management. The distinction matters: bed LFE routing is direct and deterministic, while bass management is a frequency-dependent, device-variable process.</w:t>
      </w:r>
    </w:p>
    <w:bookmarkEnd w:id="35"/>
    <w:bookmarkStart w:id="36" w:name="channel-based-rendering-path"/>
    <w:p>
      <w:pPr>
        <w:pStyle w:val="Heading4"/>
      </w:pPr>
      <w:r>
        <w:t xml:space="preserve">2.2.3 Channel-Based Rendering Path</w:t>
      </w:r>
    </w:p>
    <w:p>
      <w:pPr>
        <w:pStyle w:val="FirstParagraph"/>
      </w:pPr>
      <w:r>
        <w:t xml:space="preserve">Bed channels follow a fundamentally different rendering path than objects. Where objects are rendered in real-time using Vector Base Amplitude Panning (VBAP) — selecting the nearest 2–3 speakers and computing gain factors such that the vector sum matches the target direction</w:t>
      </w:r>
      <w:r>
        <w:t xml:space="preserve"> </w:t>
      </w:r>
      <w:fldSimple w:instr="NOTEREF _Ref_Footnote_15 \h \f">
        <w:r>
          <w:rPr>
            <w:vertAlign w:val="superscript"/>
          </w:rPr>
          <w:t>15</w:t>
        </w:r>
      </w:fldSimple>
      <w:r>
        <w:t xml:space="preserve"> </w:t>
      </w:r>
      <w:fldSimple w:instr="NOTEREF _Ref_Footnote_16 \h \f">
        <w:r>
          <w:rPr>
            <w:vertAlign w:val="superscript"/>
          </w:rPr>
          <w:t>16</w:t>
        </w:r>
      </w:fldSimple>
      <w:r>
        <w:t xml:space="preserve">— bed channels map directly to their correspondingly named physical speakers. The L bed channel goes to the Left speaker; the Ls channel goes to the Left Side Surround. If the playback system has fewer speakers than the bed provides, fixed downmix coefficients are applied</w:t>
      </w:r>
      <w:r>
        <w:t xml:space="preserve"> </w:t>
      </w:r>
      <w:fldSimple w:instr="NOTEREF _Ref_Footnote_14 \h \f">
        <w:r>
          <w:rPr>
            <w:vertAlign w:val="superscript"/>
          </w:rPr>
          <w:t>14</w:t>
        </w:r>
      </w:fldSimple>
      <w:r>
        <w:t xml:space="preserve">. This direct mapping guarantees predictable playback but also means bed channels cannot be individually repositioned in 3D space — only the bed as a whole can be panned</w:t>
      </w:r>
      <w:r>
        <w:t xml:space="preserve"> </w:t>
      </w:r>
      <w:fldSimple w:instr="NOTEREF _Ref_Footnote_7 \h \f">
        <w:r>
          <w:rPr>
            <w:vertAlign w:val="superscript"/>
          </w:rPr>
          <w:t>7</w:t>
        </w:r>
      </w:fldSimple>
      <w:r>
        <w:t xml:space="preserve"> </w:t>
      </w:r>
      <w:fldSimple w:instr="NOTEREF _Ref_Footnote_34 \h \f">
        <w:r>
          <w:rPr>
            <w:vertAlign w:val="superscript"/>
          </w:rPr>
          <w:t>34</w:t>
        </w:r>
      </w:fldSimple>
      <w:r>
        <w:t xml:space="preserve">. The restriction to two height channels further constrains overhead content to lateral panning only; front-to-back height movement is impossible within the bed, a limitation known as the</w:t>
      </w:r>
      <w:r>
        <w:t xml:space="preserve"> </w:t>
      </w:r>
      <w:r>
        <w:t xml:space="preserve">“</w:t>
      </w:r>
      <w:r>
        <w:t xml:space="preserve">7.1.2 dilemma</w:t>
      </w:r>
      <w:r>
        <w:t xml:space="preserve">”</w:t>
      </w:r>
      <w:r>
        <w:t xml:space="preserve"> </w:t>
      </w:r>
      <w:r>
        <w:rPr>
          <w:vertAlign w:val="superscript"/>
        </w:rPr>
        <w:footnoteReference w:id="37"/>
      </w:r>
      <w:r>
        <w:t xml:space="preserve">.</w:t>
      </w:r>
    </w:p>
    <w:bookmarkEnd w:id="36"/>
    <w:bookmarkEnd w:id="37"/>
    <w:bookmarkStart w:id="41" w:name="X5e9daef73436f63627a7f0f04ccc1711df2b2f8"/>
    <w:p>
      <w:pPr>
        <w:pStyle w:val="Heading3"/>
      </w:pPr>
      <w:r>
        <w:t xml:space="preserve">2.3 Bed Rendering to Arbitrary Configurations</w:t>
      </w:r>
    </w:p>
    <w:bookmarkStart w:id="38" w:name="direct-render-mode"/>
    <w:p>
      <w:pPr>
        <w:pStyle w:val="Heading4"/>
      </w:pPr>
      <w:r>
        <w:t xml:space="preserve">2.3.1 Direct Render Mode</w:t>
      </w:r>
    </w:p>
    <w:p>
      <w:pPr>
        <w:pStyle w:val="FirstParagraph"/>
      </w:pPr>
      <w:r>
        <w:t xml:space="preserve">In direct render mode, bed channels map one-to-one to physical speaker counterparts. A 7.1.2 bed on a 7.1.4 system routes L to Left, R to Right, C to Center, and so on; the two additional overhead speakers in 7.1.4 receive no direct bed signal and are reserved for object rendering</w:t>
      </w:r>
      <w:r>
        <w:t xml:space="preserve"> </w:t>
      </w:r>
      <w:r>
        <w:rPr>
          <w:vertAlign w:val="superscript"/>
        </w:rPr>
        <w:footnoteReference w:id="38"/>
      </w:r>
      <w:r>
        <w:t xml:space="preserve">. When rendering to 7.1 (no height speakers), the Lts and Rts content folds to ear-level speakers via the downmix matrix selected by the mixer.</w:t>
      </w:r>
    </w:p>
    <w:bookmarkEnd w:id="38"/>
    <w:bookmarkStart w:id="39" w:name="X60b197897242556f4c2a82d679db16a3ae65284"/>
    <w:p>
      <w:pPr>
        <w:pStyle w:val="Heading4"/>
      </w:pPr>
      <w:r>
        <w:t xml:space="preserve">2.3.2 Downmix Coefficients for Missing Speakers</w:t>
      </w:r>
    </w:p>
    <w:p>
      <w:pPr>
        <w:pStyle w:val="FirstParagraph"/>
      </w:pPr>
      <w:r>
        <w:t xml:space="preserve">For</w:t>
      </w:r>
      <w:r>
        <w:t xml:space="preserve"> </w:t>
      </w:r>
      <w:r>
        <w:rPr>
          <w:bCs/>
          <w:b/>
        </w:rPr>
        <w:t xml:space="preserve">Lo/Ro stereo fold-down</w:t>
      </w:r>
      <w:r>
        <w:t xml:space="preserve">, the Renderer applies</w:t>
      </w:r>
      <w:r>
        <w:t xml:space="preserve"> </w:t>
      </w:r>
      <w:fldSimple w:instr="NOTEREF _Ref_Footnote_14 \h \f">
        <w:r>
          <w:rPr>
            <w:vertAlign w:val="superscript"/>
          </w:rPr>
          <w:t>14</w:t>
        </w:r>
      </w:fldSimple>
      <w:r>
        <w:t xml:space="preserve">:</w:t>
      </w:r>
    </w:p>
    <w:p>
      <w:pPr>
        <w:pStyle w:val="BodyText"/>
      </w:pPr>
      <m:oMathPara>
        <m:oMathParaPr>
          <m:jc m:val="center"/>
        </m:oMathParaPr>
        <m:oMath>
          <m:r>
            <m:t>L</m:t>
          </m:r>
          <m:r>
            <m:t>o</m:t>
          </m:r>
          <m:r>
            <m:rPr>
              <m:sty m:val="p"/>
            </m:rPr>
            <m:t>=</m:t>
          </m:r>
          <m:r>
            <m:t>L</m:t>
          </m:r>
          <m:r>
            <m:rPr>
              <m:sty m:val="p"/>
            </m:rPr>
            <m:t>+</m:t>
          </m:r>
          <m:d>
            <m:dPr>
              <m:begChr m:val="("/>
              <m:endChr m:val=")"/>
              <m:sepChr m:val=""/>
              <m:grow/>
            </m:dPr>
            <m:e>
              <m:r>
                <m:rPr>
                  <m:sty m:val="p"/>
                </m:rPr>
                <m:t>−</m:t>
              </m:r>
              <m:r>
                <m:t>3</m:t>
              </m:r>
              <m:r>
                <m:t> </m:t>
              </m:r>
              <m:r>
                <m:rPr>
                  <m:nor/>
                  <m:sty m:val="p"/>
                </m:rPr>
                <m:t>dB</m:t>
              </m:r>
              <m:r>
                <m:rPr>
                  <m:sty m:val="p"/>
                </m:rPr>
                <m:t>×</m:t>
              </m:r>
              <m:r>
                <m:t>C</m:t>
              </m:r>
            </m:e>
          </m:d>
          <m:r>
            <m:rPr>
              <m:sty m:val="p"/>
            </m:rPr>
            <m:t>+</m:t>
          </m:r>
          <m:d>
            <m:dPr>
              <m:begChr m:val="("/>
              <m:endChr m:val=")"/>
              <m:sepChr m:val=""/>
              <m:grow/>
            </m:dPr>
            <m:e>
              <m:r>
                <m:rPr>
                  <m:sty m:val="p"/>
                </m:rPr>
                <m:t>−</m:t>
              </m:r>
              <m:r>
                <m:t>3</m:t>
              </m:r>
              <m:r>
                <m:t> </m:t>
              </m:r>
              <m:r>
                <m:rPr>
                  <m:nor/>
                  <m:sty m:val="p"/>
                </m:rPr>
                <m:t>dB</m:t>
              </m:r>
              <m:r>
                <m:rPr>
                  <m:sty m:val="p"/>
                </m:rPr>
                <m:t>×</m:t>
              </m:r>
              <m:r>
                <m:t>L</m:t>
              </m:r>
              <m:r>
                <m:t>s</m:t>
              </m:r>
            </m:e>
          </m:d>
        </m:oMath>
      </m:oMathPara>
    </w:p>
    <w:p>
      <w:pPr>
        <w:pStyle w:val="FirstParagraph"/>
      </w:pPr>
      <m:oMathPara>
        <m:oMathParaPr>
          <m:jc m:val="center"/>
        </m:oMathParaPr>
        <m:oMath>
          <m:r>
            <m:t>R</m:t>
          </m:r>
          <m:r>
            <m:t>o</m:t>
          </m:r>
          <m:r>
            <m:rPr>
              <m:sty m:val="p"/>
            </m:rPr>
            <m:t>=</m:t>
          </m:r>
          <m:r>
            <m:t>R</m:t>
          </m:r>
          <m:r>
            <m:rPr>
              <m:sty m:val="p"/>
            </m:rPr>
            <m:t>+</m:t>
          </m:r>
          <m:d>
            <m:dPr>
              <m:begChr m:val="("/>
              <m:endChr m:val=")"/>
              <m:sepChr m:val=""/>
              <m:grow/>
            </m:dPr>
            <m:e>
              <m:r>
                <m:rPr>
                  <m:sty m:val="p"/>
                </m:rPr>
                <m:t>−</m:t>
              </m:r>
              <m:r>
                <m:t>3</m:t>
              </m:r>
              <m:r>
                <m:t> </m:t>
              </m:r>
              <m:r>
                <m:rPr>
                  <m:nor/>
                  <m:sty m:val="p"/>
                </m:rPr>
                <m:t>dB</m:t>
              </m:r>
              <m:r>
                <m:rPr>
                  <m:sty m:val="p"/>
                </m:rPr>
                <m:t>×</m:t>
              </m:r>
              <m:r>
                <m:t>C</m:t>
              </m:r>
            </m:e>
          </m:d>
          <m:r>
            <m:rPr>
              <m:sty m:val="p"/>
            </m:rPr>
            <m:t>+</m:t>
          </m:r>
          <m:d>
            <m:dPr>
              <m:begChr m:val="("/>
              <m:endChr m:val=")"/>
              <m:sepChr m:val=""/>
              <m:grow/>
            </m:dPr>
            <m:e>
              <m:r>
                <m:rPr>
                  <m:sty m:val="p"/>
                </m:rPr>
                <m:t>−</m:t>
              </m:r>
              <m:r>
                <m:t>3</m:t>
              </m:r>
              <m:r>
                <m:t> </m:t>
              </m:r>
              <m:r>
                <m:rPr>
                  <m:nor/>
                  <m:sty m:val="p"/>
                </m:rPr>
                <m:t>dB</m:t>
              </m:r>
              <m:r>
                <m:rPr>
                  <m:sty m:val="p"/>
                </m:rPr>
                <m:t>×</m:t>
              </m:r>
              <m:r>
                <m:t>R</m:t>
              </m:r>
              <m:r>
                <m:t>s</m:t>
              </m:r>
            </m:e>
          </m:d>
        </m:oMath>
      </m:oMathPara>
    </w:p>
    <w:p>
      <w:pPr>
        <w:pStyle w:val="FirstParagraph"/>
      </w:pPr>
      <w:r>
        <w:t xml:space="preserve">The center channel is attenuated by 3 dB and distributed equally to both outputs, creating a phantom center. Surrounds fold to their respective fronts at</w:t>
      </w:r>
      <w:r>
        <w:t xml:space="preserve"> </w:t>
      </w:r>
      <m:oMath>
        <m:r>
          <m:rPr>
            <m:sty m:val="p"/>
          </m:rPr>
          <m:t>−</m:t>
        </m:r>
        <m:r>
          <m:t>3</m:t>
        </m:r>
      </m:oMath>
      <w:r>
        <w:t xml:space="preserve"> </w:t>
      </w:r>
      <w:r>
        <w:t xml:space="preserve">dB, and LFE is discarded. This compensates for the 6 dB level increase that would otherwise occur when correlated signals are summed. For 7.1-to-5.1 downmix, the standard mode sums side and rear surrounds at unity gain (</w:t>
      </w:r>
      <m:oMath>
        <m:r>
          <m:t>L</m:t>
        </m:r>
        <m:sSub>
          <m:e>
            <m:r>
              <m:t>s</m:t>
            </m:r>
          </m:e>
          <m:sub>
            <m:r>
              <m:rPr>
                <m:nor/>
                <m:sty m:val="p"/>
              </m:rPr>
              <m:t>out</m:t>
            </m:r>
          </m:sub>
        </m:sSub>
        <m:r>
          <m:rPr>
            <m:sty m:val="p"/>
          </m:rPr>
          <m:t>=</m:t>
        </m:r>
        <m:r>
          <m:t>L</m:t>
        </m:r>
        <m:r>
          <m:t>s</m:t>
        </m:r>
        <m:r>
          <m:t>s</m:t>
        </m:r>
        <m:r>
          <m:rPr>
            <m:sty m:val="p"/>
          </m:rPr>
          <m:t>+</m:t>
        </m:r>
        <m:r>
          <m:t>L</m:t>
        </m:r>
        <m:r>
          <m:t>r</m:t>
        </m:r>
        <m:r>
          <m:t>s</m:t>
        </m:r>
      </m:oMath>
      <w:r>
        <w:t xml:space="preserve">), while the Pro Logic IIx mode applies weighted blending with cross-feed attenuation to preserve matrix decodability</w:t>
      </w:r>
      <w:r>
        <w:t xml:space="preserve"> </w:t>
      </w:r>
      <w:fldSimple w:instr="NOTEREF _Ref_Footnote_14 \h \f">
        <w:r>
          <w:rPr>
            <w:vertAlign w:val="superscript"/>
          </w:rPr>
          <w:t>14</w:t>
        </w:r>
      </w:fldSimple>
      <w:r>
        <w:t xml:space="preserve"> </w:t>
      </w:r>
      <w:r>
        <w:rPr>
          <w:vertAlign w:val="superscript"/>
        </w:rPr>
        <w:footnoteReference w:id="39"/>
      </w:r>
      <w:r>
        <w:t xml:space="preserve">.</w:t>
      </w:r>
    </w:p>
    <w:bookmarkEnd w:id="39"/>
    <w:bookmarkStart w:id="40" w:name="Xf04428ec6eda6fd8313c9556aacab00f9f606ba"/>
    <w:p>
      <w:pPr>
        <w:pStyle w:val="Heading4"/>
      </w:pPr>
      <w:r>
        <w:t xml:space="preserve">2.3.3 Bed Channel Mapping Across Configurations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Bed Channel</w:t>
            </w:r>
          </w:p>
        </w:tc>
        <w:tc>
          <w:tcPr/>
          <w:p>
            <w:pPr>
              <w:pStyle w:val="Compact"/>
              <w:jc w:val="left"/>
            </w:pPr>
            <w:r>
              <w:t xml:space="preserve">2.0 Stereo</w:t>
            </w:r>
          </w:p>
        </w:tc>
        <w:tc>
          <w:tcPr/>
          <w:p>
            <w:pPr>
              <w:pStyle w:val="Compact"/>
              <w:jc w:val="left"/>
            </w:pPr>
            <w:r>
              <w:t xml:space="preserve">5.1 Surround</w:t>
            </w:r>
          </w:p>
        </w:tc>
        <w:tc>
          <w:tcPr/>
          <w:p>
            <w:pPr>
              <w:pStyle w:val="Compact"/>
              <w:jc w:val="left"/>
            </w:pPr>
            <w:r>
              <w:t xml:space="preserve">7.1 Surround</w:t>
            </w:r>
          </w:p>
        </w:tc>
        <w:tc>
          <w:tcPr/>
          <w:p>
            <w:pPr>
              <w:pStyle w:val="Compact"/>
              <w:jc w:val="left"/>
            </w:pPr>
            <w:r>
              <w:t xml:space="preserve">7.1.4 Home</w:t>
            </w:r>
          </w:p>
        </w:tc>
        <w:tc>
          <w:tcPr/>
          <w:p>
            <w:pPr>
              <w:pStyle w:val="Compact"/>
              <w:jc w:val="left"/>
            </w:pPr>
            <w:r>
              <w:t xml:space="preserve">Theatrical (64-ch)</w:t>
            </w:r>
          </w:p>
        </w:tc>
      </w:tr>
      <w:tr>
        <w:tc>
          <w:tcPr/>
          <w:p>
            <w:pPr>
              <w:pStyle w:val="Compact"/>
              <w:jc w:val="left"/>
            </w:pPr>
            <w:r>
              <w:t xml:space="preserve">L (1)</w:t>
            </w:r>
          </w:p>
        </w:tc>
        <w:tc>
          <w:tcPr/>
          <w:p>
            <w:pPr>
              <w:pStyle w:val="Compact"/>
              <w:jc w:val="left"/>
            </w:pPr>
            <w:r>
              <w:t xml:space="preserve">Lo mix</w:t>
            </w:r>
          </w:p>
        </w:tc>
        <w:tc>
          <w:tcPr/>
          <w:p>
            <w:pPr>
              <w:pStyle w:val="Compact"/>
              <w:jc w:val="left"/>
            </w:pPr>
            <w:r>
              <w:t xml:space="preserve">L speaker</w:t>
            </w:r>
          </w:p>
        </w:tc>
        <w:tc>
          <w:tcPr/>
          <w:p>
            <w:pPr>
              <w:pStyle w:val="Compact"/>
              <w:jc w:val="left"/>
            </w:pPr>
            <w:r>
              <w:t xml:space="preserve">L speaker</w:t>
            </w:r>
          </w:p>
        </w:tc>
        <w:tc>
          <w:tcPr/>
          <w:p>
            <w:pPr>
              <w:pStyle w:val="Compact"/>
              <w:jc w:val="left"/>
            </w:pPr>
            <w:r>
              <w:t xml:space="preserve">L speaker</w:t>
            </w:r>
          </w:p>
        </w:tc>
        <w:tc>
          <w:tcPr/>
          <w:p>
            <w:pPr>
              <w:pStyle w:val="Compact"/>
              <w:jc w:val="left"/>
            </w:pPr>
            <w:r>
              <w:t xml:space="preserve">Left screen array</w:t>
            </w:r>
          </w:p>
        </w:tc>
      </w:tr>
      <w:tr>
        <w:tc>
          <w:tcPr/>
          <w:p>
            <w:pPr>
              <w:pStyle w:val="Compact"/>
              <w:jc w:val="left"/>
            </w:pPr>
            <w:r>
              <w:t xml:space="preserve">R (2)</w:t>
            </w:r>
          </w:p>
        </w:tc>
        <w:tc>
          <w:tcPr/>
          <w:p>
            <w:pPr>
              <w:pStyle w:val="Compact"/>
              <w:jc w:val="left"/>
            </w:pPr>
            <w:r>
              <w:t xml:space="preserve">Ro mix</w:t>
            </w:r>
          </w:p>
        </w:tc>
        <w:tc>
          <w:tcPr/>
          <w:p>
            <w:pPr>
              <w:pStyle w:val="Compact"/>
              <w:jc w:val="left"/>
            </w:pPr>
            <w:r>
              <w:t xml:space="preserve">R speaker</w:t>
            </w:r>
          </w:p>
        </w:tc>
        <w:tc>
          <w:tcPr/>
          <w:p>
            <w:pPr>
              <w:pStyle w:val="Compact"/>
              <w:jc w:val="left"/>
            </w:pPr>
            <w:r>
              <w:t xml:space="preserve">R speaker</w:t>
            </w:r>
          </w:p>
        </w:tc>
        <w:tc>
          <w:tcPr/>
          <w:p>
            <w:pPr>
              <w:pStyle w:val="Compact"/>
              <w:jc w:val="left"/>
            </w:pPr>
            <w:r>
              <w:t xml:space="preserve">R speaker</w:t>
            </w:r>
          </w:p>
        </w:tc>
        <w:tc>
          <w:tcPr/>
          <w:p>
            <w:pPr>
              <w:pStyle w:val="Compact"/>
              <w:jc w:val="left"/>
            </w:pPr>
            <w:r>
              <w:t xml:space="preserve">Right screen array</w:t>
            </w:r>
          </w:p>
        </w:tc>
      </w:tr>
      <w:tr>
        <w:tc>
          <w:tcPr/>
          <w:p>
            <w:pPr>
              <w:pStyle w:val="Compact"/>
              <w:jc w:val="left"/>
            </w:pPr>
            <w:r>
              <w:t xml:space="preserve">C (3)</w:t>
            </w:r>
          </w:p>
        </w:tc>
        <w:tc>
          <w:tcPr/>
          <w:p>
            <w:pPr>
              <w:pStyle w:val="Compact"/>
              <w:jc w:val="left"/>
            </w:pPr>
            <w:r>
              <w:t xml:space="preserve">Lo/Ro at</w:t>
            </w:r>
            <w:r>
              <w:t xml:space="preserve"> </w:t>
            </w:r>
            <m:oMath>
              <m:r>
                <m:rPr>
                  <m:sty m:val="p"/>
                </m:rPr>
                <m:t>−</m:t>
              </m:r>
              <m:r>
                <m:t>3</m:t>
              </m:r>
            </m:oMath>
            <w:r>
              <w:t xml:space="preserve"> </w:t>
            </w:r>
            <w:r>
              <w:t xml:space="preserve">dB</w:t>
            </w:r>
          </w:p>
        </w:tc>
        <w:tc>
          <w:tcPr/>
          <w:p>
            <w:pPr>
              <w:pStyle w:val="Compact"/>
              <w:jc w:val="left"/>
            </w:pPr>
            <w:r>
              <w:t xml:space="preserve">C speaker</w:t>
            </w:r>
          </w:p>
        </w:tc>
        <w:tc>
          <w:tcPr/>
          <w:p>
            <w:pPr>
              <w:pStyle w:val="Compact"/>
              <w:jc w:val="left"/>
            </w:pPr>
            <w:r>
              <w:t xml:space="preserve">C speaker</w:t>
            </w:r>
          </w:p>
        </w:tc>
        <w:tc>
          <w:tcPr/>
          <w:p>
            <w:pPr>
              <w:pStyle w:val="Compact"/>
              <w:jc w:val="left"/>
            </w:pPr>
            <w:r>
              <w:t xml:space="preserve">C speaker</w:t>
            </w:r>
          </w:p>
        </w:tc>
        <w:tc>
          <w:tcPr/>
          <w:p>
            <w:pPr>
              <w:pStyle w:val="Compact"/>
              <w:jc w:val="left"/>
            </w:pPr>
            <w:r>
              <w:t xml:space="preserve">Center screen array</w:t>
            </w:r>
          </w:p>
        </w:tc>
      </w:tr>
      <w:tr>
        <w:tc>
          <w:tcPr/>
          <w:p>
            <w:pPr>
              <w:pStyle w:val="Compact"/>
              <w:jc w:val="left"/>
            </w:pPr>
            <w:r>
              <w:t xml:space="preserve">LFE (4)</w:t>
            </w:r>
          </w:p>
        </w:tc>
        <w:tc>
          <w:tcPr/>
          <w:p>
            <w:pPr>
              <w:pStyle w:val="Compact"/>
              <w:jc w:val="left"/>
            </w:pPr>
            <w:r>
              <w:t xml:space="preserve">Discarded</w:t>
            </w:r>
          </w:p>
        </w:tc>
        <w:tc>
          <w:tcPr/>
          <w:p>
            <w:pPr>
              <w:pStyle w:val="Compact"/>
              <w:jc w:val="left"/>
            </w:pPr>
            <w:r>
              <w:t xml:space="preserve">LFE/sub</w:t>
            </w:r>
          </w:p>
        </w:tc>
        <w:tc>
          <w:tcPr/>
          <w:p>
            <w:pPr>
              <w:pStyle w:val="Compact"/>
              <w:jc w:val="left"/>
            </w:pPr>
            <w:r>
              <w:t xml:space="preserve">LFE/sub</w:t>
            </w:r>
          </w:p>
        </w:tc>
        <w:tc>
          <w:tcPr/>
          <w:p>
            <w:pPr>
              <w:pStyle w:val="Compact"/>
              <w:jc w:val="left"/>
            </w:pPr>
            <w:r>
              <w:t xml:space="preserve">LFE/sub</w:t>
            </w:r>
          </w:p>
        </w:tc>
        <w:tc>
          <w:tcPr/>
          <w:p>
            <w:pPr>
              <w:pStyle w:val="Compact"/>
              <w:jc w:val="left"/>
            </w:pPr>
            <w:r>
              <w:t xml:space="preserve">Subwoofer array</w:t>
            </w:r>
          </w:p>
        </w:tc>
      </w:tr>
      <w:tr>
        <w:tc>
          <w:tcPr/>
          <w:p>
            <w:pPr>
              <w:pStyle w:val="Compact"/>
              <w:jc w:val="left"/>
            </w:pPr>
            <w:r>
              <w:t xml:space="preserve">Ls (5)</w:t>
            </w:r>
          </w:p>
        </w:tc>
        <w:tc>
          <w:tcPr/>
          <w:p>
            <w:pPr>
              <w:pStyle w:val="Compact"/>
              <w:jc w:val="left"/>
            </w:pPr>
            <w:r>
              <w:t xml:space="preserve">Lo at</w:t>
            </w:r>
            <w:r>
              <w:t xml:space="preserve"> </w:t>
            </w:r>
            <m:oMath>
              <m:r>
                <m:rPr>
                  <m:sty m:val="p"/>
                </m:rPr>
                <m:t>−</m:t>
              </m:r>
              <m:r>
                <m:t>3</m:t>
              </m:r>
            </m:oMath>
            <w:r>
              <w:t xml:space="preserve"> </w:t>
            </w:r>
            <w:r>
              <w:t xml:space="preserve">dB</w:t>
            </w:r>
          </w:p>
        </w:tc>
        <w:tc>
          <w:tcPr/>
          <w:p>
            <w:pPr>
              <w:pStyle w:val="Compact"/>
              <w:jc w:val="left"/>
            </w:pPr>
            <w:r>
              <w:t xml:space="preserve">Ls speaker</w:t>
            </w:r>
          </w:p>
        </w:tc>
        <w:tc>
          <w:tcPr/>
          <w:p>
            <w:pPr>
              <w:pStyle w:val="Compact"/>
              <w:jc w:val="left"/>
            </w:pPr>
            <w:r>
              <w:t xml:space="preserve">Ls speaker</w:t>
            </w:r>
          </w:p>
        </w:tc>
        <w:tc>
          <w:tcPr/>
          <w:p>
            <w:pPr>
              <w:pStyle w:val="Compact"/>
              <w:jc w:val="left"/>
            </w:pPr>
            <w:r>
              <w:t xml:space="preserve">Ls speaker</w:t>
            </w:r>
          </w:p>
        </w:tc>
        <w:tc>
          <w:tcPr/>
          <w:p>
            <w:pPr>
              <w:pStyle w:val="Compact"/>
              <w:jc w:val="left"/>
            </w:pPr>
            <w:r>
              <w:t xml:space="preserve">Left side array</w:t>
            </w:r>
          </w:p>
        </w:tc>
      </w:tr>
      <w:tr>
        <w:tc>
          <w:tcPr/>
          <w:p>
            <w:pPr>
              <w:pStyle w:val="Compact"/>
              <w:jc w:val="left"/>
            </w:pPr>
            <w:r>
              <w:t xml:space="preserve">Rs (6)</w:t>
            </w:r>
          </w:p>
        </w:tc>
        <w:tc>
          <w:tcPr/>
          <w:p>
            <w:pPr>
              <w:pStyle w:val="Compact"/>
              <w:jc w:val="left"/>
            </w:pPr>
            <w:r>
              <w:t xml:space="preserve">Ro at</w:t>
            </w:r>
            <w:r>
              <w:t xml:space="preserve"> </w:t>
            </w:r>
            <m:oMath>
              <m:r>
                <m:rPr>
                  <m:sty m:val="p"/>
                </m:rPr>
                <m:t>−</m:t>
              </m:r>
              <m:r>
                <m:t>3</m:t>
              </m:r>
            </m:oMath>
            <w:r>
              <w:t xml:space="preserve"> </w:t>
            </w:r>
            <w:r>
              <w:t xml:space="preserve">dB</w:t>
            </w:r>
          </w:p>
        </w:tc>
        <w:tc>
          <w:tcPr/>
          <w:p>
            <w:pPr>
              <w:pStyle w:val="Compact"/>
              <w:jc w:val="left"/>
            </w:pPr>
            <w:r>
              <w:t xml:space="preserve">Rs speaker</w:t>
            </w:r>
          </w:p>
        </w:tc>
        <w:tc>
          <w:tcPr/>
          <w:p>
            <w:pPr>
              <w:pStyle w:val="Compact"/>
              <w:jc w:val="left"/>
            </w:pPr>
            <w:r>
              <w:t xml:space="preserve">Rs speaker</w:t>
            </w:r>
          </w:p>
        </w:tc>
        <w:tc>
          <w:tcPr/>
          <w:p>
            <w:pPr>
              <w:pStyle w:val="Compact"/>
              <w:jc w:val="left"/>
            </w:pPr>
            <w:r>
              <w:t xml:space="preserve">Rs speaker</w:t>
            </w:r>
          </w:p>
        </w:tc>
        <w:tc>
          <w:tcPr/>
          <w:p>
            <w:pPr>
              <w:pStyle w:val="Compact"/>
              <w:jc w:val="left"/>
            </w:pPr>
            <w:r>
              <w:t xml:space="preserve">Right side array</w:t>
            </w:r>
          </w:p>
        </w:tc>
      </w:tr>
      <w:tr>
        <w:tc>
          <w:tcPr/>
          <w:p>
            <w:pPr>
              <w:pStyle w:val="Compact"/>
              <w:jc w:val="left"/>
            </w:pPr>
            <w:r>
              <w:t xml:space="preserve">Lsr (7)</w:t>
            </w:r>
          </w:p>
        </w:tc>
        <w:tc>
          <w:tcPr/>
          <w:p>
            <w:pPr>
              <w:pStyle w:val="Compact"/>
              <w:jc w:val="left"/>
            </w:pPr>
            <w:r>
              <w:t xml:space="preserve">Lo at</w:t>
            </w:r>
            <w:r>
              <w:t xml:space="preserve"> </w:t>
            </w:r>
            <m:oMath>
              <m:r>
                <m:rPr>
                  <m:sty m:val="p"/>
                </m:rPr>
                <m:t>−</m:t>
              </m:r>
              <m:r>
                <m:t>3</m:t>
              </m:r>
            </m:oMath>
            <w:r>
              <w:t xml:space="preserve"> </w:t>
            </w:r>
            <w:r>
              <w:t xml:space="preserve">dB</w:t>
            </w:r>
          </w:p>
        </w:tc>
        <w:tc>
          <w:tcPr/>
          <w:p>
            <w:pPr>
              <w:pStyle w:val="Compact"/>
              <w:jc w:val="left"/>
            </w:pPr>
            <w:r>
              <w:t xml:space="preserve">Mixed to Ls (0 dB)</w:t>
            </w:r>
          </w:p>
        </w:tc>
        <w:tc>
          <w:tcPr/>
          <w:p>
            <w:pPr>
              <w:pStyle w:val="Compact"/>
              <w:jc w:val="left"/>
            </w:pPr>
            <w:r>
              <w:t xml:space="preserve">Lsr speaker</w:t>
            </w:r>
          </w:p>
        </w:tc>
        <w:tc>
          <w:tcPr/>
          <w:p>
            <w:pPr>
              <w:pStyle w:val="Compact"/>
              <w:jc w:val="left"/>
            </w:pPr>
            <w:r>
              <w:t xml:space="preserve">Lsr speaker</w:t>
            </w:r>
          </w:p>
        </w:tc>
        <w:tc>
          <w:tcPr/>
          <w:p>
            <w:pPr>
              <w:pStyle w:val="Compact"/>
              <w:jc w:val="left"/>
            </w:pPr>
            <w:r>
              <w:t xml:space="preserve">Left rear array</w:t>
            </w:r>
          </w:p>
        </w:tc>
      </w:tr>
      <w:tr>
        <w:tc>
          <w:tcPr/>
          <w:p>
            <w:pPr>
              <w:pStyle w:val="Compact"/>
              <w:jc w:val="left"/>
            </w:pPr>
            <w:r>
              <w:t xml:space="preserve">Rsr (8)</w:t>
            </w:r>
          </w:p>
        </w:tc>
        <w:tc>
          <w:tcPr/>
          <w:p>
            <w:pPr>
              <w:pStyle w:val="Compact"/>
              <w:jc w:val="left"/>
            </w:pPr>
            <w:r>
              <w:t xml:space="preserve">Ro at</w:t>
            </w:r>
            <w:r>
              <w:t xml:space="preserve"> </w:t>
            </w:r>
            <m:oMath>
              <m:r>
                <m:rPr>
                  <m:sty m:val="p"/>
                </m:rPr>
                <m:t>−</m:t>
              </m:r>
              <m:r>
                <m:t>3</m:t>
              </m:r>
            </m:oMath>
            <w:r>
              <w:t xml:space="preserve"> </w:t>
            </w:r>
            <w:r>
              <w:t xml:space="preserve">dB</w:t>
            </w:r>
          </w:p>
        </w:tc>
        <w:tc>
          <w:tcPr/>
          <w:p>
            <w:pPr>
              <w:pStyle w:val="Compact"/>
              <w:jc w:val="left"/>
            </w:pPr>
            <w:r>
              <w:t xml:space="preserve">Mixed to Rs (0 dB)</w:t>
            </w:r>
          </w:p>
        </w:tc>
        <w:tc>
          <w:tcPr/>
          <w:p>
            <w:pPr>
              <w:pStyle w:val="Compact"/>
              <w:jc w:val="left"/>
            </w:pPr>
            <w:r>
              <w:t xml:space="preserve">Rsr speaker</w:t>
            </w:r>
          </w:p>
        </w:tc>
        <w:tc>
          <w:tcPr/>
          <w:p>
            <w:pPr>
              <w:pStyle w:val="Compact"/>
              <w:jc w:val="left"/>
            </w:pPr>
            <w:r>
              <w:t xml:space="preserve">Rsr speaker</w:t>
            </w:r>
          </w:p>
        </w:tc>
        <w:tc>
          <w:tcPr/>
          <w:p>
            <w:pPr>
              <w:pStyle w:val="Compact"/>
              <w:jc w:val="left"/>
            </w:pPr>
            <w:r>
              <w:t xml:space="preserve">Right rear array</w:t>
            </w:r>
          </w:p>
        </w:tc>
      </w:tr>
      <w:tr>
        <w:tc>
          <w:tcPr/>
          <w:p>
            <w:pPr>
              <w:pStyle w:val="Compact"/>
              <w:jc w:val="left"/>
            </w:pPr>
            <w:r>
              <w:t xml:space="preserve">Lts (9)</w:t>
            </w:r>
          </w:p>
        </w:tc>
        <w:tc>
          <w:tcPr/>
          <w:p>
            <w:pPr>
              <w:pStyle w:val="Compact"/>
              <w:jc w:val="left"/>
            </w:pPr>
            <w:r>
              <w:t xml:space="preserve">Lo fold-down</w:t>
            </w:r>
          </w:p>
        </w:tc>
        <w:tc>
          <w:tcPr/>
          <w:p>
            <w:pPr>
              <w:pStyle w:val="Compact"/>
              <w:jc w:val="left"/>
            </w:pPr>
            <w:r>
              <w:t xml:space="preserve">Front L mix</w:t>
            </w:r>
          </w:p>
        </w:tc>
        <w:tc>
          <w:tcPr/>
          <w:p>
            <w:pPr>
              <w:pStyle w:val="Compact"/>
              <w:jc w:val="left"/>
            </w:pPr>
            <w:r>
              <w:t xml:space="preserve">Front L mix</w:t>
            </w:r>
          </w:p>
        </w:tc>
        <w:tc>
          <w:tcPr/>
          <w:p>
            <w:pPr>
              <w:pStyle w:val="Compact"/>
              <w:jc w:val="left"/>
            </w:pPr>
            <w:r>
              <w:t xml:space="preserve">Lts overhead</w:t>
            </w:r>
          </w:p>
        </w:tc>
        <w:tc>
          <w:tcPr/>
          <w:p>
            <w:pPr>
              <w:pStyle w:val="Compact"/>
              <w:jc w:val="left"/>
            </w:pPr>
            <w:r>
              <w:t xml:space="preserve">Left overhead array</w:t>
            </w:r>
          </w:p>
        </w:tc>
      </w:tr>
      <w:tr>
        <w:tc>
          <w:tcPr/>
          <w:p>
            <w:pPr>
              <w:pStyle w:val="Compact"/>
              <w:jc w:val="left"/>
            </w:pPr>
            <w:r>
              <w:t xml:space="preserve">Rts (10)</w:t>
            </w:r>
          </w:p>
        </w:tc>
        <w:tc>
          <w:tcPr/>
          <w:p>
            <w:pPr>
              <w:pStyle w:val="Compact"/>
              <w:jc w:val="left"/>
            </w:pPr>
            <w:r>
              <w:t xml:space="preserve">Ro fold-down</w:t>
            </w:r>
          </w:p>
        </w:tc>
        <w:tc>
          <w:tcPr/>
          <w:p>
            <w:pPr>
              <w:pStyle w:val="Compact"/>
              <w:jc w:val="left"/>
            </w:pPr>
            <w:r>
              <w:t xml:space="preserve">Front R mix</w:t>
            </w:r>
          </w:p>
        </w:tc>
        <w:tc>
          <w:tcPr/>
          <w:p>
            <w:pPr>
              <w:pStyle w:val="Compact"/>
              <w:jc w:val="left"/>
            </w:pPr>
            <w:r>
              <w:t xml:space="preserve">Front R mix</w:t>
            </w:r>
          </w:p>
        </w:tc>
        <w:tc>
          <w:tcPr/>
          <w:p>
            <w:pPr>
              <w:pStyle w:val="Compact"/>
              <w:jc w:val="left"/>
            </w:pPr>
            <w:r>
              <w:t xml:space="preserve">Rts overhead</w:t>
            </w:r>
          </w:p>
        </w:tc>
        <w:tc>
          <w:tcPr/>
          <w:p>
            <w:pPr>
              <w:pStyle w:val="Compact"/>
              <w:jc w:val="left"/>
            </w:pPr>
            <w:r>
              <w:t xml:space="preserve">Right overhead array</w:t>
            </w:r>
          </w:p>
        </w:tc>
      </w:tr>
    </w:tbl>
    <w:p>
      <w:pPr>
        <w:pStyle w:val="BodyText"/>
      </w:pPr>
      <w:r>
        <w:t xml:space="preserve">The table reveals the Renderer’s fold-down logic across the configuration spectrum. At the stereo extreme, all spatial differentiation collapses into two channels: the center becomes a phantom image, surrounds fold to fronts, height content redistributes to front L/R, and LFE is lost. In 5.1, rear surrounds sum with side surrounds (5.1 has no dedicated rear speaker), while height channels fold to front L/R. The 7.1 layout achieves full ear-level coverage but still lacks height speakers, so Lts and Rts continue to fold downward. Only at 7.1.4 do the bed’s two overhead channels find dedicated physical speakers; the remaining two overhead positions are available exclusively for object content.</w:t>
      </w:r>
    </w:p>
    <w:p>
      <w:pPr>
        <w:pStyle w:val="BodyText"/>
      </w:pPr>
      <w:r>
        <w:t xml:space="preserve">In theatrical configurations, the mapping changes qualitatively: each bed channel feeds a</w:t>
      </w:r>
      <w:r>
        <w:t xml:space="preserve"> </w:t>
      </w:r>
      <w:r>
        <w:rPr>
          <w:iCs/>
          <w:i/>
        </w:rPr>
        <w:t xml:space="preserve">speaker array</w:t>
      </w:r>
      <w:r>
        <w:t xml:space="preserve"> </w:t>
      </w:r>
      <w:r>
        <w:t xml:space="preserve">rather than a single driver — the Ls channel activates all left side surround speakers simultaneously</w:t>
      </w:r>
      <w:r>
        <w:t xml:space="preserve"> </w:t>
      </w:r>
      <w:fldSimple w:instr="NOTEREF _Ref_Footnote_32 \h \f">
        <w:r>
          <w:rPr>
            <w:vertAlign w:val="superscript"/>
          </w:rPr>
          <w:t>32</w:t>
        </w:r>
      </w:fldSimple>
      <w:r>
        <w:t xml:space="preserve"> </w:t>
      </w:r>
      <w:fldSimple w:instr="NOTEREF _Ref_Footnote_36 \h \f">
        <w:r>
          <w:rPr>
            <w:vertAlign w:val="superscript"/>
          </w:rPr>
          <w:t>36</w:t>
        </w:r>
      </w:fldSimple>
      <w:r>
        <w:t xml:space="preserve">. This array-activation behavior is a key reason beds persist in cinema workflows: a single object would activate only one speaker, lacking the enveloping quality of a full side-array signal.</w:t>
      </w:r>
    </w:p>
    <w:p>
      <w:pPr>
        <w:pStyle w:val="BodyText"/>
      </w:pPr>
      <w:r>
        <w:t xml:space="preserve">During spatial coding for home delivery, bed channels not reserved in an output bed configuration are converted to</w:t>
      </w:r>
      <w:r>
        <w:t xml:space="preserve"> </w:t>
      </w:r>
      <w:r>
        <w:rPr>
          <w:bCs/>
          <w:b/>
        </w:rPr>
        <w:t xml:space="preserve">static objects</w:t>
      </w:r>
      <w:r>
        <w:t xml:space="preserve"> </w:t>
      </w:r>
      <w:r>
        <w:t xml:space="preserve">at predefined canonical positions</w:t>
      </w:r>
      <w:r>
        <w:t xml:space="preserve"> </w:t>
      </w:r>
      <w:fldSimple w:instr="NOTEREF _Ref_Footnote_14 \h \f">
        <w:r>
          <w:rPr>
            <w:vertAlign w:val="superscript"/>
          </w:rPr>
          <w:t>14</w:t>
        </w:r>
      </w:fldSimple>
      <w:r>
        <w:t xml:space="preserve">. These static objects cluster with dynamic objects into 12–16 elements for DD+ JOC (Dolby Digital Plus Joint Object Coding) delivery</w:t>
      </w:r>
      <w:r>
        <w:t xml:space="preserve"> </w:t>
      </w:r>
      <w:r>
        <w:rPr>
          <w:vertAlign w:val="superscript"/>
        </w:rPr>
        <w:footnoteReference w:id="40"/>
      </w:r>
      <w:r>
        <w:t xml:space="preserve"> </w:t>
      </w:r>
      <w:r>
        <w:rPr>
          <w:vertAlign w:val="superscript"/>
        </w:rPr>
        <w:footnoteReference w:id="41"/>
      </w:r>
      <w:r>
        <w:t xml:space="preserve">. Even content authored as beds ultimately traverses the object rendering pipeline — a design choice that underscores the hybrid nature of the Atmos architecture and preserves the creative intent encoded in the bed’s channel relationships across all playback configurations.</w:t>
      </w:r>
    </w:p>
    <w:p>
      <w:r>
        <w:pict>
          <v:rect style="width:0;height:1.5pt" o:hralign="center" o:hrstd="t" o:hr="t"/>
        </w:pict>
      </w:r>
    </w:p>
    <w:bookmarkEnd w:id="40"/>
    <w:bookmarkEnd w:id="41"/>
    <w:bookmarkEnd w:id="42"/>
    <w:bookmarkStart w:id="59" w:name="X8760bb7ae45835437a147361c46eaac7f7afccc"/>
    <w:p>
      <w:pPr>
        <w:pStyle w:val="Heading2"/>
      </w:pPr>
      <w:r>
        <w:t xml:space="preserve">3. Atmos Objects: The Heart of Immersive Audio</w:t>
      </w:r>
    </w:p>
    <w:p>
      <w:pPr>
        <w:pStyle w:val="FirstParagraph"/>
      </w:pPr>
      <w:r>
        <w:t xml:space="preserve">The bed architecture provides the spatial foundation of a Dolby Atmos mix, but it is the object layer that delivers the format’s defining capability: free positioning of discrete sound sources anywhere within a three-dimensional volume, independent of any fixed speaker layout. This chapter dissects the internal structure of Atmos objects, the Object Audio Metadata (OAMD) stream that governs their rendering behavior, and the perceptual controls—size, snap tolerance, and dynamic updates—that allow a mixer to shape not only where a sound is heard but how it occupies space.</w:t>
      </w:r>
    </w:p>
    <w:bookmarkStart w:id="46" w:name="object-structure-and-oamd-metadata"/>
    <w:p>
      <w:pPr>
        <w:pStyle w:val="Heading3"/>
      </w:pPr>
      <w:r>
        <w:t xml:space="preserve">3.1 Object Structure and OAMD Metadata</w:t>
      </w:r>
    </w:p>
    <w:bookmarkStart w:id="43" w:name="Xc0f9271de73cd8824e630c3a732c2c47e6fc88a"/>
    <w:p>
      <w:pPr>
        <w:pStyle w:val="Heading4"/>
      </w:pPr>
      <w:r>
        <w:t xml:space="preserve">3.1.1 Object Anatomy: Mono or Stereo Signal Plus Time-Varying OAMD</w:t>
      </w:r>
    </w:p>
    <w:p>
      <w:pPr>
        <w:pStyle w:val="FirstParagraph"/>
      </w:pPr>
      <w:r>
        <w:t xml:space="preserve">An Atmos object is a logical construct consisting of a mono or stereo audio signal paired with a temporally synchronized stream of Object Audio Metadata (OAMD)</w:t>
      </w:r>
      <w:r>
        <w:rPr>
          <w:vertAlign w:val="superscript"/>
        </w:rPr>
        <w:footnoteReference w:id="42"/>
      </w:r>
      <w:r>
        <w:t xml:space="preserve"> </w:t>
      </w:r>
      <w:r>
        <w:rPr>
          <w:vertAlign w:val="superscript"/>
        </w:rPr>
        <w:footnoteReference w:id="43"/>
      </w:r>
      <w:r>
        <w:t xml:space="preserve">. The audio signal itself is conventional pulse-code modulation—typically 48 kHz, 24-bit—and is indistinguishable from any other DAW track until it reaches the renderer. The spatial behavior is encoded entirely in the metadata stream, which travels on a separate pathway from the audio essence</w:t>
      </w:r>
      <w:r>
        <w:rPr>
          <w:vertAlign w:val="superscript"/>
        </w:rPr>
        <w:footnoteReference w:id="44"/>
      </w:r>
      <w:r>
        <w:t xml:space="preserve">. In the 128-channel authoring architecture, a 7.1.2 bed consumes 10 channels, leaving up to 118 slots for mono objects</w:t>
      </w:r>
      <w:fldSimple w:instr="NOTEREF _Ref_Footnote_16 \h \f">
        <w:r>
          <w:rPr>
            <w:vertAlign w:val="superscript"/>
          </w:rPr>
          <w:t>16</w:t>
        </w:r>
      </w:fldSimple>
      <w:r>
        <w:t xml:space="preserve">. A stereo object consumes two slots because its left and right components require independent signal paths while sharing a single metadata instance</w:t>
      </w:r>
      <w:r>
        <w:rPr>
          <w:vertAlign w:val="superscript"/>
        </w:rPr>
        <w:footnoteReference w:id="45"/>
      </w:r>
      <w:r>
        <w:t xml:space="preserve">. Objects cannot route directly to the LFE channel; only bed channels have this privilege</w:t>
      </w:r>
      <w:fldSimple w:instr="NOTEREF _Ref_Footnote_33 \h \f">
        <w:r>
          <w:rPr>
            <w:vertAlign w:val="superscript"/>
          </w:rPr>
          <w:t>33</w:t>
        </w:r>
      </w:fldSimple>
      <w:r>
        <w:t xml:space="preserve">, making the bed mandatory in any mix requiring subwoofer content.</w:t>
      </w:r>
    </w:p>
    <w:bookmarkEnd w:id="43"/>
    <w:bookmarkStart w:id="44" w:name="X7721e44ed7baa560dde2f43d4bb2aa119da99ac"/>
    <w:p>
      <w:pPr>
        <w:pStyle w:val="Heading4"/>
      </w:pPr>
      <w:r>
        <w:t xml:space="preserve">3.1.2 OAMD Coordinate System: The Allocentric Normalized Cube</w:t>
      </w:r>
    </w:p>
    <w:p>
      <w:pPr>
        <w:pStyle w:val="FirstParagraph"/>
      </w:pPr>
      <w:r>
        <w:t xml:space="preserve">Dolby Atmos adopts an</w:t>
      </w:r>
      <w:r>
        <w:t xml:space="preserve"> </w:t>
      </w:r>
      <w:r>
        <w:rPr>
          <w:bCs/>
          <w:b/>
        </w:rPr>
        <w:t xml:space="preserve">allocentric</w:t>
      </w:r>
      <w:r>
        <w:t xml:space="preserve"> </w:t>
      </w:r>
      <w:r>
        <w:t xml:space="preserve">(environment-relative) frame of reference, meaning object coordinates are defined relative to room geometry rather than the listener’s head position—a design choice documented by Riedmiller and Tsingos of Dolby Laboratories</w:t>
      </w:r>
      <w:r>
        <w:rPr>
          <w:vertAlign w:val="superscript"/>
        </w:rPr>
        <w:footnoteReference w:id="46"/>
      </w:r>
      <w:r>
        <w:t xml:space="preserve">. This ensures scene independence: a mix authored on one stage translates to any playback environment because the coordinate system does not encode listener-specific cues.</w:t>
      </w:r>
    </w:p>
    <w:p>
      <w:pPr>
        <w:pStyle w:val="BodyText"/>
      </w:pPr>
      <w:r>
        <w:t xml:space="preserve">SMPTE ST 2098-1 defines the coordinate system as a Cartesian room-normalized unit cube</w:t>
      </w:r>
      <w:fldSimple w:instr="NOTEREF _Ref_Footnote_13 \h \f">
        <w:r>
          <w:rPr>
            <w:vertAlign w:val="superscript"/>
          </w:rPr>
          <w:t>13</w:t>
        </w:r>
      </w:fldSimple>
      <w:r>
        <w:t xml:space="preserve">: the</w:t>
      </w:r>
      <w:r>
        <w:t xml:space="preserve"> </w:t>
      </w:r>
      <w:r>
        <w:rPr>
          <w:bCs/>
          <w:b/>
        </w:rPr>
        <w:t xml:space="preserve">X-axis</w:t>
      </w:r>
      <w:r>
        <w:t xml:space="preserve"> </w:t>
      </w:r>
      <w:r>
        <w:t xml:space="preserve">spans Left to Right (0 or −1 to 1), the</w:t>
      </w:r>
      <w:r>
        <w:t xml:space="preserve"> </w:t>
      </w:r>
      <w:r>
        <w:rPr>
          <w:bCs/>
          <w:b/>
        </w:rPr>
        <w:t xml:space="preserve">Y-axis</w:t>
      </w:r>
      <w:r>
        <w:t xml:space="preserve"> </w:t>
      </w:r>
      <w:r>
        <w:t xml:space="preserve">spans Front to Back (0 or −1 to 1), and the</w:t>
      </w:r>
      <w:r>
        <w:t xml:space="preserve"> </w:t>
      </w:r>
      <w:r>
        <w:rPr>
          <w:bCs/>
          <w:b/>
        </w:rPr>
        <w:t xml:space="preserve">Z-axis</w:t>
      </w:r>
      <w:r>
        <w:t xml:space="preserve"> </w:t>
      </w:r>
      <w:r>
        <w:t xml:space="preserve">spans Bottom to Top (listening plane at 0, ceiling at 1). The IAB cinema format uses [0, 1] normalization, while PMD broadcast and many DAW implementations use [−1, 1] for X and Y</w:t>
      </w:r>
      <w:fldSimple w:instr="NOTEREF _Ref_Footnote_9 \h \f">
        <w:r>
          <w:rPr>
            <w:vertAlign w:val="superscript"/>
          </w:rPr>
          <w:t>9</w:t>
        </w:r>
      </w:fldSimple>
      <w:r>
        <w:t xml:space="preserve"> </w:t>
      </w:r>
      <w:r>
        <w:rPr>
          <w:vertAlign w:val="superscript"/>
        </w:rPr>
        <w:footnoteReference w:id="47"/>
      </w:r>
      <w:r>
        <w:t xml:space="preserve">. The renderer maps these normalized coordinates to physical speaker positions via VBAP triplet selection (detailed in Chapter 4). The Z coordinate can theoretically extend below the listening plane (Z &lt; 0), though consumer workflows constrain Z to [0, 1]</w:t>
      </w:r>
      <w:r>
        <w:rPr>
          <w:vertAlign w:val="superscript"/>
        </w:rPr>
        <w:footnoteReference w:id="48"/>
      </w:r>
      <w:r>
        <w:t xml:space="preserve">, creating the elevation gap discussed in Chapter 2.</w:t>
      </w:r>
    </w:p>
    <w:bookmarkEnd w:id="44"/>
    <w:bookmarkStart w:id="45" w:name="X931bf3b837a85bda962bb8fa91cd358a26fea2a"/>
    <w:p>
      <w:pPr>
        <w:pStyle w:val="Heading4"/>
      </w:pPr>
      <w:r>
        <w:t xml:space="preserve">3.1.3 Metadata Parameters: Position, Size, Snap Tolerance, Zone Gain, and Binaural Mode</w:t>
      </w:r>
    </w:p>
    <w:p>
      <w:pPr>
        <w:pStyle w:val="FirstParagraph"/>
      </w:pPr>
      <w:r>
        <w:t xml:space="preserve">OAMD comprises five functional field categories standardized in SMPTE ST 2098-1 and implemented in Dolby’s PMD format.</w:t>
      </w:r>
      <w:r>
        <w:t xml:space="preserve"> </w:t>
      </w:r>
      <w:r>
        <w:rPr>
          <w:bCs/>
          <w:b/>
        </w:rPr>
        <w:t xml:space="preserve">Core position fields</w:t>
      </w:r>
      <w:r>
        <w:t xml:space="preserve"> </w:t>
      </w:r>
      <w:r>
        <w:t xml:space="preserve">(X_Pos, Y_Pos, Z_Pos) provide the primary inputs to VBAP gain calculation.</w:t>
      </w:r>
      <w:r>
        <w:t xml:space="preserve"> </w:t>
      </w:r>
      <w:r>
        <w:rPr>
          <w:bCs/>
          <w:b/>
        </w:rPr>
        <w:t xml:space="preserve">Size and spread fields</w:t>
      </w:r>
      <w:r>
        <w:t xml:space="preserve"> </w:t>
      </w:r>
      <w:r>
        <w:t xml:space="preserve">include</w:t>
      </w:r>
      <w:r>
        <w:t xml:space="preserve"> </w:t>
      </w:r>
      <w:r>
        <w:rPr>
          <w:rStyle w:val="VerbatimChar"/>
        </w:rPr>
        <w:t xml:space="preserve">Size</w:t>
      </w:r>
      <w:r>
        <w:t xml:space="preserve"> </w:t>
      </w:r>
      <w:r>
        <w:t xml:space="preserve">(0–100 in DAWs, 0.0–1.0 normalized), which controls spatial extent via MDAP spreading</w:t>
      </w:r>
      <w:fldSimple w:instr="NOTEREF _Ref_Footnote_8 \h \f">
        <w:r>
          <w:rPr>
            <w:vertAlign w:val="superscript"/>
          </w:rPr>
          <w:t>8</w:t>
        </w:r>
      </w:fldSimple>
      <w:r>
        <w:t xml:space="preserve">;</w:t>
      </w:r>
      <w:r>
        <w:t xml:space="preserve"> </w:t>
      </w:r>
      <w:r>
        <w:rPr>
          <w:rStyle w:val="VerbatimChar"/>
        </w:rPr>
        <w:t xml:space="preserve">Size_Vertical</w:t>
      </w:r>
      <w:r>
        <w:t xml:space="preserve">, which constrains 3D spread to a 2D disc when disabled</w:t>
      </w:r>
      <w:r>
        <w:rPr>
          <w:vertAlign w:val="superscript"/>
        </w:rPr>
        <w:footnoteReference w:id="49"/>
      </w:r>
      <w:r>
        <w:t xml:space="preserve">; and</w:t>
      </w:r>
      <w:r>
        <w:t xml:space="preserve"> </w:t>
      </w:r>
      <w:r>
        <w:rPr>
          <w:rStyle w:val="VerbatimChar"/>
        </w:rPr>
        <w:t xml:space="preserve">ObjectSpreadMode</w:t>
      </w:r>
      <w:r>
        <w:t xml:space="preserve">, which selects between 1D, low-resolution, and full 3D spreading per ST 2098-2</w:t>
      </w:r>
      <w:r>
        <w:rPr>
          <w:vertAlign w:val="superscript"/>
        </w:rPr>
        <w:footnoteReference w:id="50"/>
      </w:r>
      <w:r>
        <w:t xml:space="preserve">.</w:t>
      </w:r>
      <w:r>
        <w:t xml:space="preserve"> </w:t>
      </w:r>
      <w:r>
        <w:rPr>
          <w:bCs/>
          <w:b/>
        </w:rPr>
        <w:t xml:space="preserve">Rendering control fields</w:t>
      </w:r>
      <w:r>
        <w:t xml:space="preserve"> </w:t>
      </w:r>
      <w:r>
        <w:t xml:space="preserve">include</w:t>
      </w:r>
      <w:r>
        <w:t xml:space="preserve"> </w:t>
      </w:r>
      <w:r>
        <w:rPr>
          <w:rStyle w:val="VerbatimChar"/>
        </w:rPr>
        <w:t xml:space="preserve">SnapToExists</w:t>
      </w:r>
      <w:r>
        <w:t xml:space="preserve"> </w:t>
      </w:r>
      <w:r>
        <w:t xml:space="preserve">and</w:t>
      </w:r>
      <w:r>
        <w:t xml:space="preserve"> </w:t>
      </w:r>
      <w:r>
        <w:rPr>
          <w:rStyle w:val="VerbatimChar"/>
        </w:rPr>
        <w:t xml:space="preserve">ObjectSnapTolerance</w:t>
      </w:r>
      <w:r>
        <w:t xml:space="preserve"> </w:t>
      </w:r>
      <w:r>
        <w:t xml:space="preserve">for timbre-position tradeoffs</w:t>
      </w:r>
      <w:r>
        <w:rPr>
          <w:vertAlign w:val="superscript"/>
        </w:rPr>
        <w:footnoteReference w:id="51"/>
      </w:r>
      <w:r>
        <w:t xml:space="preserve">,</w:t>
      </w:r>
      <w:r>
        <w:t xml:space="preserve"> </w:t>
      </w:r>
      <w:r>
        <w:rPr>
          <w:rStyle w:val="VerbatimChar"/>
        </w:rPr>
        <w:t xml:space="preserve">ObjectDecorCoeff</w:t>
      </w:r>
      <w:r>
        <w:t xml:space="preserve"> </w:t>
      </w:r>
      <w:r>
        <w:t xml:space="preserve">for decorrelation</w:t>
      </w:r>
      <w:r>
        <w:rPr>
          <w:vertAlign w:val="superscript"/>
        </w:rPr>
        <w:footnoteReference w:id="52"/>
      </w:r>
      <w:r>
        <w:t xml:space="preserve">, and</w:t>
      </w:r>
      <w:r>
        <w:t xml:space="preserve"> </w:t>
      </w:r>
      <w:r>
        <w:rPr>
          <w:rStyle w:val="VerbatimChar"/>
        </w:rPr>
        <w:t xml:space="preserve">BinauralRenderMode</w:t>
      </w:r>
      <w:r>
        <w:t xml:space="preserve"> </w:t>
      </w:r>
      <w:r>
        <w:t xml:space="preserve">(Off/Near/Mid/Far) for headphone distance modeling.</w:t>
      </w:r>
      <w:r>
        <w:t xml:space="preserve"> </w:t>
      </w:r>
      <w:r>
        <w:rPr>
          <w:bCs/>
          <w:b/>
        </w:rPr>
        <w:t xml:space="preserve">Zone metadata</w:t>
      </w:r>
      <w:r>
        <w:t xml:space="preserve"> </w:t>
      </w:r>
      <w:r>
        <w:t xml:space="preserve">(</w:t>
      </w:r>
      <w:r>
        <w:rPr>
          <w:rStyle w:val="VerbatimChar"/>
        </w:rPr>
        <w:t xml:space="preserve">ZoneControl</w:t>
      </w:r>
      <w:r>
        <w:t xml:space="preserve">,</w:t>
      </w:r>
      <w:r>
        <w:t xml:space="preserve"> </w:t>
      </w:r>
      <w:r>
        <w:rPr>
          <w:rStyle w:val="VerbatimChar"/>
        </w:rPr>
        <w:t xml:space="preserve">ZoneGain</w:t>
      </w:r>
      <w:r>
        <w:t xml:space="preserve">) allows exclusion of specific speaker groups from rendering an individual object, partitioning the array into non-overlapping regions</w:t>
      </w:r>
      <w:fldSimple w:instr="NOTEREF _Ref_Footnote_12 \h \f">
        <w:r>
          <w:rPr>
            <w:vertAlign w:val="superscript"/>
          </w:rPr>
          <w:t>12</w:t>
        </w:r>
      </w:fldSimple>
      <w:r>
        <w:t xml:space="preserve"> </w:t>
      </w:r>
      <w:r>
        <w:rPr>
          <w:vertAlign w:val="superscript"/>
        </w:rPr>
        <w:footnoteReference w:id="53"/>
      </w:r>
      <w:r>
        <w:t xml:space="preserve">.</w:t>
      </w:r>
      <w:r>
        <w:t xml:space="preserve"> </w:t>
      </w:r>
      <w:r>
        <w:rPr>
          <w:bCs/>
          <w:b/>
        </w:rPr>
        <w:t xml:space="preserve">Classification fields</w:t>
      </w:r>
      <w:r>
        <w:t xml:space="preserve"> </w:t>
      </w:r>
      <w:r>
        <w:t xml:space="preserve">include</w:t>
      </w:r>
      <w:r>
        <w:t xml:space="preserve"> </w:t>
      </w:r>
      <w:r>
        <w:rPr>
          <w:rStyle w:val="VerbatimChar"/>
        </w:rPr>
        <w:t xml:space="preserve">Class</w:t>
      </w:r>
      <w:r>
        <w:t xml:space="preserve"> </w:t>
      </w:r>
      <w:r>
        <w:t xml:space="preserve">(Dialog, VDS, Voiceover, Generic) for conditional routing and</w:t>
      </w:r>
      <w:r>
        <w:t xml:space="preserve"> </w:t>
      </w:r>
      <w:r>
        <w:rPr>
          <w:rStyle w:val="VerbatimChar"/>
        </w:rPr>
        <w:t xml:space="preserve">DynamicUpdates</w:t>
      </w:r>
      <w:r>
        <w:t xml:space="preserve"> </w:t>
      </w:r>
      <w:r>
        <w:t xml:space="preserve">for signaling intra-frame motion</w:t>
      </w:r>
      <w:r>
        <w:rPr>
          <w:vertAlign w:val="superscript"/>
        </w:rPr>
        <w:footnoteReference w:id="54"/>
      </w:r>
      <w:r>
        <w:t xml:space="preserve">.</w:t>
      </w:r>
    </w:p>
    <w:bookmarkEnd w:id="45"/>
    <w:bookmarkEnd w:id="46"/>
    <w:bookmarkStart w:id="50" w:name="object-size-and-spatial-extent"/>
    <w:p>
      <w:pPr>
        <w:pStyle w:val="Heading3"/>
      </w:pPr>
      <w:r>
        <w:t xml:space="preserve">3.2 Object Size and Spatial Extent</w:t>
      </w:r>
    </w:p>
    <w:bookmarkStart w:id="47" w:name="X334c1f5431913f971c8a316b1faaa0cc675683b"/>
    <w:p>
      <w:pPr>
        <w:pStyle w:val="Heading4"/>
      </w:pPr>
      <w:r>
        <w:t xml:space="preserve">3.2.1 Size Parameter Mechanics: MDAP Spread Control</w:t>
      </w:r>
    </w:p>
    <w:p>
      <w:pPr>
        <w:pStyle w:val="FirstParagraph"/>
      </w:pPr>
      <w:r>
        <w:t xml:space="preserve">The size parameter determines how an object’s energy distributes across the speaker array by modulating MDAP (Multiple Direction Amplitude Panning) spread. MDAP, introduced by Pulkki in 1999, addresses a fundamental VBAP limitation: perceived source width collapses when the panning direction aligns with a single loudspeaker and broadens only between speakers</w:t>
      </w:r>
      <w:fldSimple w:instr="NOTEREF _Ref_Footnote_9 \h \f">
        <w:r>
          <w:rPr>
            <w:vertAlign w:val="superscript"/>
          </w:rPr>
          <w:t>9</w:t>
        </w:r>
      </w:fldSimple>
      <w:r>
        <w:t xml:space="preserve">. MDAP solves this by panning the same signal to multiple virtual directions simultaneously, creating auxiliary spread sources around the primary direction</w:t>
      </w:r>
      <w:fldSimple w:instr="NOTEREF _Ref_Footnote_47 \h \f">
        <w:r>
          <w:rPr>
            <w:vertAlign w:val="superscript"/>
          </w:rPr>
          <w:t>47</w:t>
        </w:r>
      </w:fldSimple>
      <w:r>
        <w:t xml:space="preserve">.</w:t>
      </w:r>
    </w:p>
    <w:p>
      <w:pPr>
        <w:pStyle w:val="BodyText"/>
      </w:pPr>
      <w:r>
        <w:t xml:space="preserve">The Dolby PMD guide describes the behavior physically: at size = 0, all energy emanates from the nearest speaker; as size increases, a sphere of energy grows outward</w:t>
      </w:r>
      <w:r>
        <w:t xml:space="preserve"> </w:t>
      </w:r>
      <w:r>
        <w:t xml:space="preserve">“</w:t>
      </w:r>
      <w:r>
        <w:t xml:space="preserve">as if inflating a balloon,</w:t>
      </w:r>
      <w:r>
        <w:t xml:space="preserve">”</w:t>
      </w:r>
      <w:r>
        <w:t xml:space="preserve"> </w:t>
      </w:r>
      <w:r>
        <w:t xml:space="preserve">distributing sound to additional speakers while total energy remains constant</w:t>
      </w:r>
      <w:r>
        <w:rPr>
          <w:vertAlign w:val="superscript"/>
        </w:rPr>
        <w:footnoteReference w:id="55"/>
      </w:r>
      <w:r>
        <w:t xml:space="preserve">. The renderer achieves this by progressively engaging more speakers surrounding the object’s position, with per-speaker gains scaled for power preservation. Expert speculation suggests peripheral channels may receive the signal through short decorrelation filters, producing a slightly more diffuse timbre</w:t>
      </w:r>
      <w:r>
        <w:rPr>
          <w:vertAlign w:val="superscript"/>
        </w:rPr>
        <w:footnoteReference w:id="56"/>
      </w:r>
      <w:r>
        <w:t xml:space="preserve">.</w:t>
      </w:r>
    </w:p>
    <w:bookmarkEnd w:id="47"/>
    <w:bookmarkStart w:id="48" w:name="size-0-as-point-source"/>
    <w:p>
      <w:pPr>
        <w:pStyle w:val="Heading4"/>
      </w:pPr>
      <w:r>
        <w:t xml:space="preserve">3.2.2 Size = 0 as Point Source</w:t>
      </w:r>
    </w:p>
    <w:p>
      <w:pPr>
        <w:pStyle w:val="FirstParagraph"/>
      </w:pPr>
      <w:r>
        <w:t xml:space="preserve">At size = 0, the object is a true point source: the renderer selects the single nearest speaker (or active VBAP triplet for inter-speaker positions) and concentrates all energy there. This yields the sharpest localization and is appropriate for dialogue, solo instruments, and any source requiring precise placement. For stereo objects, size controls the spread of the stereo pair while maintaining left-right angular separation relative to the center point. The energy conservation property of MDAP ensures that integrated loudness remains constant regardless of size setting—only the spatial distribution changes.</w:t>
      </w:r>
    </w:p>
    <w:bookmarkEnd w:id="48"/>
    <w:bookmarkStart w:id="49" w:name="X7bba57ab93f88a833184f98ed2c10bbab61ee02"/>
    <w:p>
      <w:pPr>
        <w:pStyle w:val="Heading4"/>
      </w:pPr>
      <w:r>
        <w:t xml:space="preserve">3.2.3 Practical Limit: Size &gt; 20 Risks Spatial Coding Artifacts</w:t>
      </w:r>
    </w:p>
    <w:p>
      <w:pPr>
        <w:pStyle w:val="FirstParagraph"/>
      </w:pPr>
      <w:r>
        <w:t xml:space="preserve">When size exceeds approximately 20 (on the 0–100 DAW scale), the object’s spatial footprint can span multiple spatial coding clusters</w:t>
      </w:r>
      <w:r>
        <w:rPr>
          <w:vertAlign w:val="superscript"/>
        </w:rPr>
        <w:footnoteReference w:id="57"/>
      </w:r>
      <w:r>
        <w:t xml:space="preserve">. Spatial coding reduces 128 authoring channels to 12–16 elements for DD+ JOC delivery by grouping nearby objects based on proximity and perceptual loudness</w:t>
      </w:r>
      <w:fldSimple w:instr="NOTEREF _Ref_Footnote_19 \h \f">
        <w:r>
          <w:rPr>
            <w:vertAlign w:val="superscript"/>
          </w:rPr>
          <w:t>19</w:t>
        </w:r>
      </w:fldSimple>
      <w:r>
        <w:t xml:space="preserve">. An oversized object intersecting multiple clusters causes decorrelation artifacts—the same source is encoded through independent cluster paths, producing a split or phase-incoherent image. For streaming content where spatial coding is mandatory, conservative size settings (0–15) are recommended for sources requiring tight spatial focus.</w:t>
      </w:r>
    </w:p>
    <w:bookmarkEnd w:id="49"/>
    <w:bookmarkEnd w:id="50"/>
    <w:bookmarkStart w:id="53" w:name="snap-to-speaker-and-timbre-preservation"/>
    <w:p>
      <w:pPr>
        <w:pStyle w:val="Heading3"/>
      </w:pPr>
      <w:r>
        <w:t xml:space="preserve">3.3 Snap to Speaker and Timbre Preservation</w:t>
      </w:r>
    </w:p>
    <w:bookmarkStart w:id="51" w:name="X87913586b0c66fd70abd191534870df33a503ad"/>
    <w:p>
      <w:pPr>
        <w:pStyle w:val="Heading4"/>
      </w:pPr>
      <w:r>
        <w:t xml:space="preserve">3.3.1 Snap Functionality: Forcing Object to Nearest Physical Speaker</w:t>
      </w:r>
    </w:p>
    <w:p>
      <w:pPr>
        <w:pStyle w:val="FirstParagraph"/>
      </w:pPr>
      <w:r>
        <w:t xml:space="preserve">Snap to Speaker overrides normal VBAP amplitude panning and forces an object to play exclusively from the single physical speaker nearest to its authored position</w:t>
      </w:r>
      <w:r>
        <w:rPr>
          <w:vertAlign w:val="superscript"/>
        </w:rPr>
        <w:footnoteReference w:id="58"/>
      </w:r>
      <w:r>
        <w:t xml:space="preserve"> </w:t>
      </w:r>
      <w:r>
        <w:rPr>
          <w:vertAlign w:val="superscript"/>
        </w:rPr>
        <w:footnoteReference w:id="59"/>
      </w:r>
      <w:r>
        <w:t xml:space="preserve">. The renderer abandons phantom imaging and routes the full signal to one loudspeaker, snapping to the next closest available speaker if the nearest is absent. SMPTE ST 2098-1 formalizes this through</w:t>
      </w:r>
      <w:r>
        <w:t xml:space="preserve"> </w:t>
      </w:r>
      <w:r>
        <w:rPr>
          <w:bCs/>
          <w:b/>
        </w:rPr>
        <w:t xml:space="preserve">Snap Tolerance</w:t>
      </w:r>
      <w:r>
        <w:t xml:space="preserve"> </w:t>
      </w:r>
      <w:r>
        <w:t xml:space="preserve">metadata:</w:t>
      </w:r>
      <w:r>
        <w:t xml:space="preserve"> </w:t>
      </w:r>
      <w:r>
        <w:t xml:space="preserve">“</w:t>
      </w:r>
      <w:r>
        <w:t xml:space="preserve">the degree to which preservation of object timbre has priority over preservation of object position</w:t>
      </w:r>
      <w:r>
        <w:t xml:space="preserve">”</w:t>
      </w:r>
      <w:fldSimple w:instr="NOTEREF _Ref_Footnote_51 \h \f">
        <w:r>
          <w:rPr>
            <w:vertAlign w:val="superscript"/>
          </w:rPr>
          <w:t>51</w:t>
        </w:r>
      </w:fldSimple>
      <w:r>
        <w:t xml:space="preserve">. At maximum tolerance, timbre preservation dominates—single-speaker playback avoids comb filtering from multi-speaker path-length differences. At minimum tolerance, position preservation dominates—the renderer uses amplitude panning across multiple speakers for accurate spatial placement, accepting associated timbral changes.</w:t>
      </w:r>
    </w:p>
    <w:p>
      <w:pPr>
        <w:pStyle w:val="BodyText"/>
      </w:pPr>
      <w:r>
        <w:t xml:space="preserve">Notably, Snap to Speaker does not move the pan cursor in the DAW display. The UI shows the authored position while the renderer internally snaps output; the Dolby Atmos Monitor application reveals the actual speaker being used</w:t>
      </w:r>
      <w:r>
        <w:rPr>
          <w:vertAlign w:val="superscript"/>
        </w:rPr>
        <w:footnoteReference w:id="60"/>
      </w:r>
      <w:r>
        <w:t xml:space="preserve">.</w:t>
      </w:r>
    </w:p>
    <w:bookmarkEnd w:id="51"/>
    <w:bookmarkStart w:id="52" w:name="X626e401c0a0ab347779dd4cfd2690fbd069c0e7"/>
    <w:p>
      <w:pPr>
        <w:pStyle w:val="Heading4"/>
      </w:pPr>
      <w:r>
        <w:t xml:space="preserve">3.3.2 When to Use Snap: Dialogue, Instruments, and Spectral Consistency</w:t>
      </w:r>
    </w:p>
    <w:p>
      <w:pPr>
        <w:pStyle w:val="FirstParagraph"/>
      </w:pPr>
      <w:r>
        <w:t xml:space="preserve">Snap mode is indicated whenever spectral consistency outweighs spatial precision. Dialogue is the canonical use case: a voice snapped to the center channel retains its full spectral character without phantom-center comb filtering. Solo acoustic instruments and lead vocals similarly benefit. However, the ISDCF IAB Profile 1 for cinema mandates</w:t>
      </w:r>
      <w:r>
        <w:t xml:space="preserve"> </w:t>
      </w:r>
      <w:r>
        <w:rPr>
          <w:rStyle w:val="VerbatimChar"/>
        </w:rPr>
        <w:t xml:space="preserve">ObjectSnapToExists</w:t>
      </w:r>
      <w:r>
        <w:t xml:space="preserve"> </w:t>
      </w:r>
      <w:r>
        <w:t xml:space="preserve">= 0 and prohibits</w:t>
      </w:r>
      <w:r>
        <w:t xml:space="preserve"> </w:t>
      </w:r>
      <w:r>
        <w:rPr>
          <w:rStyle w:val="VerbatimChar"/>
        </w:rPr>
        <w:t xml:space="preserve">ObjectSnapTolerance</w:t>
      </w:r>
      <w:r>
        <w:t xml:space="preserve"> </w:t>
      </w:r>
      <w:r>
        <w:t xml:space="preserve">in the bitstream</w:t>
      </w:r>
      <w:fldSimple w:instr="NOTEREF _Ref_Footnote_4 \h \f">
        <w:r>
          <w:rPr>
            <w:vertAlign w:val="superscript"/>
          </w:rPr>
          <w:t>4</w:t>
        </w:r>
      </w:fldSimple>
      <w:r>
        <w:t xml:space="preserve">, meaning cinema distribution standardizes to non-snapped rendering regardless of authoring intent. Home entertainment workflows retain full snap control, creating a divergence between theatrical and consumer rendering for the same mastered content.</w:t>
      </w:r>
    </w:p>
    <w:bookmarkEnd w:id="52"/>
    <w:bookmarkEnd w:id="53"/>
    <w:bookmarkStart w:id="58" w:name="static-vs-dynamic-objects"/>
    <w:p>
      <w:pPr>
        <w:pStyle w:val="Heading3"/>
      </w:pPr>
      <w:r>
        <w:t xml:space="preserve">3.4 Static vs Dynamic Objects</w:t>
      </w:r>
    </w:p>
    <w:bookmarkStart w:id="54" w:name="all-objects-are-time-varying-by-default"/>
    <w:p>
      <w:pPr>
        <w:pStyle w:val="Heading4"/>
      </w:pPr>
      <w:r>
        <w:t xml:space="preserve">3.4.1 All Objects Are Time-Varying by Default</w:t>
      </w:r>
    </w:p>
    <w:p>
      <w:pPr>
        <w:pStyle w:val="FirstParagraph"/>
      </w:pPr>
      <w:r>
        <w:t xml:space="preserve">Per SMPTE ST 2098-1, all object metadata is considered dynamic (time-varying) unless explicitly stated otherwise</w:t>
      </w:r>
      <w:r>
        <w:rPr>
          <w:vertAlign w:val="superscript"/>
        </w:rPr>
        <w:footnoteReference w:id="61"/>
      </w:r>
      <w:r>
        <w:t xml:space="preserve">. The specification assumes motion; static positioning requires signaling. In PMD, the</w:t>
      </w:r>
      <w:r>
        <w:t xml:space="preserve"> </w:t>
      </w:r>
      <w:r>
        <w:rPr>
          <w:rStyle w:val="VerbatimChar"/>
        </w:rPr>
        <w:t xml:space="preserve">DynamicUpdates</w:t>
      </w:r>
      <w:r>
        <w:t xml:space="preserve"> </w:t>
      </w:r>
      <w:r>
        <w:t xml:space="preserve">flag controls intra-frame position updates—when False, the position is written once and held constant</w:t>
      </w:r>
      <w:r>
        <w:rPr>
          <w:vertAlign w:val="superscript"/>
        </w:rPr>
        <w:footnoteReference w:id="62"/>
      </w:r>
      <w:r>
        <w:t xml:space="preserve">. Static objects require no interpolation and consume less CPU and metadata bandwidth.</w:t>
      </w:r>
    </w:p>
    <w:bookmarkEnd w:id="54"/>
    <w:bookmarkStart w:id="55" w:name="X9603329d249f5ece5225959dd2af8b02b935655"/>
    <w:p>
      <w:pPr>
        <w:pStyle w:val="Heading4"/>
      </w:pPr>
      <w:r>
        <w:t xml:space="preserve">3.4.2 Metadata Update Rates: 32-Sample Increments and Pan Sub Blocks</w:t>
      </w:r>
    </w:p>
    <w:p>
      <w:pPr>
        <w:pStyle w:val="FirstParagraph"/>
      </w:pPr>
      <w:r>
        <w:t xml:space="preserve">Standard OAMD updates occur once per video frame (~41.67 ms at 24 fps). For smoother motion, ED2 and AC-4 workflows support</w:t>
      </w:r>
      <w:r>
        <w:t xml:space="preserve"> </w:t>
      </w:r>
      <w:r>
        <w:rPr>
          <w:bCs/>
          <w:b/>
        </w:rPr>
        <w:t xml:space="preserve">Dynamic Position Updates</w:t>
      </w:r>
      <w:r>
        <w:t xml:space="preserve"> </w:t>
      </w:r>
      <w:r>
        <w:t xml:space="preserve">at 32-sample increments within a frame</w:t>
      </w:r>
      <w:r>
        <w:rPr>
          <w:vertAlign w:val="superscript"/>
        </w:rPr>
        <w:footnoteReference w:id="63"/>
      </w:r>
      <w:r>
        <w:t xml:space="preserve">. The</w:t>
      </w:r>
      <w:r>
        <w:t xml:space="preserve"> </w:t>
      </w:r>
      <w:r>
        <w:rPr>
          <w:rStyle w:val="VerbatimChar"/>
        </w:rPr>
        <w:t xml:space="preserve">sample_time</w:t>
      </w:r>
      <w:r>
        <w:t xml:space="preserve"> </w:t>
      </w:r>
      <w:r>
        <w:t xml:space="preserve">parameter specifies the offset in 32-sample steps at 48 kHz, yielding an effective 1,500 Hz update rate—sufficient for fast-moving sources without audible stair-stepping. For cinema IAB delivery, SMPTE ST 2098-2 defines</w:t>
      </w:r>
      <w:r>
        <w:t xml:space="preserve"> </w:t>
      </w:r>
      <w:r>
        <w:rPr>
          <w:bCs/>
          <w:b/>
        </w:rPr>
        <w:t xml:space="preserve">Pan Sub Blocks</w:t>
      </w:r>
      <w:r>
        <w:t xml:space="preserve"> </w:t>
      </w:r>
      <w:r>
        <w:t xml:space="preserve">as IAFrame subdivisions, each carrying independent panning metadata</w:t>
      </w:r>
      <w:r>
        <w:rPr>
          <w:vertAlign w:val="superscript"/>
        </w:rPr>
        <w:footnoteReference w:id="64"/>
      </w:r>
      <w:r>
        <w:t xml:space="preserve"> </w:t>
      </w:r>
      <w:r>
        <w:rPr>
          <w:vertAlign w:val="superscript"/>
        </w:rPr>
        <w:footnoteReference w:id="65"/>
      </w:r>
      <w:r>
        <w:t xml:space="preserve">. This achieves equivalent temporal resolution within the IAB frame structure, which is locked to the picture edit rate (24–60 fps). The renderer interpolates between metadata waypoints at the audio sample rate (48 kHz or 96 kHz), ensuring that even coarse per-frame updates produce smooth speaker gain transitions without audible discontinuities.</w:t>
      </w:r>
    </w:p>
    <w:bookmarkEnd w:id="55"/>
    <w:bookmarkStart w:id="56" w:name="X2f1276af315e799706f2abdf88f4cca66c1d2bf"/>
    <w:p>
      <w:pPr>
        <w:pStyle w:val="Heading4"/>
      </w:pPr>
      <w:r>
        <w:t xml:space="preserve">3.4.3 Table: Comparison of Bed vs. Object Characteristics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Bed (Channel-Based)</w:t>
            </w:r>
          </w:p>
        </w:tc>
        <w:tc>
          <w:tcPr/>
          <w:p>
            <w:pPr>
              <w:pStyle w:val="Compact"/>
              <w:jc w:val="left"/>
            </w:pPr>
            <w:r>
              <w:t xml:space="preserve">Object (Metadata-Driven)</w:t>
            </w:r>
          </w:p>
        </w:tc>
      </w:tr>
      <w:tr>
        <w:tc>
          <w:tcPr/>
          <w:p>
            <w:pPr>
              <w:pStyle w:val="Compact"/>
              <w:jc w:val="left"/>
            </w:pPr>
            <w:r>
              <w:rPr>
                <w:bCs/>
                <w:b/>
              </w:rPr>
              <w:t xml:space="preserve">Signal structure</w:t>
            </w:r>
          </w:p>
        </w:tc>
        <w:tc>
          <w:tcPr/>
          <w:p>
            <w:pPr>
              <w:pStyle w:val="Compact"/>
              <w:jc w:val="left"/>
            </w:pPr>
            <w:r>
              <w:t xml:space="preserve">Multichannel stem routed to named channels</w:t>
            </w:r>
            <w:fldSimple w:instr="NOTEREF _Ref_Footnote_14 \h \f">
              <w:r>
                <w:rPr>
                  <w:vertAlign w:val="superscript"/>
                </w:rPr>
                <w:t>14</w:t>
              </w:r>
            </w:fldSimple>
          </w:p>
        </w:tc>
        <w:tc>
          <w:tcPr/>
          <w:p>
            <w:pPr>
              <w:pStyle w:val="Compact"/>
              <w:jc w:val="left"/>
            </w:pPr>
            <w:r>
              <w:t xml:space="preserve">Mono/stereo signal plus OAMD stream</w:t>
            </w:r>
            <w:fldSimple w:instr="NOTEREF _Ref_Footnote_42 \h \f">
              <w:r>
                <w:rPr>
                  <w:vertAlign w:val="superscript"/>
                </w:rPr>
                <w:t>42</w:t>
              </w:r>
            </w:fldSimple>
          </w:p>
        </w:tc>
      </w:tr>
      <w:tr>
        <w:tc>
          <w:tcPr/>
          <w:p>
            <w:pPr>
              <w:pStyle w:val="Compact"/>
              <w:jc w:val="left"/>
            </w:pPr>
            <w:r>
              <w:rPr>
                <w:bCs/>
                <w:b/>
              </w:rPr>
              <w:t xml:space="preserve">Positioning</w:t>
            </w:r>
          </w:p>
        </w:tc>
        <w:tc>
          <w:tcPr/>
          <w:p>
            <w:pPr>
              <w:pStyle w:val="Compact"/>
              <w:jc w:val="left"/>
            </w:pPr>
            <w:r>
              <w:t xml:space="preserve">Fixed to predefined speaker positions</w:t>
            </w:r>
          </w:p>
        </w:tc>
        <w:tc>
          <w:tcPr/>
          <w:p>
            <w:pPr>
              <w:pStyle w:val="Compact"/>
              <w:jc w:val="left"/>
            </w:pPr>
            <w:r>
              <w:t xml:space="preserve">Free 3D positioning via X, Y, Z coordinates</w:t>
            </w:r>
            <w:fldSimple w:instr="NOTEREF _Ref_Footnote_13 \h \f">
              <w:r>
                <w:rPr>
                  <w:vertAlign w:val="superscript"/>
                </w:rPr>
                <w:t>13</w:t>
              </w:r>
            </w:fldSimple>
          </w:p>
        </w:tc>
      </w:tr>
      <w:tr>
        <w:tc>
          <w:tcPr/>
          <w:p>
            <w:pPr>
              <w:pStyle w:val="Compact"/>
              <w:jc w:val="left"/>
            </w:pPr>
            <w:r>
              <w:rPr>
                <w:bCs/>
                <w:b/>
              </w:rPr>
              <w:t xml:space="preserve">Spatial movement</w:t>
            </w:r>
          </w:p>
        </w:tc>
        <w:tc>
          <w:tcPr/>
          <w:p>
            <w:pPr>
              <w:pStyle w:val="Compact"/>
              <w:jc w:val="left"/>
            </w:pPr>
            <w:r>
              <w:t xml:space="preserve">Inter-channel panning; bed moves as unit</w:t>
            </w:r>
          </w:p>
        </w:tc>
        <w:tc>
          <w:tcPr/>
          <w:p>
            <w:pPr>
              <w:pStyle w:val="Compact"/>
              <w:jc w:val="left"/>
            </w:pPr>
            <w:r>
              <w:t xml:space="preserve">Smooth 3D trajectory via per-object automation</w:t>
            </w:r>
            <w:fldSimple w:instr="NOTEREF _Ref_Footnote_54 \h \f">
              <w:r>
                <w:rPr>
                  <w:vertAlign w:val="superscript"/>
                </w:rPr>
                <w:t>54</w:t>
              </w:r>
            </w:fldSimple>
          </w:p>
        </w:tc>
      </w:tr>
      <w:tr>
        <w:tc>
          <w:tcPr/>
          <w:p>
            <w:pPr>
              <w:pStyle w:val="Compact"/>
              <w:jc w:val="left"/>
            </w:pPr>
            <w:r>
              <w:rPr>
                <w:bCs/>
                <w:b/>
              </w:rPr>
              <w:t xml:space="preserve">Metadata</w:t>
            </w:r>
          </w:p>
        </w:tc>
        <w:tc>
          <w:tcPr/>
          <w:p>
            <w:pPr>
              <w:pStyle w:val="Compact"/>
              <w:jc w:val="left"/>
            </w:pPr>
            <w:r>
              <w:t xml:space="preserve">Channel list only</w:t>
            </w:r>
          </w:p>
        </w:tc>
        <w:tc>
          <w:tcPr/>
          <w:p>
            <w:pPr>
              <w:pStyle w:val="Compact"/>
              <w:jc w:val="left"/>
            </w:pPr>
            <w:r>
              <w:t xml:space="preserve">Per-object OAMD: position, size, snap, zone gain, decorrelation</w:t>
            </w:r>
            <w:fldSimple w:instr="NOTEREF _Ref_Footnote_8 \h \f">
              <w:r>
                <w:rPr>
                  <w:vertAlign w:val="superscript"/>
                </w:rPr>
                <w:t>8</w:t>
              </w:r>
            </w:fldSimple>
          </w:p>
        </w:tc>
      </w:tr>
      <w:tr>
        <w:tc>
          <w:tcPr/>
          <w:p>
            <w:pPr>
              <w:pStyle w:val="Compact"/>
              <w:jc w:val="left"/>
            </w:pPr>
            <w:r>
              <w:rPr>
                <w:bCs/>
                <w:b/>
              </w:rPr>
              <w:t xml:space="preserve">LFE routing</w:t>
            </w:r>
          </w:p>
        </w:tc>
        <w:tc>
          <w:tcPr/>
          <w:p>
            <w:pPr>
              <w:pStyle w:val="Compact"/>
              <w:jc w:val="left"/>
            </w:pPr>
            <w:r>
              <w:t xml:space="preserve">Available via bed channels</w:t>
            </w:r>
            <w:fldSimple w:instr="NOTEREF _Ref_Footnote_33 \h \f">
              <w:r>
                <w:rPr>
                  <w:vertAlign w:val="superscript"/>
                </w:rPr>
                <w:t>33</w:t>
              </w:r>
            </w:fldSimple>
          </w:p>
        </w:tc>
        <w:tc>
          <w:tcPr/>
          <w:p>
            <w:pPr>
              <w:pStyle w:val="Compact"/>
              <w:jc w:val="left"/>
            </w:pPr>
            <w:r>
              <w:t xml:space="preserve">Not available for objects</w:t>
            </w:r>
          </w:p>
        </w:tc>
      </w:tr>
      <w:tr>
        <w:tc>
          <w:tcPr/>
          <w:p>
            <w:pPr>
              <w:pStyle w:val="Compact"/>
              <w:jc w:val="left"/>
            </w:pPr>
            <w:r>
              <w:rPr>
                <w:bCs/>
                <w:b/>
              </w:rPr>
              <w:t xml:space="preserve">Rendering</w:t>
            </w:r>
          </w:p>
        </w:tc>
        <w:tc>
          <w:tcPr/>
          <w:p>
            <w:pPr>
              <w:pStyle w:val="Compact"/>
              <w:jc w:val="left"/>
            </w:pPr>
            <w:r>
              <w:t xml:space="preserve">Direct channel-to-speaker mapping</w:t>
            </w:r>
            <w:fldSimple w:instr="NOTEREF _Ref_Footnote_14 \h \f">
              <w:r>
                <w:rPr>
                  <w:vertAlign w:val="superscript"/>
                </w:rPr>
                <w:t>14</w:t>
              </w:r>
            </w:fldSimple>
          </w:p>
        </w:tc>
        <w:tc>
          <w:tcPr/>
          <w:p>
            <w:pPr>
              <w:pStyle w:val="Compact"/>
              <w:jc w:val="left"/>
            </w:pPr>
            <w:r>
              <w:t xml:space="preserve">VBAP gain calculation to nearest triplet</w:t>
            </w:r>
            <w:fldSimple w:instr="NOTEREF _Ref_Footnote_15 \h \f">
              <w:r>
                <w:rPr>
                  <w:vertAlign w:val="superscript"/>
                </w:rPr>
                <w:t>15</w:t>
              </w:r>
            </w:fldSimple>
          </w:p>
        </w:tc>
      </w:tr>
      <w:tr>
        <w:tc>
          <w:tcPr/>
          <w:p>
            <w:pPr>
              <w:pStyle w:val="Compact"/>
              <w:jc w:val="left"/>
            </w:pPr>
            <w:r>
              <w:rPr>
                <w:bCs/>
                <w:b/>
              </w:rPr>
              <w:t xml:space="preserve">Spatial coding</w:t>
            </w:r>
          </w:p>
        </w:tc>
        <w:tc>
          <w:tcPr/>
          <w:p>
            <w:pPr>
              <w:pStyle w:val="Compact"/>
              <w:jc w:val="left"/>
            </w:pPr>
            <w:r>
              <w:t xml:space="preserve">Converted to static objects at canonical positions</w:t>
            </w:r>
            <w:fldSimple w:instr="NOTEREF _Ref_Footnote_19 \h \f">
              <w:r>
                <w:rPr>
                  <w:vertAlign w:val="superscript"/>
                </w:rPr>
                <w:t>19</w:t>
              </w:r>
            </w:fldSimple>
          </w:p>
        </w:tc>
        <w:tc>
          <w:tcPr/>
          <w:p>
            <w:pPr>
              <w:pStyle w:val="Compact"/>
              <w:jc w:val="left"/>
            </w:pPr>
            <w:r>
              <w:t xml:space="preserve">Rendered as dynamic or static objects per content</w:t>
            </w:r>
          </w:p>
        </w:tc>
      </w:tr>
      <w:tr>
        <w:tc>
          <w:tcPr/>
          <w:p>
            <w:pPr>
              <w:pStyle w:val="Compact"/>
              <w:jc w:val="left"/>
            </w:pPr>
            <w:r>
              <w:rPr>
                <w:bCs/>
                <w:b/>
              </w:rPr>
              <w:t xml:space="preserve">Array behavior</w:t>
            </w:r>
          </w:p>
        </w:tc>
        <w:tc>
          <w:tcPr/>
          <w:p>
            <w:pPr>
              <w:pStyle w:val="Compact"/>
              <w:jc w:val="left"/>
            </w:pPr>
            <w:r>
              <w:t xml:space="preserve">Activates entire speaker arrays in cinemas</w:t>
            </w:r>
            <w:fldSimple w:instr="NOTEREF _Ref_Footnote_32 \h \f">
              <w:r>
                <w:rPr>
                  <w:vertAlign w:val="superscript"/>
                </w:rPr>
                <w:t>32</w:t>
              </w:r>
            </w:fldSimple>
          </w:p>
        </w:tc>
        <w:tc>
          <w:tcPr/>
          <w:p>
            <w:pPr>
              <w:pStyle w:val="Compact"/>
              <w:jc w:val="left"/>
            </w:pPr>
            <w:r>
              <w:t xml:space="preserve">Can target individual speakers within arrays</w:t>
            </w:r>
          </w:p>
        </w:tc>
      </w:tr>
      <w:tr>
        <w:tc>
          <w:tcPr/>
          <w:p>
            <w:pPr>
              <w:pStyle w:val="Compact"/>
              <w:jc w:val="left"/>
            </w:pPr>
            <w:r>
              <w:rPr>
                <w:bCs/>
                <w:b/>
              </w:rPr>
              <w:t xml:space="preserve">Scalability</w:t>
            </w:r>
          </w:p>
        </w:tc>
        <w:tc>
          <w:tcPr/>
          <w:p>
            <w:pPr>
              <w:pStyle w:val="Compact"/>
              <w:jc w:val="left"/>
            </w:pPr>
            <w:r>
              <w:t xml:space="preserve">Fixed downmix coefficients</w:t>
            </w:r>
          </w:p>
        </w:tc>
        <w:tc>
          <w:tcPr/>
          <w:p>
            <w:pPr>
              <w:pStyle w:val="Compact"/>
              <w:jc w:val="left"/>
            </w:pPr>
            <w:r>
              <w:t xml:space="preserve">Renderer adapts to any speaker layout</w:t>
            </w:r>
          </w:p>
        </w:tc>
      </w:tr>
      <w:tr>
        <w:tc>
          <w:tcPr/>
          <w:p>
            <w:pPr>
              <w:pStyle w:val="Compact"/>
              <w:jc w:val="left"/>
            </w:pPr>
            <w:r>
              <w:rPr>
                <w:bCs/>
                <w:b/>
              </w:rPr>
              <w:t xml:space="preserve">Typical content</w:t>
            </w:r>
          </w:p>
        </w:tc>
        <w:tc>
          <w:tcPr/>
          <w:p>
            <w:pPr>
              <w:pStyle w:val="Compact"/>
              <w:jc w:val="left"/>
            </w:pPr>
            <w:r>
              <w:t xml:space="preserve">Ambience, music beds, reverb, center dialogue</w:t>
            </w:r>
            <w:fldSimple w:instr="NOTEREF _Ref_Footnote_4 \h \f">
              <w:r>
                <w:rPr>
                  <w:vertAlign w:val="superscript"/>
                </w:rPr>
                <w:t>4</w:t>
              </w:r>
            </w:fldSimple>
          </w:p>
        </w:tc>
        <w:tc>
          <w:tcPr/>
          <w:p>
            <w:pPr>
              <w:pStyle w:val="Compact"/>
              <w:jc w:val="left"/>
            </w:pPr>
            <w:r>
              <w:t xml:space="preserve">Effects, moving sources, solo instruments</w:t>
            </w:r>
          </w:p>
        </w:tc>
      </w:tr>
      <w:tr>
        <w:tc>
          <w:tcPr/>
          <w:p>
            <w:pPr>
              <w:pStyle w:val="Compact"/>
              <w:jc w:val="left"/>
            </w:pPr>
            <w:r>
              <w:rPr>
                <w:bCs/>
                <w:b/>
              </w:rPr>
              <w:t xml:space="preserve">Authoring limit</w:t>
            </w:r>
          </w:p>
        </w:tc>
        <w:tc>
          <w:tcPr/>
          <w:p>
            <w:pPr>
              <w:pStyle w:val="Compact"/>
              <w:jc w:val="left"/>
            </w:pPr>
            <w:r>
              <w:t xml:space="preserve">10 channels (7.1.2) or 10 channels (9.1)</w:t>
            </w:r>
          </w:p>
        </w:tc>
        <w:tc>
          <w:tcPr/>
          <w:p>
            <w:pPr>
              <w:pStyle w:val="Compact"/>
              <w:jc w:val="left"/>
            </w:pPr>
            <w:r>
              <w:t xml:space="preserve">Up to 118 mono objects (with 7.1.2 bed)</w:t>
            </w:r>
            <w:fldSimple w:instr="NOTEREF _Ref_Footnote_16 \h \f">
              <w:r>
                <w:rPr>
                  <w:vertAlign w:val="superscript"/>
                </w:rPr>
                <w:t>16</w:t>
              </w:r>
            </w:fldSimple>
          </w:p>
        </w:tc>
      </w:tr>
    </w:tbl>
    <w:p>
      <w:pPr>
        <w:pStyle w:val="BodyText"/>
      </w:pPr>
      <w:r>
        <w:t xml:space="preserve">The significance of this comparison lies in the deliberate partitioning of labor. The bed provides spatial stability and backward compatibility: it</w:t>
      </w:r>
      <w:r>
        <w:t xml:space="preserve"> </w:t>
      </w:r>
      <w:r>
        <w:rPr>
          <w:iCs/>
          <w:i/>
        </w:rPr>
        <w:t xml:space="preserve">is</w:t>
      </w:r>
      <w:r>
        <w:t xml:space="preserve"> </w:t>
      </w:r>
      <w:r>
        <w:t xml:space="preserve">a conventional surround mix, ensuring graceful degradation to 5.1 or stereo. Objects provide spatial precision and creative freedom: unbound to any speaker position, they can move through space in ways impossible with channel-based panning. Spatial coding ultimately dissolves this distinction by converting bed channels to static objects before clustering</w:t>
      </w:r>
      <w:fldSimple w:instr="NOTEREF _Ref_Footnote_19 \h \f">
        <w:r>
          <w:rPr>
            <w:vertAlign w:val="superscript"/>
          </w:rPr>
          <w:t>19</w:t>
        </w:r>
      </w:fldSimple>
      <w:r>
        <w:t xml:space="preserve">, but at the authoring stage, the choice between bed and object directly affects mix quality.</w:t>
      </w:r>
    </w:p>
    <w:bookmarkEnd w:id="56"/>
    <w:bookmarkStart w:id="57" w:name="Xb3a6279e22660a1a02a9fa6f21b6a566d788cbd"/>
    <w:p>
      <w:pPr>
        <w:pStyle w:val="Heading4"/>
      </w:pPr>
      <w:r>
        <w:t xml:space="preserve">3.4.4 Table: OAMD Metadata Parameters and Their Perceptual Effects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Range / Values</w:t>
            </w:r>
          </w:p>
        </w:tc>
        <w:tc>
          <w:tcPr/>
          <w:p>
            <w:pPr>
              <w:pStyle w:val="Compact"/>
              <w:jc w:val="left"/>
            </w:pPr>
            <w:r>
              <w:t xml:space="preserve">Perceptual Effect</w:t>
            </w:r>
          </w:p>
        </w:tc>
        <w:tc>
          <w:tcPr/>
          <w:p>
            <w:pPr>
              <w:pStyle w:val="Compact"/>
              <w:jc w:val="left"/>
            </w:pPr>
            <w:r>
              <w:t xml:space="preserve">Rendering Mechanism</w:t>
            </w:r>
          </w:p>
        </w:tc>
      </w:tr>
      <w:tr>
        <w:tc>
          <w:tcPr/>
          <w:p>
            <w:pPr>
              <w:pStyle w:val="Compact"/>
              <w:jc w:val="left"/>
            </w:pPr>
            <w:r>
              <w:rPr>
                <w:bCs/>
                <w:b/>
              </w:rPr>
              <w:t xml:space="preserve">X_Pos, Y_Pos</w:t>
            </w:r>
          </w:p>
        </w:tc>
        <w:tc>
          <w:tcPr/>
          <w:p>
            <w:pPr>
              <w:pStyle w:val="Compact"/>
              <w:jc w:val="left"/>
            </w:pPr>
            <w:r>
              <w:t xml:space="preserve">[0, 1] or [−1, 1]</w:t>
            </w:r>
          </w:p>
        </w:tc>
        <w:tc>
          <w:tcPr/>
          <w:p>
            <w:pPr>
              <w:pStyle w:val="Compact"/>
              <w:jc w:val="left"/>
            </w:pPr>
            <w:r>
              <w:t xml:space="preserve">Horizontal localization</w:t>
            </w:r>
          </w:p>
        </w:tc>
        <w:tc>
          <w:tcPr/>
          <w:p>
            <w:pPr>
              <w:pStyle w:val="Compact"/>
              <w:jc w:val="left"/>
            </w:pPr>
            <w:r>
              <w:t xml:space="preserve">VBAP gain across triplet</w:t>
            </w:r>
            <w:fldSimple w:instr="NOTEREF _Ref_Footnote_13 \h \f">
              <w:r>
                <w:rPr>
                  <w:vertAlign w:val="superscript"/>
                </w:rPr>
                <w:t>13</w:t>
              </w:r>
            </w:fldSimple>
          </w:p>
        </w:tc>
      </w:tr>
      <w:tr>
        <w:tc>
          <w:tcPr/>
          <w:p>
            <w:pPr>
              <w:pStyle w:val="Compact"/>
              <w:jc w:val="left"/>
            </w:pPr>
            <w:r>
              <w:rPr>
                <w:bCs/>
                <w:b/>
              </w:rPr>
              <w:t xml:space="preserve">Z_Pos</w:t>
            </w:r>
          </w:p>
        </w:tc>
        <w:tc>
          <w:tcPr/>
          <w:p>
            <w:pPr>
              <w:pStyle w:val="Compact"/>
              <w:jc w:val="left"/>
            </w:pPr>
            <w:r>
              <w:t xml:space="preserve">[0, 1]</w:t>
            </w:r>
          </w:p>
        </w:tc>
        <w:tc>
          <w:tcPr/>
          <w:p>
            <w:pPr>
              <w:pStyle w:val="Compact"/>
              <w:jc w:val="left"/>
            </w:pPr>
            <w:r>
              <w:t xml:space="preserve">Elevation: ear level to ceiling</w:t>
            </w:r>
          </w:p>
        </w:tc>
        <w:tc>
          <w:tcPr/>
          <w:p>
            <w:pPr>
              <w:pStyle w:val="Compact"/>
              <w:jc w:val="left"/>
            </w:pPr>
            <w:r>
              <w:t xml:space="preserve">Triplet with height speakers</w:t>
            </w:r>
          </w:p>
        </w:tc>
      </w:tr>
      <w:tr>
        <w:tc>
          <w:tcPr/>
          <w:p>
            <w:pPr>
              <w:pStyle w:val="Compact"/>
              <w:jc w:val="left"/>
            </w:pPr>
            <w:r>
              <w:rPr>
                <w:bCs/>
                <w:b/>
              </w:rPr>
              <w:t xml:space="preserve">Size</w:t>
            </w:r>
          </w:p>
        </w:tc>
        <w:tc>
          <w:tcPr/>
          <w:p>
            <w:pPr>
              <w:pStyle w:val="Compact"/>
              <w:jc w:val="left"/>
            </w:pPr>
            <w:r>
              <w:t xml:space="preserve">0–100 / 0.0–1.0</w:t>
            </w:r>
          </w:p>
        </w:tc>
        <w:tc>
          <w:tcPr/>
          <w:p>
            <w:pPr>
              <w:pStyle w:val="Compact"/>
              <w:jc w:val="left"/>
            </w:pPr>
            <w:r>
              <w:t xml:space="preserve">Source width and diffuseness</w:t>
            </w:r>
            <w:fldSimple w:instr="NOTEREF _Ref_Footnote_55 \h \f">
              <w:r>
                <w:rPr>
                  <w:vertAlign w:val="superscript"/>
                </w:rPr>
                <w:t>55</w:t>
              </w:r>
            </w:fldSimple>
          </w:p>
        </w:tc>
        <w:tc>
          <w:tcPr/>
          <w:p>
            <w:pPr>
              <w:pStyle w:val="Compact"/>
              <w:jc w:val="left"/>
            </w:pPr>
            <w:r>
              <w:t xml:space="preserve">MDAP auxiliary spread sources</w:t>
            </w:r>
            <w:fldSimple w:instr="NOTEREF _Ref_Footnote_9 \h \f">
              <w:r>
                <w:rPr>
                  <w:vertAlign w:val="superscript"/>
                </w:rPr>
                <w:t>9</w:t>
              </w:r>
            </w:fldSimple>
          </w:p>
        </w:tc>
      </w:tr>
      <w:tr>
        <w:tc>
          <w:tcPr/>
          <w:p>
            <w:pPr>
              <w:pStyle w:val="Compact"/>
              <w:jc w:val="left"/>
            </w:pPr>
            <w:r>
              <w:rPr>
                <w:bCs/>
                <w:b/>
              </w:rPr>
              <w:t xml:space="preserve">Size_Vertical</w:t>
            </w:r>
          </w:p>
        </w:tc>
        <w:tc>
          <w:tcPr/>
          <w:p>
            <w:pPr>
              <w:pStyle w:val="Compact"/>
              <w:jc w:val="left"/>
            </w:pPr>
            <w:r>
              <w:t xml:space="preserve">True / False</w:t>
            </w:r>
          </w:p>
        </w:tc>
        <w:tc>
          <w:tcPr/>
          <w:p>
            <w:pPr>
              <w:pStyle w:val="Compact"/>
              <w:jc w:val="left"/>
            </w:pPr>
            <w:r>
              <w:t xml:space="preserve">Horizontal disc vs. full sphere</w:t>
            </w:r>
            <w:fldSimple w:instr="NOTEREF _Ref_Footnote_49 \h \f">
              <w:r>
                <w:rPr>
                  <w:vertAlign w:val="superscript"/>
                </w:rPr>
                <w:t>49</w:t>
              </w:r>
            </w:fldSimple>
          </w:p>
        </w:tc>
        <w:tc>
          <w:tcPr/>
          <w:p>
            <w:pPr>
              <w:pStyle w:val="Compact"/>
              <w:jc w:val="left"/>
            </w:pPr>
            <w:r>
              <w:t xml:space="preserve">Z-axis spreading enable/disable</w:t>
            </w:r>
          </w:p>
        </w:tc>
      </w:tr>
      <w:tr>
        <w:tc>
          <w:tcPr/>
          <w:p>
            <w:pPr>
              <w:pStyle w:val="Compact"/>
              <w:jc w:val="left"/>
            </w:pPr>
            <w:r>
              <w:rPr>
                <w:bCs/>
                <w:b/>
              </w:rPr>
              <w:t xml:space="preserve">ObjectDecorCoeff</w:t>
            </w:r>
          </w:p>
        </w:tc>
        <w:tc>
          <w:tcPr/>
          <w:p>
            <w:pPr>
              <w:pStyle w:val="Compact"/>
              <w:jc w:val="left"/>
            </w:pPr>
            <w:r>
              <w:t xml:space="preserve">0x0 or 0x1</w:t>
            </w:r>
          </w:p>
        </w:tc>
        <w:tc>
          <w:tcPr/>
          <w:p>
            <w:pPr>
              <w:pStyle w:val="Compact"/>
              <w:jc w:val="left"/>
            </w:pPr>
            <w:r>
              <w:t xml:space="preserve">Diffuseness vs. pinpoint imaging</w:t>
            </w:r>
            <w:fldSimple w:instr="NOTEREF _Ref_Footnote_52 \h \f">
              <w:r>
                <w:rPr>
                  <w:vertAlign w:val="superscript"/>
                </w:rPr>
                <w:t>52</w:t>
              </w:r>
            </w:fldSimple>
          </w:p>
        </w:tc>
        <w:tc>
          <w:tcPr/>
          <w:p>
            <w:pPr>
              <w:pStyle w:val="Compact"/>
              <w:jc w:val="left"/>
            </w:pPr>
            <w:r>
              <w:t xml:space="preserve">Decorrelation across spread channels</w:t>
            </w:r>
          </w:p>
        </w:tc>
      </w:tr>
      <w:tr>
        <w:tc>
          <w:tcPr/>
          <w:p>
            <w:pPr>
              <w:pStyle w:val="Compact"/>
              <w:jc w:val="left"/>
            </w:pPr>
            <w:r>
              <w:rPr>
                <w:bCs/>
                <w:b/>
              </w:rPr>
              <w:t xml:space="preserve">SnapToExists</w:t>
            </w:r>
          </w:p>
        </w:tc>
        <w:tc>
          <w:tcPr/>
          <w:p>
            <w:pPr>
              <w:pStyle w:val="Compact"/>
              <w:jc w:val="left"/>
            </w:pPr>
            <w:r>
              <w:t xml:space="preserve">0 or 1</w:t>
            </w:r>
          </w:p>
        </w:tc>
        <w:tc>
          <w:tcPr/>
          <w:p>
            <w:pPr>
              <w:pStyle w:val="Compact"/>
              <w:jc w:val="left"/>
            </w:pPr>
            <w:r>
              <w:t xml:space="preserve">Spectral purity vs. spatial precision</w:t>
            </w:r>
            <w:fldSimple w:instr="NOTEREF _Ref_Footnote_51 \h \f">
              <w:r>
                <w:rPr>
                  <w:vertAlign w:val="superscript"/>
                </w:rPr>
                <w:t>51</w:t>
              </w:r>
            </w:fldSimple>
          </w:p>
        </w:tc>
        <w:tc>
          <w:tcPr/>
          <w:p>
            <w:pPr>
              <w:pStyle w:val="Compact"/>
              <w:jc w:val="left"/>
            </w:pPr>
            <w:r>
              <w:t xml:space="preserve">Single-speaker override of VBAP</w:t>
            </w:r>
          </w:p>
        </w:tc>
      </w:tr>
      <w:tr>
        <w:tc>
          <w:tcPr/>
          <w:p>
            <w:pPr>
              <w:pStyle w:val="Compact"/>
              <w:jc w:val="left"/>
            </w:pPr>
            <w:r>
              <w:rPr>
                <w:bCs/>
                <w:b/>
              </w:rPr>
              <w:t xml:space="preserve">ObjectSnapTolerance</w:t>
            </w:r>
          </w:p>
        </w:tc>
        <w:tc>
          <w:tcPr/>
          <w:p>
            <w:pPr>
              <w:pStyle w:val="Compact"/>
              <w:jc w:val="left"/>
            </w:pPr>
            <w:r>
              <w:t xml:space="preserve">Continuous range</w:t>
            </w:r>
          </w:p>
        </w:tc>
        <w:tc>
          <w:tcPr/>
          <w:p>
            <w:pPr>
              <w:pStyle w:val="Compact"/>
              <w:jc w:val="left"/>
            </w:pPr>
            <w:r>
              <w:t xml:space="preserve">Timbre priority over position</w:t>
            </w:r>
            <w:fldSimple w:instr="NOTEREF _Ref_Footnote_51 \h \f">
              <w:r>
                <w:rPr>
                  <w:vertAlign w:val="superscript"/>
                </w:rPr>
                <w:t>51</w:t>
              </w:r>
            </w:fldSimple>
          </w:p>
        </w:tc>
        <w:tc>
          <w:tcPr/>
          <w:p>
            <w:pPr>
              <w:pStyle w:val="Compact"/>
              <w:jc w:val="left"/>
            </w:pPr>
            <w:r>
              <w:t xml:space="preserve">Graduated snap behavior</w:t>
            </w:r>
          </w:p>
        </w:tc>
      </w:tr>
      <w:tr>
        <w:tc>
          <w:tcPr/>
          <w:p>
            <w:pPr>
              <w:pStyle w:val="Compact"/>
              <w:jc w:val="left"/>
            </w:pPr>
            <w:r>
              <w:rPr>
                <w:bCs/>
                <w:b/>
              </w:rPr>
              <w:t xml:space="preserve">BinauralRenderMode</w:t>
            </w:r>
          </w:p>
        </w:tc>
        <w:tc>
          <w:tcPr/>
          <w:p>
            <w:pPr>
              <w:pStyle w:val="Compact"/>
              <w:jc w:val="left"/>
            </w:pPr>
            <w:r>
              <w:t xml:space="preserve">Off / Near / Mid / Far</w:t>
            </w:r>
          </w:p>
        </w:tc>
        <w:tc>
          <w:tcPr/>
          <w:p>
            <w:pPr>
              <w:pStyle w:val="Compact"/>
              <w:jc w:val="left"/>
            </w:pPr>
            <w:r>
              <w:t xml:space="preserve">Perceived distance on headphones</w:t>
            </w:r>
          </w:p>
        </w:tc>
        <w:tc>
          <w:tcPr/>
          <w:p>
            <w:pPr>
              <w:pStyle w:val="Compact"/>
              <w:jc w:val="left"/>
            </w:pPr>
            <w:r>
              <w:t xml:space="preserve">Distance-model HRTF selection</w:t>
            </w:r>
          </w:p>
        </w:tc>
      </w:tr>
      <w:tr>
        <w:tc>
          <w:tcPr/>
          <w:p>
            <w:pPr>
              <w:pStyle w:val="Compact"/>
              <w:jc w:val="left"/>
            </w:pPr>
            <w:r>
              <w:rPr>
                <w:bCs/>
                <w:b/>
              </w:rPr>
              <w:t xml:space="preserve">ZoneGain</w:t>
            </w:r>
          </w:p>
        </w:tc>
        <w:tc>
          <w:tcPr/>
          <w:p>
            <w:pPr>
              <w:pStyle w:val="Compact"/>
              <w:jc w:val="left"/>
            </w:pPr>
            <w:r>
              <w:t xml:space="preserve">[0, 1] per zone</w:t>
            </w:r>
          </w:p>
        </w:tc>
        <w:tc>
          <w:tcPr/>
          <w:p>
            <w:pPr>
              <w:pStyle w:val="Compact"/>
              <w:jc w:val="left"/>
            </w:pPr>
            <w:r>
              <w:t xml:space="preserve">Attenuation of speaker groups</w:t>
            </w:r>
            <w:fldSimple w:instr="NOTEREF _Ref_Footnote_12 \h \f">
              <w:r>
                <w:rPr>
                  <w:vertAlign w:val="superscript"/>
                </w:rPr>
                <w:t>12</w:t>
              </w:r>
            </w:fldSimple>
          </w:p>
        </w:tc>
        <w:tc>
          <w:tcPr/>
          <w:p>
            <w:pPr>
              <w:pStyle w:val="Compact"/>
              <w:jc w:val="left"/>
            </w:pPr>
            <w:r>
              <w:t xml:space="preserve">Zone exclusion from triplet selection</w:t>
            </w:r>
          </w:p>
        </w:tc>
      </w:tr>
      <w:tr>
        <w:tc>
          <w:tcPr/>
          <w:p>
            <w:pPr>
              <w:pStyle w:val="Compact"/>
              <w:jc w:val="left"/>
            </w:pPr>
            <w:r>
              <w:rPr>
                <w:bCs/>
                <w:b/>
              </w:rPr>
              <w:t xml:space="preserve">DynamicUpdates</w:t>
            </w:r>
          </w:p>
        </w:tc>
        <w:tc>
          <w:tcPr/>
          <w:p>
            <w:pPr>
              <w:pStyle w:val="Compact"/>
              <w:jc w:val="left"/>
            </w:pPr>
            <w:r>
              <w:t xml:space="preserve">True / False</w:t>
            </w:r>
          </w:p>
        </w:tc>
        <w:tc>
          <w:tcPr/>
          <w:p>
            <w:pPr>
              <w:pStyle w:val="Compact"/>
              <w:jc w:val="left"/>
            </w:pPr>
            <w:r>
              <w:t xml:space="preserve">Motion smoothness vs. anchoring</w:t>
            </w:r>
            <w:fldSimple w:instr="NOTEREF _Ref_Footnote_61 \h \f">
              <w:r>
                <w:rPr>
                  <w:vertAlign w:val="superscript"/>
                </w:rPr>
                <w:t>61</w:t>
              </w:r>
            </w:fldSimple>
          </w:p>
        </w:tc>
        <w:tc>
          <w:tcPr/>
          <w:p>
            <w:pPr>
              <w:pStyle w:val="Compact"/>
              <w:jc w:val="left"/>
            </w:pPr>
            <w:r>
              <w:t xml:space="preserve">Intra-frame position interpolation</w:t>
            </w:r>
          </w:p>
        </w:tc>
      </w:tr>
    </w:tbl>
    <w:p>
      <w:pPr>
        <w:pStyle w:val="BodyText"/>
      </w:pPr>
      <w:r>
        <w:t xml:space="preserve">This parameter set reveals the sophistication of OAMD design. The metadata encodes not merely position but a complete spatial behavior profile. Size and decorrelation work in concert to control how a source occupies space—tight and focused for a solo violin, diffuse and enveloping for a rainstorm. Snap tolerance encodes a perceptual priority (timbre versus position) impossible to express in channel-based formats. And binaural render mode ensures spatial intent survives the transition from loudspeakers to earphones. It is this multi-dimensional richness—not merely X, Y, Z coordinates—that enables a single Atmos master to render plausibly on configurations from a smartphone to a 64-speaker cinema, and that makes the object layer the operational heart of immersive audio production.</w:t>
      </w:r>
    </w:p>
    <w:p>
      <w:r>
        <w:pict>
          <v:rect style="width:0;height:1.5pt" o:hralign="center" o:hrstd="t" o:hr="t"/>
        </w:pict>
      </w:r>
    </w:p>
    <w:bookmarkEnd w:id="57"/>
    <w:bookmarkEnd w:id="58"/>
    <w:bookmarkEnd w:id="59"/>
    <w:bookmarkStart w:id="73" w:name="X033ef8c9955fb53ed6d294667c2ad453586536b"/>
    <w:p>
      <w:pPr>
        <w:pStyle w:val="Heading2"/>
      </w:pPr>
      <w:r>
        <w:t xml:space="preserve">4. The Rendering Pipeline: From Objects to Speakers</w:t>
      </w:r>
    </w:p>
    <w:bookmarkStart w:id="60" w:name="pipeline-overview"/>
    <w:p>
      <w:pPr>
        <w:pStyle w:val="Heading3"/>
      </w:pPr>
      <w:r>
        <w:t xml:space="preserve">4.1 Pipeline Overview</w:t>
      </w:r>
    </w:p>
    <w:p>
      <w:pPr>
        <w:pStyle w:val="FirstParagraph"/>
      </w:pPr>
      <w:r>
        <w:t xml:space="preserve">The Dolby Atmos rendering pipeline transforms a master file containing up to 128 independent audio tracks — bed channels and dynamic objects — into a set of loudspeaker feed signals. This transformation occurs in six distinct stages: speaker configuration parsing, object positioning, spatial coding, Vector Base Amplitude Panning (VBAP) gain calculation, additive summation, and output formatting. Each stage operates under strict real-time constraints: metadata interpolation must be sample-accurate at 48 kHz (the standard delivery rate) or 96 kHz (the archival rate), and gain recalculation must keep pace with object motion that can traverse the entire soundfield within a single second</w:t>
      </w:r>
      <w:r>
        <w:t xml:space="preserve"> </w:t>
      </w:r>
      <w:fldSimple w:instr="NOTEREF _Ref_Footnote_8 \h \f">
        <w:r>
          <w:rPr>
            <w:vertAlign w:val="superscript"/>
          </w:rPr>
          <w:t>8</w:t>
        </w:r>
      </w:fldSimple>
      <w:r>
        <w:t xml:space="preserve">.</w:t>
      </w:r>
    </w:p>
    <w:p>
      <w:pPr>
        <w:pStyle w:val="BodyText"/>
      </w:pPr>
      <w:r>
        <w:t xml:space="preserve">The following ASCII diagram illustrates the complete rendering chain from master file to physical output:</w:t>
      </w:r>
    </w:p>
    <w:p>
      <w:pPr>
        <w:pStyle w:val="SourceCode"/>
      </w:pPr>
      <w:r>
        <w:rPr>
          <w:rStyle w:val="VerbatimChar"/>
        </w:rPr>
        <w:t xml:space="preserve">+-----------------------------------------------------------------------------+</w:t>
      </w:r>
      <w:r>
        <w:br/>
      </w:r>
      <w:r>
        <w:rPr>
          <w:rStyle w:val="VerbatimChar"/>
        </w:rPr>
        <w:t xml:space="preserve">|                     DOLBY ATMOS MASTER FILE INPUT                           |</w:t>
      </w:r>
      <w:r>
        <w:br/>
      </w:r>
      <w:r>
        <w:rPr>
          <w:rStyle w:val="VerbatimChar"/>
        </w:rPr>
        <w:t xml:space="preserve">|         (up to 128 tracks: 10 bed channels + 118 objects)                    |</w:t>
      </w:r>
      <w:r>
        <w:br/>
      </w:r>
      <w:r>
        <w:rPr>
          <w:rStyle w:val="VerbatimChar"/>
        </w:rPr>
        <w:t xml:space="preserve">|                   48 kHz / 24-bit PCM + OAMD metadata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1: SPEAKER CONFIGURATION PARSING                                      |</w:t>
      </w:r>
      <w:r>
        <w:br/>
      </w:r>
      <w:r>
        <w:rPr>
          <w:rStyle w:val="VerbatimChar"/>
        </w:rPr>
        <w:t xml:space="preserve">|  - Load .dad configuration (Dolby Atmos Designer)                          |</w:t>
      </w:r>
      <w:r>
        <w:br/>
      </w:r>
      <w:r>
        <w:rPr>
          <w:rStyle w:val="VerbatimChar"/>
        </w:rPr>
        <w:t xml:space="preserve">|  - Discover speaker count, positions (azimuth/elevation/distance)           |</w:t>
      </w:r>
      <w:r>
        <w:br/>
      </w:r>
      <w:r>
        <w:rPr>
          <w:rStyle w:val="VerbatimChar"/>
        </w:rPr>
        <w:t xml:space="preserve">|  - Build internal speaker array model (up to 64 for cinema)                 |</w:t>
      </w:r>
      <w:r>
        <w:br/>
      </w:r>
      <w:r>
        <w:rPr>
          <w:rStyle w:val="VerbatimChar"/>
        </w:rPr>
        <w:t xml:space="preserve">|  - Compute convex hull and Delaunay triangulation for VBAP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2: OBJECT POSITIONING                                                |</w:t>
      </w:r>
      <w:r>
        <w:br/>
      </w:r>
      <w:r>
        <w:rPr>
          <w:rStyle w:val="VerbatimChar"/>
        </w:rPr>
        <w:t xml:space="preserve">|  - Parse OAMD Cartesian coordinates (x, y, z) per frame                    |</w:t>
      </w:r>
      <w:r>
        <w:br/>
      </w:r>
      <w:r>
        <w:rPr>
          <w:rStyle w:val="VerbatimChar"/>
        </w:rPr>
        <w:t xml:space="preserve">|  - Convert to spherical coordinates (azimuth, elevation, distance)          |</w:t>
      </w:r>
      <w:r>
        <w:br/>
      </w:r>
      <w:r>
        <w:rPr>
          <w:rStyle w:val="VerbatimChar"/>
        </w:rPr>
        <w:t xml:space="preserve">|  - Normalize to room geometry; interpolate between metadata frames          |</w:t>
      </w:r>
      <w:r>
        <w:br/>
      </w:r>
      <w:r>
        <w:rPr>
          <w:rStyle w:val="VerbatimChar"/>
        </w:rPr>
        <w:t xml:space="preserve">|  - Bed channels converted to static objects at fixed speaker positions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3: SPATIAL CODING (Consumer Delivery Path Only)                       |</w:t>
      </w:r>
      <w:r>
        <w:br/>
      </w:r>
      <w:r>
        <w:rPr>
          <w:rStyle w:val="VerbatimChar"/>
        </w:rPr>
        <w:t xml:space="preserve">|  - Cluster nearby objects into spatial object groups                        |</w:t>
      </w:r>
      <w:r>
        <w:br/>
      </w:r>
      <w:r>
        <w:rPr>
          <w:rStyle w:val="VerbatimChar"/>
        </w:rPr>
        <w:t xml:space="preserve">|  - Reduce 128 tracks to 12 / 14 / 16 elements (11.1 / 13.1 / 15.1)        |</w:t>
      </w:r>
      <w:r>
        <w:br/>
      </w:r>
      <w:r>
        <w:rPr>
          <w:rStyle w:val="VerbatimChar"/>
        </w:rPr>
        <w:t xml:space="preserve">|  - Dynamic reclustering frame-by-frame; preserve power and position         |</w:t>
      </w:r>
      <w:r>
        <w:br/>
      </w:r>
      <w:r>
        <w:rPr>
          <w:rStyle w:val="VerbatimChar"/>
        </w:rPr>
        <w:t xml:space="preserve">|  - Cinema path: bypass — render all objects individually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4: VBAP - VECTOR BASE AMPLITUDE PANNING                               |</w:t>
      </w:r>
      <w:r>
        <w:br/>
      </w:r>
      <w:r>
        <w:rPr>
          <w:rStyle w:val="VerbatimChar"/>
        </w:rPr>
        <w:t xml:space="preserve">|  - Select speaker pair (2D) or triplet (3D) via convex hull lookup          |</w:t>
      </w:r>
      <w:r>
        <w:br/>
      </w:r>
      <w:r>
        <w:rPr>
          <w:rStyle w:val="VerbatimChar"/>
        </w:rPr>
        <w:t xml:space="preserve">|  - Solve g = L^(-1) * p for unnormalized gain factors                      |</w:t>
      </w:r>
      <w:r>
        <w:br/>
      </w:r>
      <w:r>
        <w:rPr>
          <w:rStyle w:val="VerbatimChar"/>
        </w:rPr>
        <w:t xml:space="preserve">|  - Apply p-norm normalization (p=2 energy norm, or frequency-dependent)     |</w:t>
      </w:r>
      <w:r>
        <w:br/>
      </w:r>
      <w:r>
        <w:rPr>
          <w:rStyle w:val="VerbatimChar"/>
        </w:rPr>
        <w:t xml:space="preserve">|  - Optional: MDAP spread for sized objects; dual-band VBAP/VBIP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5: ADDITIVE MIXING                                                    |</w:t>
      </w:r>
      <w:r>
        <w:br/>
      </w:r>
      <w:r>
        <w:rPr>
          <w:rStyle w:val="VerbatimChar"/>
        </w:rPr>
        <w:t xml:space="preserve">|  - Linear summation of all bed and object contributions per output channel  |</w:t>
      </w:r>
      <w:r>
        <w:br/>
      </w:r>
      <w:r>
        <w:rPr>
          <w:rStyle w:val="VerbatimChar"/>
        </w:rPr>
        <w:t xml:space="preserve">|  - Gain compensation (-3 dB) to prevent level buildup during summation      |</w:t>
      </w:r>
      <w:r>
        <w:br/>
      </w:r>
      <w:r>
        <w:rPr>
          <w:rStyle w:val="VerbatimChar"/>
        </w:rPr>
        <w:t xml:space="preserve">|  - Apply trim, downmix metadata, and loudness normalization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6: OUTPUT FORMATTING                                                  |</w:t>
      </w:r>
      <w:r>
        <w:br/>
      </w:r>
      <w:r>
        <w:rPr>
          <w:rStyle w:val="VerbatimChar"/>
        </w:rPr>
        <w:t xml:space="preserve">|  - Speaker output: up to 64 discrete feeds (cinema) / 22 (home monitoring)  |</w:t>
      </w:r>
      <w:r>
        <w:br/>
      </w:r>
      <w:r>
        <w:rPr>
          <w:rStyle w:val="VerbatimChar"/>
        </w:rPr>
        <w:t xml:space="preserve">|  - Re-render stems: 5.1, 7.1, stereo, AmbiX for downstream compatibility    |</w:t>
      </w:r>
      <w:r>
        <w:br/>
      </w:r>
      <w:r>
        <w:rPr>
          <w:rStyle w:val="VerbatimChar"/>
        </w:rPr>
        <w:t xml:space="preserve">|  - Binaural path: HRTF convolution for headphone output                     |</w:t>
      </w:r>
      <w:r>
        <w:br/>
      </w:r>
      <w:r>
        <w:rPr>
          <w:rStyle w:val="VerbatimChar"/>
        </w:rPr>
        <w:t xml:space="preserve">+-----------------------------------------------------------------------------+</w:t>
      </w:r>
    </w:p>
    <w:p>
      <w:pPr>
        <w:pStyle w:val="FirstParagraph"/>
      </w:pPr>
      <w:r>
        <w:t xml:space="preserve">The pipeline operates on a frame-accurate basis. Object Audio Metadata (OAMD) samples arrive at the frame rate of the content (24, 25, 30, 48, 50, or 60 fps), while audio samples advance at the sampling rate (48 kHz or 96 kHz). The renderer must interpolate metadata positions between frames to avoid discrete spatial jumps — a requirement that has driven the adoption of sample-accurate linear or spherical interpolation in all production-grade implementations</w:t>
      </w:r>
      <w:r>
        <w:t xml:space="preserve"> </w:t>
      </w:r>
      <w:fldSimple w:instr="NOTEREF _Ref_Footnote_8 \h \f">
        <w:r>
          <w:rPr>
            <w:vertAlign w:val="superscript"/>
          </w:rPr>
          <w:t>8</w:t>
        </w:r>
      </w:fldSimple>
      <w:r>
        <w:t xml:space="preserve">. At 48 kHz with 24 fps content, each metadata frame spans exactly 2000 audio samples; the renderer interpolates the position vector</w:t>
      </w:r>
      <w:r>
        <w:t xml:space="preserve"> </w:t>
      </w:r>
      <m:oMath>
        <m:r>
          <m:t>p</m:t>
        </m:r>
      </m:oMath>
      <w:r>
        <w:t xml:space="preserve"> </w:t>
      </w:r>
      <w:r>
        <w:t xml:space="preserve">across each span so that gain factors</w:t>
      </w:r>
      <w:r>
        <w:t xml:space="preserve"> </w:t>
      </w:r>
      <m:oMath>
        <m:r>
          <m:t>g</m:t>
        </m:r>
      </m:oMath>
      <w:r>
        <w:t xml:space="preserve"> </w:t>
      </w:r>
      <w:r>
        <w:t xml:space="preserve">evolve smoothly.</w:t>
      </w:r>
    </w:p>
    <w:bookmarkEnd w:id="60"/>
    <w:bookmarkStart w:id="61" w:name="stage-1-speaker-configuration-parsing"/>
    <w:p>
      <w:pPr>
        <w:pStyle w:val="Heading3"/>
      </w:pPr>
      <w:r>
        <w:t xml:space="preserve">4.2 Stage 1: Speaker Configuration Parsing</w:t>
      </w:r>
    </w:p>
    <w:p>
      <w:pPr>
        <w:pStyle w:val="FirstParagraph"/>
      </w:pPr>
      <w:r>
        <w:t xml:space="preserve">Before any audio processing can occur, the renderer must build an internal geometric model of the playback environment. This begins with speaker discovery: the system determines how many loudspeakers are available, their three-dimensional positions relative to the listening position, their types (screen channels, surrounds, overheads, subwoofers), and any calibration data such as delay compensation and equalization settings.</w:t>
      </w:r>
    </w:p>
    <w:p>
      <w:pPr>
        <w:pStyle w:val="BodyText"/>
      </w:pPr>
      <w:r>
        <w:t xml:space="preserve">In theatrical installations, this configuration is generated by the Dolby Atmos Designer software, a calibration tool that produces a</w:t>
      </w:r>
      <w:r>
        <w:t xml:space="preserve"> </w:t>
      </w:r>
      <w:r>
        <w:rPr>
          <w:rStyle w:val="VerbatimChar"/>
        </w:rPr>
        <w:t xml:space="preserve">.dad</w:t>
      </w:r>
      <w:r>
        <w:t xml:space="preserve"> </w:t>
      </w:r>
      <w:r>
        <w:t xml:space="preserve">(Dolby Atmos Designer) configuration file</w:t>
      </w:r>
      <w:r>
        <w:t xml:space="preserve"> </w:t>
      </w:r>
      <w:fldSimple w:instr="NOTEREF _Ref_Footnote_41 \h \f">
        <w:r>
          <w:rPr>
            <w:vertAlign w:val="superscript"/>
          </w:rPr>
          <w:t>41</w:t>
        </w:r>
      </w:fldSimple>
      <w:r>
        <w:t xml:space="preserve">. The</w:t>
      </w:r>
      <w:r>
        <w:t xml:space="preserve"> </w:t>
      </w:r>
      <w:r>
        <w:rPr>
          <w:rStyle w:val="VerbatimChar"/>
        </w:rPr>
        <w:t xml:space="preserve">.dad</w:t>
      </w:r>
      <w:r>
        <w:t xml:space="preserve"> </w:t>
      </w:r>
      <w:r>
        <w:t xml:space="preserve">file encodes each speaker’s Cartesian or spherical coordinates, channel routing assignments, and distance compensation parameters. The file is loaded into the cinema processor — typically the Dolby CP950A — which supports up to 64 independent speaker feeds delivered via AES67 or BLU Link protocols over RJ45 Ethernet connectors</w:t>
      </w:r>
      <w:r>
        <w:t xml:space="preserve"> </w:t>
      </w:r>
      <w:fldSimple w:instr="NOTEREF _Ref_Footnote_48 \h \f">
        <w:r>
          <w:rPr>
            <w:vertAlign w:val="superscript"/>
          </w:rPr>
          <w:t>48</w:t>
        </w:r>
      </w:fldSimple>
      <w:r>
        <w:t xml:space="preserve">. The CP950A transmits audio in eight streams of eight channels each, with dedicated RTP source and destination port assignments (source ports 6518–6525, destination port 6517)</w:t>
      </w:r>
      <w:r>
        <w:t xml:space="preserve"> </w:t>
      </w:r>
      <w:fldSimple w:instr="NOTEREF _Ref_Footnote_48 \h \f">
        <w:r>
          <w:rPr>
            <w:vertAlign w:val="superscript"/>
          </w:rPr>
          <w:t>48</w:t>
        </w:r>
      </w:fldSimple>
      <w:r>
        <w:t xml:space="preserve">.</w:t>
      </w:r>
    </w:p>
    <w:p>
      <w:pPr>
        <w:pStyle w:val="BodyText"/>
      </w:pPr>
      <w:r>
        <w:t xml:space="preserve">Once speaker positions are loaded, the renderer performs a critical preprocessing step that determines which speakers will participate in VBAP for every possible virtual source direction. The set of valid speaker pairs (in two dimensions) or triplets (in three dimensions) is computed by constructing the convex hull of all loudspeaker position vectors projected onto the unit sphere</w:t>
      </w:r>
      <w:r>
        <w:t xml:space="preserve"> </w:t>
      </w:r>
      <w:r>
        <w:rPr>
          <w:vertAlign w:val="superscript"/>
        </w:rPr>
        <w:footnoteReference w:id="66"/>
      </w:r>
      <w:r>
        <w:t xml:space="preserve"> </w:t>
      </w:r>
      <w:fldSimple w:instr="NOTEREF _Ref_Footnote_14 \h \f">
        <w:r>
          <w:rPr>
            <w:vertAlign w:val="superscript"/>
          </w:rPr>
          <w:t>14</w:t>
        </w:r>
      </w:fldSimple>
      <w:r>
        <w:t xml:space="preserve">. The convex hull algorithm produces a triangulated mesh where each facet is a spherical triangle formed by three loudspeakers; this mesh partitions the entire sphere into non-overlapping regions, guaranteeing that every virtual source direction falls within exactly one triplet’s domain. The triangulation typically employs the Delaunay criterion, which maximizes the minimum interior angle of each triangle and produces well-conditioned vector base matrices</w:t>
      </w:r>
      <w:r>
        <w:t xml:space="preserve"> </w:t>
      </w:r>
      <w:fldSimple w:instr="NOTEREF _Ref_Footnote_33 \h \f">
        <w:r>
          <w:rPr>
            <w:vertAlign w:val="superscript"/>
          </w:rPr>
          <w:t>33</w:t>
        </w:r>
      </w:fldSimple>
      <w:r>
        <w:t xml:space="preserve">. For each valid triplet</w:t>
      </w:r>
      <w:r>
        <w:t xml:space="preserve"> </w:t>
      </w:r>
      <m:oMath>
        <m:d>
          <m:dPr>
            <m:begChr m:val="("/>
            <m:endChr m:val=")"/>
            <m:sepChr m:val=""/>
            <m:grow/>
          </m:dPr>
          <m:e>
            <m:r>
              <m:t>k</m:t>
            </m:r>
            <m:r>
              <m:rPr>
                <m:sty m:val="p"/>
              </m:rPr>
              <m:t>,</m:t>
            </m:r>
            <m:r>
              <m:t>m</m:t>
            </m:r>
            <m:r>
              <m:rPr>
                <m:sty m:val="p"/>
              </m:rPr>
              <m:t>,</m:t>
            </m:r>
            <m:r>
              <m:t>n</m:t>
            </m:r>
          </m:e>
        </m:d>
      </m:oMath>
      <w:r>
        <w:t xml:space="preserve">, the renderer precomputes and stores the inverse matrix</w:t>
      </w:r>
      <w:r>
        <w:t xml:space="preserve"> </w:t>
      </w:r>
      <m:oMath>
        <m:sSubSup>
          <m:e>
            <m:r>
              <m:t>L</m:t>
            </m:r>
          </m:e>
          <m:sub>
            <m:r>
              <m:t>k</m:t>
            </m:r>
            <m:r>
              <m:t>m</m:t>
            </m:r>
            <m:r>
              <m:t>n</m:t>
            </m:r>
          </m:sub>
          <m:sup>
            <m:r>
              <m:rPr>
                <m:sty m:val="p"/>
              </m:rPr>
              <m:t>−</m:t>
            </m:r>
            <m:r>
              <m:t>1</m:t>
            </m:r>
          </m:sup>
        </m:sSubSup>
      </m:oMath>
      <w:r>
        <w:t xml:space="preserve">, reducing the runtime gain calculation to a single matrix-vector multiplication per object</w:t>
      </w:r>
      <w:r>
        <w:t xml:space="preserve"> </w:t>
      </w:r>
      <w:fldSimple w:instr="NOTEREF _Ref_Footnote_42 \h \f">
        <w:r>
          <w:rPr>
            <w:vertAlign w:val="superscript"/>
          </w:rPr>
          <w:t>42</w:t>
        </w:r>
      </w:fldSimple>
      <w:r>
        <w:t xml:space="preserve">.</w:t>
      </w:r>
    </w:p>
    <w:bookmarkEnd w:id="61"/>
    <w:bookmarkStart w:id="62" w:name="stage-2-object-positioning"/>
    <w:p>
      <w:pPr>
        <w:pStyle w:val="Heading3"/>
      </w:pPr>
      <w:r>
        <w:t xml:space="preserve">4.3 Stage 2: Object Positioning</w:t>
      </w:r>
    </w:p>
    <w:p>
      <w:pPr>
        <w:pStyle w:val="FirstParagraph"/>
      </w:pPr>
      <w:r>
        <w:t xml:space="preserve">With the speaker array model established, the renderer processes incoming Object Audio Metadata (OAMD) to determine where each object should be placed in the three-dimensional soundfield. The master file stores positions in normalized Cartesian coordinates</w:t>
      </w:r>
      <w:r>
        <w:t xml:space="preserve"> </w:t>
      </w:r>
      <m:oMath>
        <m:d>
          <m:dPr>
            <m:begChr m:val="("/>
            <m:endChr m:val=")"/>
            <m:sepChr m:val=""/>
            <m:grow/>
          </m:dPr>
          <m:e>
            <m:r>
              <m:t>x</m:t>
            </m:r>
            <m:r>
              <m:rPr>
                <m:sty m:val="p"/>
              </m:rPr>
              <m:t>,</m:t>
            </m:r>
            <m:r>
              <m:t>y</m:t>
            </m:r>
            <m:r>
              <m:rPr>
                <m:sty m:val="p"/>
              </m:rPr>
              <m:t>,</m:t>
            </m:r>
            <m:r>
              <m:t>z</m:t>
            </m:r>
          </m:e>
        </m:d>
      </m:oMath>
      <w:r>
        <w:t xml:space="preserve"> </w:t>
      </w:r>
      <w:r>
        <w:t xml:space="preserve">relative to a reference cube representing an idealized cinema model, with the front plane at the screen location</w:t>
      </w:r>
      <w:r>
        <w:t xml:space="preserve"> </w:t>
      </w:r>
      <w:fldSimple w:instr="NOTEREF _Ref_Footnote_45 \h \f">
        <w:r>
          <w:rPr>
            <w:vertAlign w:val="superscript"/>
          </w:rPr>
          <w:t>45</w:t>
        </w:r>
      </w:fldSimple>
      <w:r>
        <w:t xml:space="preserve">. The X axis spans left to right, Y spans front to back, and Z spans bottom to top. These coordinates are normalized to the range</w:t>
      </w:r>
      <w:r>
        <w:t xml:space="preserve"> </w:t>
      </w:r>
      <m:oMath>
        <m:d>
          <m:dPr>
            <m:begChr m:val="["/>
            <m:endChr m:val="]"/>
            <m:sepChr m:val=""/>
            <m:grow/>
          </m:dPr>
          <m:e>
            <m:r>
              <m:rPr>
                <m:sty m:val="p"/>
              </m:rPr>
              <m:t>−</m:t>
            </m:r>
            <m:r>
              <m:t>1</m:t>
            </m:r>
            <m:r>
              <m:rPr>
                <m:sty m:val="p"/>
              </m:rPr>
              <m:t>,</m:t>
            </m:r>
            <m:r>
              <m:t>1</m:t>
            </m:r>
          </m:e>
        </m:d>
      </m:oMath>
      <w:r>
        <w:t xml:space="preserve"> </w:t>
      </w:r>
      <w:r>
        <w:t xml:space="preserve">or</w:t>
      </w:r>
      <w:r>
        <w:t xml:space="preserve"> </w:t>
      </w:r>
      <m:oMath>
        <m:d>
          <m:dPr>
            <m:begChr m:val="["/>
            <m:endChr m:val="]"/>
            <m:sepChr m:val=""/>
            <m:grow/>
          </m:dPr>
          <m:e>
            <m:r>
              <m:t>0</m:t>
            </m:r>
            <m:r>
              <m:rPr>
                <m:sty m:val="p"/>
              </m:rPr>
              <m:t>,</m:t>
            </m:r>
            <m:r>
              <m:t>1</m:t>
            </m:r>
          </m:e>
        </m:d>
      </m:oMath>
      <w:r>
        <w:t xml:space="preserve"> </w:t>
      </w:r>
      <w:r>
        <w:t xml:space="preserve">depending on the axis convention.</w:t>
      </w:r>
    </w:p>
    <w:p>
      <w:pPr>
        <w:pStyle w:val="BodyText"/>
      </w:pPr>
      <w:r>
        <w:t xml:space="preserve">The first operation is coordinate transformation from Cartesian to spherical form</w:t>
      </w:r>
      <w:r>
        <w:t xml:space="preserve"> </w:t>
      </w:r>
      <m:oMath>
        <m:d>
          <m:dPr>
            <m:begChr m:val="("/>
            <m:endChr m:val=")"/>
            <m:sepChr m:val=""/>
            <m:grow/>
          </m:dPr>
          <m:e>
            <m:r>
              <m:t>θ</m:t>
            </m:r>
            <m:r>
              <m:rPr>
                <m:sty m:val="p"/>
              </m:rPr>
              <m:t>,</m:t>
            </m:r>
            <m:r>
              <m:t>ϕ</m:t>
            </m:r>
            <m:r>
              <m:rPr>
                <m:sty m:val="p"/>
              </m:rPr>
              <m:t>,</m:t>
            </m:r>
            <m:r>
              <m:t>d</m:t>
            </m:r>
          </m:e>
        </m:d>
      </m:oMath>
      <w:r>
        <w:t xml:space="preserve">, where</w:t>
      </w:r>
      <w:r>
        <w:t xml:space="preserve"> </w:t>
      </w:r>
      <m:oMath>
        <m:r>
          <m:t>θ</m:t>
        </m:r>
      </m:oMath>
      <w:r>
        <w:t xml:space="preserve"> </w:t>
      </w:r>
      <w:r>
        <w:t xml:space="preserve">is the azimuthal angle (horizontal bearing),</w:t>
      </w:r>
      <w:r>
        <w:t xml:space="preserve"> </w:t>
      </w:r>
      <m:oMath>
        <m:r>
          <m:t>ϕ</m:t>
        </m:r>
      </m:oMath>
      <w:r>
        <w:t xml:space="preserve"> </w:t>
      </w:r>
      <w:r>
        <w:t xml:space="preserve">is the elevation angle (vertical inclination), and</w:t>
      </w:r>
      <w:r>
        <w:t xml:space="preserve"> </w:t>
      </w:r>
      <m:oMath>
        <m:r>
          <m:t>d</m:t>
        </m:r>
      </m:oMath>
      <w:r>
        <w:t xml:space="preserve"> </w:t>
      </w:r>
      <w:r>
        <w:t xml:space="preserve">is the distance from the listener. The conversion follows the standard geometric relations:</w:t>
      </w:r>
    </w:p>
    <w:p>
      <w:pPr>
        <w:pStyle w:val="BodyText"/>
      </w:pPr>
      <m:oMathPara>
        <m:oMathParaPr>
          <m:jc m:val="center"/>
        </m:oMathParaPr>
        <m:oMath>
          <m:r>
            <m:t>d</m:t>
          </m:r>
          <m:r>
            <m:rPr>
              <m:sty m:val="p"/>
            </m:rPr>
            <m:t>=</m:t>
          </m:r>
          <m:rad>
            <m:radPr>
              <m:degHide m:val="1"/>
            </m:radPr>
            <m:deg/>
            <m:e>
              <m:sSup>
                <m:e>
                  <m:r>
                    <m:t>x</m:t>
                  </m:r>
                </m:e>
                <m:sup>
                  <m:r>
                    <m:t>2</m:t>
                  </m:r>
                </m:sup>
              </m:sSup>
              <m:r>
                <m:rPr>
                  <m:sty m:val="p"/>
                </m:rPr>
                <m:t>+</m:t>
              </m:r>
              <m:sSup>
                <m:e>
                  <m:r>
                    <m:t>y</m:t>
                  </m:r>
                </m:e>
                <m:sup>
                  <m:r>
                    <m:t>2</m:t>
                  </m:r>
                </m:sup>
              </m:sSup>
              <m:r>
                <m:rPr>
                  <m:sty m:val="p"/>
                </m:rPr>
                <m:t>+</m:t>
              </m:r>
              <m:sSup>
                <m:e>
                  <m:r>
                    <m:t>z</m:t>
                  </m:r>
                </m:e>
                <m:sup>
                  <m:r>
                    <m:t>2</m:t>
                  </m:r>
                </m:sup>
              </m:sSup>
            </m:e>
          </m:rad>
          <m:r>
            <m:rPr>
              <m:sty m:val="p"/>
            </m:rPr>
            <m:t>,</m:t>
          </m:r>
          <m:r>
            <m:t> </m:t>
          </m:r>
          <m:r>
            <m:t>θ</m:t>
          </m:r>
          <m:r>
            <m:rPr>
              <m:sty m:val="p"/>
            </m:rPr>
            <m:t>=</m:t>
          </m:r>
          <m:r>
            <m:rPr>
              <m:sty m:val="p"/>
            </m:rPr>
            <m:t>arctan</m:t>
          </m:r>
          <m:r>
            <m:t>2</m:t>
          </m:r>
          <m:d>
            <m:dPr>
              <m:begChr m:val="("/>
              <m:endChr m:val=")"/>
              <m:sepChr m:val=""/>
              <m:grow/>
            </m:dPr>
            <m:e>
              <m:r>
                <m:t>x</m:t>
              </m:r>
              <m:r>
                <m:rPr>
                  <m:sty m:val="p"/>
                </m:rPr>
                <m:t>,</m:t>
              </m:r>
              <m:r>
                <m:t>y</m:t>
              </m:r>
            </m:e>
          </m:d>
          <m:r>
            <m:rPr>
              <m:sty m:val="p"/>
            </m:rPr>
            <m:t>,</m:t>
          </m:r>
          <m:r>
            <m:t> </m:t>
          </m:r>
          <m:r>
            <m:t>ϕ</m:t>
          </m:r>
          <m:r>
            <m:rPr>
              <m:sty m:val="p"/>
            </m:rPr>
            <m:t>=</m:t>
          </m:r>
          <m:r>
            <m:rPr>
              <m:sty m:val="p"/>
            </m:rPr>
            <m:t>arcsin</m:t>
          </m:r>
          <m:d>
            <m:dPr>
              <m:begChr m:val="("/>
              <m:endChr m:val=")"/>
              <m:sepChr m:val=""/>
              <m:grow/>
            </m:dPr>
            <m:e>
              <m:f>
                <m:fPr>
                  <m:type m:val="bar"/>
                </m:fPr>
                <m:num>
                  <m:r>
                    <m:t>z</m:t>
                  </m:r>
                </m:num>
                <m:den>
                  <m:r>
                    <m:t>d</m:t>
                  </m:r>
                </m:den>
              </m:f>
            </m:e>
          </m:d>
        </m:oMath>
      </m:oMathPara>
    </w:p>
    <w:p>
      <w:pPr>
        <w:pStyle w:val="FirstParagraph"/>
      </w:pPr>
      <w:r>
        <w:t xml:space="preserve">The azimuth</w:t>
      </w:r>
      <w:r>
        <w:t xml:space="preserve"> </w:t>
      </w:r>
      <m:oMath>
        <m:r>
          <m:t>θ</m:t>
        </m:r>
      </m:oMath>
      <w:r>
        <w:t xml:space="preserve"> </w:t>
      </w:r>
      <w:r>
        <w:t xml:space="preserve">is measured clockwise from the forward (Y-positive) axis, consistent with the cinematic convention where</w:t>
      </w:r>
      <w:r>
        <w:t xml:space="preserve"> </w:t>
      </w:r>
      <m:oMath>
        <m:r>
          <m:t>0</m:t>
        </m:r>
        <m:r>
          <m:rPr>
            <m:sty m:val="p"/>
          </m:rPr>
          <m:t>°</m:t>
        </m:r>
      </m:oMath>
      <w:r>
        <w:t xml:space="preserve"> </w:t>
      </w:r>
      <w:r>
        <w:t xml:space="preserve">is center-front,</w:t>
      </w:r>
      <w:r>
        <w:t xml:space="preserve"> </w:t>
      </w:r>
      <m:oMath>
        <m:r>
          <m:rPr>
            <m:sty m:val="p"/>
          </m:rPr>
          <m:t>+</m:t>
        </m:r>
        <m:r>
          <m:t>90</m:t>
        </m:r>
        <m:r>
          <m:rPr>
            <m:sty m:val="p"/>
          </m:rPr>
          <m:t>°</m:t>
        </m:r>
      </m:oMath>
      <w:r>
        <w:t xml:space="preserve"> </w:t>
      </w:r>
      <w:r>
        <w:t xml:space="preserve">is right, and</w:t>
      </w:r>
      <w:r>
        <w:t xml:space="preserve"> </w:t>
      </w:r>
      <m:oMath>
        <m:r>
          <m:rPr>
            <m:sty m:val="p"/>
          </m:rPr>
          <m:t>−</m:t>
        </m:r>
        <m:r>
          <m:t>90</m:t>
        </m:r>
        <m:r>
          <m:rPr>
            <m:sty m:val="p"/>
          </m:rPr>
          <m:t>°</m:t>
        </m:r>
      </m:oMath>
      <w:r>
        <w:t xml:space="preserve"> </w:t>
      </w:r>
      <w:r>
        <w:t xml:space="preserve">is left. Elevation</w:t>
      </w:r>
      <w:r>
        <w:t xml:space="preserve"> </w:t>
      </w:r>
      <m:oMath>
        <m:r>
          <m:t>ϕ</m:t>
        </m:r>
      </m:oMath>
      <w:r>
        <w:t xml:space="preserve"> </w:t>
      </w:r>
      <w:r>
        <w:t xml:space="preserve">ranges from</w:t>
      </w:r>
      <w:r>
        <w:t xml:space="preserve"> </w:t>
      </w:r>
      <m:oMath>
        <m:r>
          <m:t>0</m:t>
        </m:r>
        <m:r>
          <m:rPr>
            <m:sty m:val="p"/>
          </m:rPr>
          <m:t>°</m:t>
        </m:r>
      </m:oMath>
      <w:r>
        <w:t xml:space="preserve"> </w:t>
      </w:r>
      <w:r>
        <w:t xml:space="preserve">(listener plane) to</w:t>
      </w:r>
      <w:r>
        <w:t xml:space="preserve"> </w:t>
      </w:r>
      <m:oMath>
        <m:r>
          <m:rPr>
            <m:sty m:val="p"/>
          </m:rPr>
          <m:t>+</m:t>
        </m:r>
        <m:r>
          <m:t>90</m:t>
        </m:r>
        <m:r>
          <m:rPr>
            <m:sty m:val="p"/>
          </m:rPr>
          <m:t>°</m:t>
        </m:r>
      </m:oMath>
      <w:r>
        <w:t xml:space="preserve"> </w:t>
      </w:r>
      <w:r>
        <w:t xml:space="preserve">(zenith). Dolby Atmos restricts object positions to elevation</w:t>
      </w:r>
      <w:r>
        <w:t xml:space="preserve"> </w:t>
      </w:r>
      <m:oMath>
        <m:r>
          <m:rPr>
            <m:sty m:val="p"/>
          </m:rPr>
          <m:t>≥</m:t>
        </m:r>
        <m:r>
          <m:t>0</m:t>
        </m:r>
        <m:r>
          <m:rPr>
            <m:sty m:val="p"/>
          </m:rPr>
          <m:t>°</m:t>
        </m:r>
      </m:oMath>
      <w:r>
        <w:t xml:space="preserve"> </w:t>
      </w:r>
      <w:r>
        <w:t xml:space="preserve">(above the horizon), though this is a specification choice rather than a technical limitation of the VBAP engine</w:t>
      </w:r>
      <w:r>
        <w:t xml:space="preserve"> </w:t>
      </w:r>
      <w:fldSimple w:instr="NOTEREF _Ref_Footnote_45 \h \f">
        <w:r>
          <w:rPr>
            <w:vertAlign w:val="superscript"/>
          </w:rPr>
          <w:t>45</w:t>
        </w:r>
      </w:fldSimple>
      <w:r>
        <w:t xml:space="preserve">.</w:t>
      </w:r>
    </w:p>
    <w:p>
      <w:pPr>
        <w:pStyle w:val="BodyText"/>
      </w:pPr>
      <w:r>
        <w:t xml:space="preserve">Bed channels follow a parallel but simpler path. Each bed channel — Left, Right, Center, LFE, Left Surround, Right Surround, Left Rear Surround, Right Rear Surround, Left Top Surround, Right Top Surround — is treated as a</w:t>
      </w:r>
      <w:r>
        <w:t xml:space="preserve"> </w:t>
      </w:r>
      <w:r>
        <w:t xml:space="preserve">“</w:t>
      </w:r>
      <w:r>
        <w:t xml:space="preserve">static object</w:t>
      </w:r>
      <w:r>
        <w:t xml:space="preserve">”</w:t>
      </w:r>
      <w:r>
        <w:t xml:space="preserve"> </w:t>
      </w:r>
      <w:r>
        <w:t xml:space="preserve">pinned to its corresponding speaker position in the standard layout</w:t>
      </w:r>
      <w:r>
        <w:t xml:space="preserve"> </w:t>
      </w:r>
      <w:fldSimple w:instr="NOTEREF _Ref_Footnote_14 \h \f">
        <w:r>
          <w:rPr>
            <w:vertAlign w:val="superscript"/>
          </w:rPr>
          <w:t>14</w:t>
        </w:r>
      </w:fldSimple>
      <w:r>
        <w:t xml:space="preserve">. Bed channels that do not have a reserved output in the target speaker configuration are reclassified as static objects and enter the spatial coding stage alongside dynamic objects</w:t>
      </w:r>
      <w:r>
        <w:t xml:space="preserve"> </w:t>
      </w:r>
      <w:fldSimple w:instr="NOTEREF _Ref_Footnote_14 \h \f">
        <w:r>
          <w:rPr>
            <w:vertAlign w:val="superscript"/>
          </w:rPr>
          <w:t>14</w:t>
        </w:r>
      </w:fldSimple>
      <w:r>
        <w:t xml:space="preserve">. The LFE channel is always preserved separately and does not participate in positional panning</w:t>
      </w:r>
      <w:r>
        <w:t xml:space="preserve"> </w:t>
      </w:r>
      <w:fldSimple w:instr="NOTEREF _Ref_Footnote_41 \h \f">
        <w:r>
          <w:rPr>
            <w:vertAlign w:val="superscript"/>
          </w:rPr>
          <w:t>41</w:t>
        </w:r>
      </w:fldSimple>
      <w:r>
        <w:t xml:space="preserve">.</w:t>
      </w:r>
    </w:p>
    <w:p>
      <w:pPr>
        <w:pStyle w:val="BodyText"/>
      </w:pPr>
      <w:r>
        <w:t xml:space="preserve">Between metadata frames, the renderer interpolates object positions to maintain smooth motion. Early implementations used linear interpolation of Cartesian coordinates; modern implementations use orthodromic (great-circle) interpolation on the spherical surface, which produces physically accurate trajectories for moving sources</w:t>
      </w:r>
      <w:r>
        <w:t xml:space="preserve"> </w:t>
      </w:r>
      <w:fldSimple w:instr="NOTEREF _Ref_Footnote_41 \h \f">
        <w:r>
          <w:rPr>
            <w:vertAlign w:val="superscript"/>
          </w:rPr>
          <w:t>41</w:t>
        </w:r>
      </w:fldSimple>
      <w:r>
        <w:t xml:space="preserve">. The number of interpolation points is typically proportional to the angular distance traveled, with</w:t>
      </w:r>
      <w:r>
        <w:t xml:space="preserve"> </w:t>
      </w:r>
      <m:oMath>
        <m:r>
          <m:t>n</m:t>
        </m:r>
        <m:r>
          <m:rPr>
            <m:sty m:val="p"/>
          </m:rPr>
          <m:t>=</m:t>
        </m:r>
        <m:r>
          <m:rPr>
            <m:nor/>
            <m:sty m:val="p"/>
          </m:rPr>
          <m:t>round</m:t>
        </m:r>
        <m:d>
          <m:dPr>
            <m:begChr m:val="("/>
            <m:endChr m:val=")"/>
            <m:sepChr m:val=""/>
            <m:grow/>
          </m:dPr>
          <m:e>
            <m:r>
              <m:t>5</m:t>
            </m:r>
            <m:r>
              <m:rPr>
                <m:sty m:val="p"/>
              </m:rPr>
              <m:t>⋅</m:t>
            </m:r>
            <m:rad>
              <m:radPr>
                <m:degHide m:val="1"/>
              </m:radPr>
              <m:deg/>
              <m:e>
                <m:r>
                  <m:t>d</m:t>
                </m:r>
                <m:r>
                  <m:rPr>
                    <m:sty m:val="p"/>
                  </m:rPr>
                  <m:t>−</m:t>
                </m:r>
                <m:r>
                  <m:t>1</m:t>
                </m:r>
              </m:e>
            </m:rad>
          </m:e>
        </m:d>
      </m:oMath>
      <w:r>
        <w:t xml:space="preserve"> </w:t>
      </w:r>
      <w:r>
        <w:t xml:space="preserve">intermediate positions for an orthodromic distance</w:t>
      </w:r>
      <w:r>
        <w:t xml:space="preserve"> </w:t>
      </w:r>
      <m:oMath>
        <m:r>
          <m:t>d</m:t>
        </m:r>
      </m:oMath>
      <w:r>
        <w:t xml:space="preserve"> </w:t>
      </w:r>
      <w:r>
        <w:t xml:space="preserve">measured in degrees</w:t>
      </w:r>
      <w:r>
        <w:t xml:space="preserve"> </w:t>
      </w:r>
      <w:fldSimple w:instr="NOTEREF _Ref_Footnote_41 \h \f">
        <w:r>
          <w:rPr>
            <w:vertAlign w:val="superscript"/>
          </w:rPr>
          <w:t>41</w:t>
        </w:r>
      </w:fldSimple>
      <w:r>
        <w:t xml:space="preserve">.</w:t>
      </w:r>
    </w:p>
    <w:bookmarkEnd w:id="62"/>
    <w:bookmarkStart w:id="63" w:name="stage-3-spatial-coding-object-clustering"/>
    <w:p>
      <w:pPr>
        <w:pStyle w:val="Heading3"/>
      </w:pPr>
      <w:r>
        <w:t xml:space="preserve">4.4 Stage 3: Spatial Coding — Object Clustering</w:t>
      </w:r>
    </w:p>
    <w:p>
      <w:pPr>
        <w:pStyle w:val="FirstParagraph"/>
      </w:pPr>
      <w:r>
        <w:t xml:space="preserve">Spatial coding is the mechanism that bridges the gap between the unconstrained creativity of theatrical Atmos mixing — 128 simultaneous, independently positioned audio tracks — and the bandwidth-limited reality of consumer delivery. The uncompressed Atmos master data rate is approximately 147 Mbps (</w:t>
      </w:r>
      <m:oMath>
        <m:r>
          <m:t>48</m:t>
        </m:r>
        <m:r>
          <m:t> </m:t>
        </m:r>
        <m:r>
          <m:rPr>
            <m:nor/>
            <m:sty m:val="p"/>
          </m:rPr>
          <m:t>kHz</m:t>
        </m:r>
        <m:r>
          <m:rPr>
            <m:sty m:val="p"/>
          </m:rPr>
          <m:t>×</m:t>
        </m:r>
        <m:r>
          <m:t>24</m:t>
        </m:r>
        <m:r>
          <m:t> </m:t>
        </m:r>
        <m:r>
          <m:rPr>
            <m:nor/>
            <m:sty m:val="p"/>
          </m:rPr>
          <m:t>bits</m:t>
        </m:r>
        <m:r>
          <m:rPr>
            <m:sty m:val="p"/>
          </m:rPr>
          <m:t>×</m:t>
        </m:r>
        <m:r>
          <m:t>128</m:t>
        </m:r>
        <m:r>
          <m:t> </m:t>
        </m:r>
        <m:r>
          <m:rPr>
            <m:nor/>
            <m:sty m:val="p"/>
          </m:rPr>
          <m:t>channels</m:t>
        </m:r>
      </m:oMath>
      <w:r>
        <w:t xml:space="preserve">), far exceeding any consumer delivery pipeline capacity</w:t>
      </w:r>
      <w:r>
        <w:t xml:space="preserve"> </w:t>
      </w:r>
      <w:r>
        <w:rPr>
          <w:vertAlign w:val="superscript"/>
        </w:rPr>
        <w:footnoteReference w:id="67"/>
      </w:r>
      <w:r>
        <w:t xml:space="preserve">. Spatial coding reduces this to 12, 14, or 16 composite elements, achieving an effective compression ratio of up to 390:1 before perceptual audio coding (DD+ JOC, TrueHD, or AC-4) is even applied</w:t>
      </w:r>
      <w:r>
        <w:t xml:space="preserve"> </w:t>
      </w:r>
      <w:fldSimple w:instr="NOTEREF _Ref_Footnote_63 \h \f">
        <w:r>
          <w:rPr>
            <w:vertAlign w:val="superscript"/>
          </w:rPr>
          <w:t>63</w:t>
        </w:r>
      </w:fldSimple>
      <w:r>
        <w:t xml:space="preserve">.</w:t>
      </w:r>
    </w:p>
    <w:p>
      <w:pPr>
        <w:pStyle w:val="BodyText"/>
      </w:pPr>
      <w:r>
        <w:t xml:space="preserve">The clustering algorithm operates on a proximity-based grouping principle. At each time instant, the renderer analyzes the 3D positional coordinates of all active objects and assigns them to a limited number of clusters — composite sets called</w:t>
      </w:r>
      <w:r>
        <w:t xml:space="preserve"> </w:t>
      </w:r>
      <w:r>
        <w:rPr>
          <w:bCs/>
          <w:b/>
        </w:rPr>
        <w:t xml:space="preserve">spatial object groups</w:t>
      </w:r>
      <w:r>
        <w:t xml:space="preserve"> </w:t>
      </w:r>
      <w:fldSimple w:instr="NOTEREF _Ref_Footnote_41 \h \f">
        <w:r>
          <w:rPr>
            <w:vertAlign w:val="superscript"/>
          </w:rPr>
          <w:t>41</w:t>
        </w:r>
      </w:fldSimple>
      <w:r>
        <w:t xml:space="preserve"> </w:t>
      </w:r>
      <w:fldSimple w:instr="NOTEREF _Ref_Footnote_55 \h \f">
        <w:r>
          <w:rPr>
            <w:vertAlign w:val="superscript"/>
          </w:rPr>
          <w:t>55</w:t>
        </w:r>
      </w:fldSimple>
      <w:r>
        <w:t xml:space="preserve">. Objects occupying similar positions in the soundfield are grouped together because, on a typical consumer speaker system (5.1.2 to 7.1.4 channels), multiple nearby objects would activate largely the same physical speakers during reproduction anyway. The human auditory system has limited spatial resolution for simultaneous sources, making this grouping perceptually benign</w:t>
      </w:r>
      <w:r>
        <w:t xml:space="preserve"> </w:t>
      </w:r>
      <w:fldSimple w:instr="NOTEREF _Ref_Footnote_67 \h \f">
        <w:r>
          <w:rPr>
            <w:vertAlign w:val="superscript"/>
          </w:rPr>
          <w:t>67</w:t>
        </w:r>
      </w:fldSimple>
      <w:r>
        <w:t xml:space="preserve">.</w:t>
      </w:r>
    </w:p>
    <w:p>
      <w:pPr>
        <w:pStyle w:val="BodyText"/>
      </w:pPr>
      <w:r>
        <w:t xml:space="preserve">The clustering process is fundamentally dynamic. Objects can move from cluster to cluster as their positions change, and the clusters themselves can reposition to track moving sound sources</w:t>
      </w:r>
      <w:r>
        <w:t xml:space="preserve"> </w:t>
      </w:r>
      <w:fldSimple w:instr="NOTEREF _Ref_Footnote_41 \h \f">
        <w:r>
          <w:rPr>
            <w:vertAlign w:val="superscript"/>
          </w:rPr>
          <w:t>41</w:t>
        </w:r>
      </w:fldSimple>
      <w:r>
        <w:t xml:space="preserve">. This frame-by-frame adaptation is crucial for maintaining spatial accuracy during continuous motion — a helicopter traversing the ceiling, for instance, must not be locked to a static cluster that lags behind its trajectory. When a single object’s spatial extent exceeds one cluster’s representational capacity, its energy may be distributed across multiple aggregate objects to preserve both power and perceived position</w:t>
      </w:r>
      <w:r>
        <w:t xml:space="preserve"> </w:t>
      </w:r>
      <w:fldSimple w:instr="NOTEREF _Ref_Footnote_55 \h \f">
        <w:r>
          <w:rPr>
            <w:vertAlign w:val="superscript"/>
          </w:rPr>
          <w:t>55</w:t>
        </w:r>
      </w:fldSimple>
      <w:r>
        <w:t xml:space="preserve">.</w:t>
      </w:r>
    </w:p>
    <w:p>
      <w:pPr>
        <w:pStyle w:val="BodyText"/>
      </w:pPr>
      <w:r>
        <w:t xml:space="preserve">Bed channels are fully integrated into this process. Bed input signals not reserved for an output bed configuration are treated as</w:t>
      </w:r>
      <w:r>
        <w:t xml:space="preserve"> </w:t>
      </w:r>
      <w:r>
        <w:t xml:space="preserve">“</w:t>
      </w:r>
      <w:r>
        <w:t xml:space="preserve">static objects with a fixed position in space</w:t>
      </w:r>
      <w:r>
        <w:t xml:space="preserve">”</w:t>
      </w:r>
      <w:r>
        <w:t xml:space="preserve"> </w:t>
      </w:r>
      <w:r>
        <w:t xml:space="preserve">and are combined with dynamic moving objects before clustering</w:t>
      </w:r>
      <w:r>
        <w:t xml:space="preserve"> </w:t>
      </w:r>
      <w:fldSimple w:instr="NOTEREF _Ref_Footnote_14 \h \f">
        <w:r>
          <w:rPr>
            <w:vertAlign w:val="superscript"/>
          </w:rPr>
          <w:t>14</w:t>
        </w:r>
      </w:fldSimple>
      <w:r>
        <w:t xml:space="preserve">. The LFE channel remains untouched throughout, yielding effective configurations of 11.1 (12 elements), 13.1 (14 elements), or 15.1 (16 elements)</w:t>
      </w:r>
      <w:r>
        <w:t xml:space="preserve"> </w:t>
      </w:r>
      <w:fldSimple w:instr="NOTEREF _Ref_Footnote_41 \h \f">
        <w:r>
          <w:rPr>
            <w:vertAlign w:val="superscript"/>
          </w:rPr>
          <w:t>41</w:t>
        </w:r>
      </w:fldSimple>
      <w:r>
        <w:t xml:space="preserve">. Content creators can control clustering strength via the Dolby Atmos Production Suite, and the renderer provides Spatial Coding Emulation so mixers can audition clustering artifacts before final encoding</w:t>
      </w:r>
      <w:r>
        <w:t xml:space="preserve"> </w:t>
      </w:r>
      <w:fldSimple w:instr="NOTEREF _Ref_Footnote_14 \h \f">
        <w:r>
          <w:rPr>
            <w:vertAlign w:val="superscript"/>
          </w:rPr>
          <w:t>14</w:t>
        </w:r>
      </w:fldSimple>
      <w:r>
        <w:t xml:space="preserve"> </w:t>
      </w:r>
      <w:fldSimple w:instr="NOTEREF _Ref_Footnote_67 \h \f">
        <w:r>
          <w:rPr>
            <w:vertAlign w:val="superscript"/>
          </w:rPr>
          <w:t>67</w:t>
        </w:r>
      </w:fldSimple>
      <w:r>
        <w:t xml:space="preserve">.</w:t>
      </w:r>
    </w:p>
    <w:p>
      <w:pPr>
        <w:pStyle w:val="BodyText"/>
      </w:pPr>
      <w:r>
        <w:t xml:space="preserve">The choice of element count is determined by target bitrate: 384 kbps delivery mandates 12 elements, while 448 kbps and above uses 16 elements</w:t>
      </w:r>
      <w:r>
        <w:t xml:space="preserve"> </w:t>
      </w:r>
      <w:fldSimple w:instr="NOTEREF _Ref_Footnote_17 \h \f">
        <w:r>
          <w:rPr>
            <w:vertAlign w:val="superscript"/>
          </w:rPr>
          <w:t>17</w:t>
        </w:r>
      </w:fldSimple>
      <w:r>
        <w:t xml:space="preserve">. Most streaming platforms — Netflix, Apple Music, Amazon — deliver Atmos at 768 kbps using 16 elements</w:t>
      </w:r>
      <w:r>
        <w:t xml:space="preserve"> </w:t>
      </w:r>
      <w:r>
        <w:rPr>
          <w:vertAlign w:val="superscript"/>
        </w:rPr>
        <w:footnoteReference w:id="68"/>
      </w:r>
      <w:r>
        <w:t xml:space="preserve">. Netflix’s internal testing concluded that DD+ at 640 kbps and above is</w:t>
      </w:r>
      <w:r>
        <w:t xml:space="preserve"> </w:t>
      </w:r>
      <w:r>
        <w:t xml:space="preserve">“</w:t>
      </w:r>
      <w:r>
        <w:t xml:space="preserve">perceptually transparent</w:t>
      </w:r>
      <w:r>
        <w:t xml:space="preserve">”</w:t>
      </w:r>
      <w:r>
        <w:t xml:space="preserve"> </w:t>
      </w:r>
      <w:fldSimple w:instr="NOTEREF _Ref_Footnote_68 \h \f">
        <w:r>
          <w:rPr>
            <w:vertAlign w:val="superscript"/>
          </w:rPr>
          <w:t>68</w:t>
        </w:r>
      </w:fldSimple>
      <w:r>
        <w:t xml:space="preserve">. The clustering algorithm is proprietary; the exact distance metrics, threshold parameters, and temporal smoothing coefficients have not been published by Dolby.</w:t>
      </w:r>
    </w:p>
    <w:bookmarkEnd w:id="63"/>
    <w:bookmarkStart w:id="70" w:name="Xd4aa97d6e2872266061b659c45c93550eaf2746"/>
    <w:p>
      <w:pPr>
        <w:pStyle w:val="Heading3"/>
      </w:pPr>
      <w:r>
        <w:t xml:space="preserve">4.5 Stage 4: VBAP — Vector Base Amplitude Panning</w:t>
      </w:r>
    </w:p>
    <w:p>
      <w:pPr>
        <w:pStyle w:val="FirstParagraph"/>
      </w:pPr>
      <w:r>
        <w:t xml:space="preserve">Vector Base Amplitude Panning (VBAP), introduced by Ville Pulkki in 1997</w:t>
      </w:r>
      <w:r>
        <w:t xml:space="preserve"> </w:t>
      </w:r>
      <w:fldSimple w:instr="NOTEREF _Ref_Footnote_42 \h \f">
        <w:r>
          <w:rPr>
            <w:vertAlign w:val="superscript"/>
          </w:rPr>
          <w:t>42</w:t>
        </w:r>
      </w:fldSimple>
      <w:r>
        <w:t xml:space="preserve">, is the foundational rendering algorithm that maps a virtual source position to loudspeaker gain factors. VBAP reformulates amplitude panning as a linear algebra problem: the virtual source direction vector is decomposed into a linear combination of loudspeaker direction vectors, and the scalar coefficients of this decomposition become the loudspeaker gains. This reformulation is general — it applies to any loudspeaker configuration without requiring pre-derived panning laws — and computationally efficient, requiring only a single matrix inversion per speaker triplet during initialization.</w:t>
      </w:r>
    </w:p>
    <w:bookmarkStart w:id="64" w:name="two-dimensional-vbap-and-the-tangent-law"/>
    <w:p>
      <w:pPr>
        <w:pStyle w:val="Heading4"/>
      </w:pPr>
      <w:r>
        <w:t xml:space="preserve">4.5.1 Two-Dimensional VBAP and the Tangent Law</w:t>
      </w:r>
    </w:p>
    <w:p>
      <w:pPr>
        <w:pStyle w:val="FirstParagraph"/>
      </w:pPr>
      <w:r>
        <w:t xml:space="preserve">The derivation begins with stereophonic amplitude panning. Consider two loudspeakers positioned symmetrically at angles</w:t>
      </w:r>
      <w:r>
        <w:t xml:space="preserve"> </w:t>
      </w:r>
      <m:oMath>
        <m:r>
          <m:rPr>
            <m:sty m:val="p"/>
          </m:rPr>
          <m:t>±</m:t>
        </m:r>
        <m:sSub>
          <m:e>
            <m:r>
              <m:t>φ</m:t>
            </m:r>
          </m:e>
          <m:sub>
            <m:r>
              <m:t>0</m:t>
            </m:r>
          </m:sub>
        </m:sSub>
      </m:oMath>
      <w:r>
        <w:t xml:space="preserve"> </w:t>
      </w:r>
      <w:r>
        <w:t xml:space="preserve">relative to the forward axis, with unit-length direction vectors</w:t>
      </w:r>
      <w:r>
        <w:t xml:space="preserve"> </w:t>
      </w:r>
      <m:oMath>
        <m:sSub>
          <m:e>
            <m:r>
              <m:t>l</m:t>
            </m:r>
          </m:e>
          <m:sub>
            <m:r>
              <m:t>1</m:t>
            </m:r>
          </m:sub>
        </m:sSub>
        <m:r>
          <m:rPr>
            <m:sty m:val="p"/>
          </m:rPr>
          <m:t>=</m:t>
        </m:r>
        <m:sSup>
          <m:e>
            <m:d>
              <m:dPr>
                <m:begChr m:val="["/>
                <m:endChr m:val="]"/>
                <m:sepChr m:val=""/>
                <m:grow/>
              </m:dPr>
              <m:e>
                <m:sSub>
                  <m:e>
                    <m:r>
                      <m:t>l</m:t>
                    </m:r>
                  </m:e>
                  <m:sub>
                    <m:r>
                      <m:t>11</m:t>
                    </m:r>
                  </m:sub>
                </m:sSub>
                <m:r>
                  <m:rPr>
                    <m:sty m:val="p"/>
                  </m:rPr>
                  <m:t>,</m:t>
                </m:r>
                <m:sSub>
                  <m:e>
                    <m:r>
                      <m:t>l</m:t>
                    </m:r>
                  </m:e>
                  <m:sub>
                    <m:r>
                      <m:t>12</m:t>
                    </m:r>
                  </m:sub>
                </m:sSub>
              </m:e>
            </m:d>
          </m:e>
          <m:sup>
            <m:r>
              <m:t>T</m:t>
            </m:r>
          </m:sup>
        </m:sSup>
      </m:oMath>
      <w:r>
        <w:t xml:space="preserve"> </w:t>
      </w:r>
      <w:r>
        <w:t xml:space="preserve">and</w:t>
      </w:r>
      <w:r>
        <w:t xml:space="preserve"> </w:t>
      </w:r>
      <m:oMath>
        <m:sSub>
          <m:e>
            <m:r>
              <m:t>l</m:t>
            </m:r>
          </m:e>
          <m:sub>
            <m:r>
              <m:t>2</m:t>
            </m:r>
          </m:sub>
        </m:sSub>
        <m:r>
          <m:rPr>
            <m:sty m:val="p"/>
          </m:rPr>
          <m:t>=</m:t>
        </m:r>
        <m:sSup>
          <m:e>
            <m:d>
              <m:dPr>
                <m:begChr m:val="["/>
                <m:endChr m:val="]"/>
                <m:sepChr m:val=""/>
                <m:grow/>
              </m:dPr>
              <m:e>
                <m:sSub>
                  <m:e>
                    <m:r>
                      <m:t>l</m:t>
                    </m:r>
                  </m:e>
                  <m:sub>
                    <m:r>
                      <m:t>21</m:t>
                    </m:r>
                  </m:sub>
                </m:sSub>
                <m:r>
                  <m:rPr>
                    <m:sty m:val="p"/>
                  </m:rPr>
                  <m:t>,</m:t>
                </m:r>
                <m:sSub>
                  <m:e>
                    <m:r>
                      <m:t>l</m:t>
                    </m:r>
                  </m:e>
                  <m:sub>
                    <m:r>
                      <m:t>22</m:t>
                    </m:r>
                  </m:sub>
                </m:sSub>
              </m:e>
            </m:d>
          </m:e>
          <m:sup>
            <m:r>
              <m:t>T</m:t>
            </m:r>
          </m:sup>
        </m:sSup>
      </m:oMath>
      <w:r>
        <w:t xml:space="preserve">. The virtual source direction is given by the unit vector</w:t>
      </w:r>
      <w:r>
        <w:t xml:space="preserve"> </w:t>
      </w:r>
      <m:oMath>
        <m:r>
          <m:t>p</m:t>
        </m:r>
        <m:r>
          <m:rPr>
            <m:sty m:val="p"/>
          </m:rPr>
          <m:t>=</m:t>
        </m:r>
        <m:sSup>
          <m:e>
            <m:d>
              <m:dPr>
                <m:begChr m:val="["/>
                <m:endChr m:val="]"/>
                <m:sepChr m:val=""/>
                <m:grow/>
              </m:dPr>
              <m:e>
                <m:sSub>
                  <m:e>
                    <m:r>
                      <m:t>p</m:t>
                    </m:r>
                  </m:e>
                  <m:sub>
                    <m:r>
                      <m:t>1</m:t>
                    </m:r>
                  </m:sub>
                </m:sSub>
                <m:r>
                  <m:rPr>
                    <m:sty m:val="p"/>
                  </m:rPr>
                  <m:t>,</m:t>
                </m:r>
                <m:sSub>
                  <m:e>
                    <m:r>
                      <m:t>p</m:t>
                    </m:r>
                  </m:e>
                  <m:sub>
                    <m:r>
                      <m:t>2</m:t>
                    </m:r>
                  </m:sub>
                </m:sSub>
              </m:e>
            </m:d>
          </m:e>
          <m:sup>
            <m:r>
              <m:t>T</m:t>
            </m:r>
          </m:sup>
        </m:sSup>
      </m:oMath>
      <w:r>
        <w:t xml:space="preserve">. VBAP treats</w:t>
      </w:r>
      <w:r>
        <w:t xml:space="preserve"> </w:t>
      </w:r>
      <m:oMath>
        <m:r>
          <m:t>p</m:t>
        </m:r>
      </m:oMath>
      <w:r>
        <w:t xml:space="preserve"> </w:t>
      </w:r>
      <w:r>
        <w:t xml:space="preserve">as a linear combination of the loudspeaker vectors</w:t>
      </w:r>
      <w:r>
        <w:t xml:space="preserve"> </w:t>
      </w:r>
      <w:fldSimple w:instr="NOTEREF _Ref_Footnote_42 \h \f">
        <w:r>
          <w:rPr>
            <w:vertAlign w:val="superscript"/>
          </w:rPr>
          <w:t>42</w:t>
        </w:r>
      </w:fldSimple>
      <w:r>
        <w:t xml:space="preserve">:</w:t>
      </w:r>
    </w:p>
    <w:p>
      <w:pPr>
        <w:pStyle w:val="BodyText"/>
      </w:pPr>
      <m:oMathPara>
        <m:oMathParaPr>
          <m:jc m:val="center"/>
        </m:oMathParaPr>
        <m:oMath>
          <m:r>
            <m:t>p</m:t>
          </m:r>
          <m:r>
            <m:rPr>
              <m:sty m:val="p"/>
            </m:rPr>
            <m:t>=</m:t>
          </m:r>
          <m:sSub>
            <m:e>
              <m:r>
                <m:t>g</m:t>
              </m:r>
            </m:e>
            <m:sub>
              <m:r>
                <m:t>1</m:t>
              </m:r>
            </m:sub>
          </m:sSub>
          <m:sSub>
            <m:e>
              <m:r>
                <m:t>l</m:t>
              </m:r>
            </m:e>
            <m:sub>
              <m:r>
                <m:t>1</m:t>
              </m:r>
            </m:sub>
          </m:sSub>
          <m:r>
            <m:rPr>
              <m:sty m:val="p"/>
            </m:rPr>
            <m:t>+</m:t>
          </m:r>
          <m:sSub>
            <m:e>
              <m:r>
                <m:t>g</m:t>
              </m:r>
            </m:e>
            <m:sub>
              <m:r>
                <m:t>2</m:t>
              </m:r>
            </m:sub>
          </m:sSub>
          <m:sSub>
            <m:e>
              <m:r>
                <m:t>l</m:t>
              </m:r>
            </m:e>
            <m:sub>
              <m:r>
                <m:t>2</m:t>
              </m:r>
            </m:sub>
          </m:sSub>
        </m:oMath>
      </m:oMathPara>
    </w:p>
    <w:p>
      <w:pPr>
        <w:pStyle w:val="FirstParagraph"/>
      </w:pPr>
      <w:r>
        <w:t xml:space="preserve">In matrix form, with</w:t>
      </w:r>
      <w:r>
        <w:t xml:space="preserve"> </w:t>
      </w:r>
      <m:oMath>
        <m:r>
          <m:t>g</m:t>
        </m:r>
        <m:r>
          <m:rPr>
            <m:sty m:val="p"/>
          </m:rPr>
          <m:t>=</m:t>
        </m:r>
        <m:d>
          <m:dPr>
            <m:begChr m:val="["/>
            <m:endChr m:val="]"/>
            <m:sepChr m:val=""/>
            <m:grow/>
          </m:dPr>
          <m:e>
            <m:sSub>
              <m:e>
                <m:r>
                  <m:t>g</m:t>
                </m:r>
              </m:e>
              <m:sub>
                <m:r>
                  <m:t>1</m:t>
                </m:r>
              </m:sub>
            </m:sSub>
            <m:r>
              <m:rPr>
                <m:sty m:val="p"/>
              </m:rPr>
              <m:t>,</m:t>
            </m:r>
            <m:sSub>
              <m:e>
                <m:r>
                  <m:t>g</m:t>
                </m:r>
              </m:e>
              <m:sub>
                <m:r>
                  <m:t>2</m:t>
                </m:r>
              </m:sub>
            </m:sSub>
          </m:e>
        </m:d>
      </m:oMath>
      <w:r>
        <w:t xml:space="preserve"> </w:t>
      </w:r>
      <w:r>
        <w:t xml:space="preserve">and</w:t>
      </w:r>
      <w:r>
        <w:t xml:space="preserve"> </w:t>
      </w:r>
      <m:oMath>
        <m:sSub>
          <m:e>
            <m:r>
              <m:t>L</m:t>
            </m:r>
          </m:e>
          <m:sub>
            <m:r>
              <m:t>12</m:t>
            </m:r>
          </m:sub>
        </m:sSub>
        <m:r>
          <m:rPr>
            <m:sty m:val="p"/>
          </m:rPr>
          <m:t>=</m:t>
        </m:r>
        <m:sSup>
          <m:e>
            <m:d>
              <m:dPr>
                <m:begChr m:val="["/>
                <m:endChr m:val="]"/>
                <m:sepChr m:val=""/>
                <m:grow/>
              </m:dPr>
              <m:e>
                <m:sSub>
                  <m:e>
                    <m:r>
                      <m:t>l</m:t>
                    </m:r>
                  </m:e>
                  <m:sub>
                    <m:r>
                      <m:t>1</m:t>
                    </m:r>
                  </m:sub>
                </m:sSub>
                <m:r>
                  <m:rPr>
                    <m:sty m:val="p"/>
                  </m:rPr>
                  <m:t>,</m:t>
                </m:r>
                <m:sSub>
                  <m:e>
                    <m:r>
                      <m:t>l</m:t>
                    </m:r>
                  </m:e>
                  <m:sub>
                    <m:r>
                      <m:t>2</m:t>
                    </m:r>
                  </m:sub>
                </m:sSub>
              </m:e>
            </m:d>
          </m:e>
          <m:sup>
            <m:r>
              <m:t>T</m:t>
            </m:r>
          </m:sup>
        </m:sSup>
      </m:oMath>
      <w:r>
        <w:t xml:space="preserve"> </w:t>
      </w:r>
      <w:r>
        <w:t xml:space="preserve">the 2×2 vector base matrix:</w:t>
      </w:r>
    </w:p>
    <w:p>
      <w:pPr>
        <w:pStyle w:val="BodyText"/>
      </w:pPr>
      <m:oMathPara>
        <m:oMathParaPr>
          <m:jc m:val="center"/>
        </m:oMathParaPr>
        <m:oMath>
          <m:sSup>
            <m:e>
              <m:r>
                <m:t>p</m:t>
              </m:r>
            </m:e>
            <m:sup>
              <m:r>
                <m:t>T</m:t>
              </m:r>
            </m:sup>
          </m:sSup>
          <m:r>
            <m:rPr>
              <m:sty m:val="p"/>
            </m:rPr>
            <m:t>=</m:t>
          </m:r>
          <m:r>
            <m:t>g</m:t>
          </m:r>
          <m:r>
            <m:rPr>
              <m:sty m:val="p"/>
            </m:rPr>
            <m:t>⋅</m:t>
          </m:r>
          <m:sSub>
            <m:e>
              <m:r>
                <m:t>L</m:t>
              </m:r>
            </m:e>
            <m:sub>
              <m:r>
                <m:t>12</m:t>
              </m:r>
            </m:sub>
          </m:sSub>
        </m:oMath>
      </m:oMathPara>
    </w:p>
    <w:p>
      <w:pPr>
        <w:pStyle w:val="FirstParagraph"/>
      </w:pPr>
      <w:r>
        <w:t xml:space="preserve">Solving for the gain vector</w:t>
      </w:r>
      <w:r>
        <w:t xml:space="preserve"> </w:t>
      </w:r>
      <m:oMath>
        <m:r>
          <m:t>g</m:t>
        </m:r>
      </m:oMath>
      <w:r>
        <w:t xml:space="preserve">:</w:t>
      </w:r>
    </w:p>
    <w:p>
      <w:pPr>
        <w:pStyle w:val="BodyText"/>
      </w:pPr>
      <m:oMathPara>
        <m:oMathParaPr>
          <m:jc m:val="center"/>
        </m:oMathParaPr>
        <m:oMath>
          <m:r>
            <m:t>g</m:t>
          </m:r>
          <m:r>
            <m:rPr>
              <m:sty m:val="p"/>
            </m:rPr>
            <m:t>=</m:t>
          </m:r>
          <m:sSup>
            <m:e>
              <m:r>
                <m:t>p</m:t>
              </m:r>
            </m:e>
            <m:sup>
              <m:r>
                <m:t>T</m:t>
              </m:r>
            </m:sup>
          </m:sSup>
          <m:r>
            <m:rPr>
              <m:sty m:val="p"/>
            </m:rPr>
            <m:t>⋅</m:t>
          </m:r>
          <m:sSubSup>
            <m:e>
              <m:r>
                <m:t>L</m:t>
              </m:r>
            </m:e>
            <m:sub>
              <m:r>
                <m:t>12</m:t>
              </m:r>
            </m:sub>
            <m:sup>
              <m:r>
                <m:rPr>
                  <m:sty m:val="p"/>
                </m:rPr>
                <m:t>−</m:t>
              </m:r>
              <m:r>
                <m:t>1</m:t>
              </m:r>
            </m:sup>
          </m:sSubSup>
          <m:r>
            <m:rPr>
              <m:sty m:val="p"/>
            </m:rPr>
            <m:t>=</m:t>
          </m:r>
          <m:d>
            <m:dPr>
              <m:begChr m:val="["/>
              <m:endChr m:val="]"/>
              <m:sepChr m:val=""/>
              <m:grow/>
            </m:dPr>
            <m:e>
              <m:sSub>
                <m:e>
                  <m:r>
                    <m:t>p</m:t>
                  </m:r>
                </m:e>
                <m:sub>
                  <m:r>
                    <m:t>1</m:t>
                  </m:r>
                </m:sub>
              </m:sSub>
              <m:r>
                <m:t> </m:t>
              </m:r>
              <m:sSub>
                <m:e>
                  <m:r>
                    <m:t>p</m:t>
                  </m:r>
                </m:e>
                <m:sub>
                  <m:r>
                    <m:t>2</m:t>
                  </m:r>
                </m:sub>
              </m:sSub>
            </m:e>
          </m:d>
          <m:sSup>
            <m:e>
              <m:d>
                <m:dPr>
                  <m:begChr m:val="["/>
                  <m:endChr m:val="]"/>
                  <m:sepChr m:val=""/>
                  <m:grow/>
                </m:dPr>
                <m:e>
                  <m:m>
                    <m:mPr>
                      <m:baseJc m:val="center"/>
                      <m:plcHide m:val="1"/>
                      <m:mcs>
                        <m:mc>
                          <m:mcPr>
                            <m:mcJc m:val="center"/>
                            <m:count m:val="1"/>
                          </m:mcPr>
                        </m:mc>
                        <m:mc>
                          <m:mcPr>
                            <m:mcJc m:val="center"/>
                            <m:count m:val="1"/>
                          </m:mcPr>
                        </m:mc>
                      </m:mcs>
                    </m:mPr>
                    <m:mr>
                      <m:e>
                        <m:sSub>
                          <m:e>
                            <m:r>
                              <m:t>l</m:t>
                            </m:r>
                          </m:e>
                          <m:sub>
                            <m:r>
                              <m:t>11</m:t>
                            </m:r>
                          </m:sub>
                        </m:sSub>
                      </m:e>
                      <m:e>
                        <m:sSub>
                          <m:e>
                            <m:r>
                              <m:t>l</m:t>
                            </m:r>
                          </m:e>
                          <m:sub>
                            <m:r>
                              <m:t>12</m:t>
                            </m:r>
                          </m:sub>
                        </m:sSub>
                      </m:e>
                    </m:mr>
                    <m:mr>
                      <m:e>
                        <m:sSub>
                          <m:e>
                            <m:r>
                              <m:t>l</m:t>
                            </m:r>
                          </m:e>
                          <m:sub>
                            <m:r>
                              <m:t>21</m:t>
                            </m:r>
                          </m:sub>
                        </m:sSub>
                      </m:e>
                      <m:e>
                        <m:sSub>
                          <m:e>
                            <m:r>
                              <m:t>l</m:t>
                            </m:r>
                          </m:e>
                          <m:sub>
                            <m:r>
                              <m:t>22</m:t>
                            </m:r>
                          </m:sub>
                        </m:sSub>
                      </m:e>
                    </m:mr>
                  </m:m>
                </m:e>
              </m:d>
            </m:e>
            <m:sup>
              <m:r>
                <m:rPr>
                  <m:sty m:val="p"/>
                </m:rPr>
                <m:t>−</m:t>
              </m:r>
              <m:r>
                <m:t>1</m:t>
              </m:r>
            </m:sup>
          </m:sSup>
        </m:oMath>
      </m:oMathPara>
    </w:p>
    <w:p>
      <w:pPr>
        <w:pStyle w:val="FirstParagraph"/>
      </w:pPr>
      <w:r>
        <w:t xml:space="preserve">The inverse exists provided</w:t>
      </w:r>
      <w:r>
        <w:t xml:space="preserve"> </w:t>
      </w:r>
      <m:oMath>
        <m:sSub>
          <m:e>
            <m:r>
              <m:t>φ</m:t>
            </m:r>
          </m:e>
          <m:sub>
            <m:r>
              <m:t>0</m:t>
            </m:r>
          </m:sub>
        </m:sSub>
        <m:r>
          <m:rPr>
            <m:sty m:val="p"/>
          </m:rPr>
          <m:t>≠</m:t>
        </m:r>
        <m:r>
          <m:t>0</m:t>
        </m:r>
        <m:r>
          <m:rPr>
            <m:sty m:val="p"/>
          </m:rPr>
          <m:t>°</m:t>
        </m:r>
      </m:oMath>
      <w:r>
        <w:t xml:space="preserve"> </w:t>
      </w:r>
      <w:r>
        <w:t xml:space="preserve">and</w:t>
      </w:r>
      <w:r>
        <w:t xml:space="preserve"> </w:t>
      </w:r>
      <m:oMath>
        <m:sSub>
          <m:e>
            <m:r>
              <m:t>φ</m:t>
            </m:r>
          </m:e>
          <m:sub>
            <m:r>
              <m:t>0</m:t>
            </m:r>
          </m:sub>
        </m:sSub>
        <m:r>
          <m:rPr>
            <m:sty m:val="p"/>
          </m:rPr>
          <m:t>≠</m:t>
        </m:r>
        <m:r>
          <m:t>90</m:t>
        </m:r>
        <m:r>
          <m:rPr>
            <m:sty m:val="p"/>
          </m:rPr>
          <m:t>°</m:t>
        </m:r>
      </m:oMath>
      <w:r>
        <w:t xml:space="preserve"> </w:t>
      </w:r>
      <w:r>
        <w:t xml:space="preserve">— both corresponding to degenerate stereophonic configurations</w:t>
      </w:r>
      <w:r>
        <w:t xml:space="preserve"> </w:t>
      </w:r>
      <w:fldSimple w:instr="NOTEREF _Ref_Footnote_42 \h \f">
        <w:r>
          <w:rPr>
            <w:vertAlign w:val="superscript"/>
          </w:rPr>
          <w:t>42</w:t>
        </w:r>
      </w:fldSimple>
      <w:r>
        <w:t xml:space="preserve">. For the symmetric case</w:t>
      </w:r>
      <w:r>
        <w:t xml:space="preserve"> </w:t>
      </w:r>
      <m:oMath>
        <m:sSub>
          <m:e>
            <m:r>
              <m:t>l</m:t>
            </m:r>
          </m:e>
          <m:sub>
            <m:r>
              <m:t>11</m:t>
            </m:r>
          </m:sub>
        </m:sSub>
        <m:r>
          <m:rPr>
            <m:sty m:val="p"/>
          </m:rPr>
          <m:t>=</m:t>
        </m:r>
        <m:sSub>
          <m:e>
            <m:r>
              <m:t>l</m:t>
            </m:r>
          </m:e>
          <m:sub>
            <m:r>
              <m:t>21</m:t>
            </m:r>
          </m:sub>
        </m:sSub>
        <m:r>
          <m:rPr>
            <m:sty m:val="p"/>
          </m:rPr>
          <m:t>=</m:t>
        </m:r>
        <m:r>
          <m:rPr>
            <m:sty m:val="p"/>
          </m:rPr>
          <m:t>cos</m:t>
        </m:r>
        <m:sSub>
          <m:e>
            <m:r>
              <m:t>φ</m:t>
            </m:r>
          </m:e>
          <m:sub>
            <m:r>
              <m:t>0</m:t>
            </m:r>
          </m:sub>
        </m:sSub>
      </m:oMath>
      <w:r>
        <w:t xml:space="preserve">,</w:t>
      </w:r>
      <w:r>
        <w:t xml:space="preserve"> </w:t>
      </w:r>
      <m:oMath>
        <m:sSub>
          <m:e>
            <m:r>
              <m:t>l</m:t>
            </m:r>
          </m:e>
          <m:sub>
            <m:r>
              <m:t>12</m:t>
            </m:r>
          </m:sub>
        </m:sSub>
        <m:r>
          <m:rPr>
            <m:sty m:val="p"/>
          </m:rPr>
          <m:t>=</m:t>
        </m:r>
        <m:r>
          <m:rPr>
            <m:sty m:val="p"/>
          </m:rPr>
          <m:t>−</m:t>
        </m:r>
        <m:sSub>
          <m:e>
            <m:r>
              <m:t>l</m:t>
            </m:r>
          </m:e>
          <m:sub>
            <m:r>
              <m:t>22</m:t>
            </m:r>
          </m:sub>
        </m:sSub>
        <m:r>
          <m:rPr>
            <m:sty m:val="p"/>
          </m:rPr>
          <m:t>=</m:t>
        </m:r>
        <m:r>
          <m:rPr>
            <m:sty m:val="p"/>
          </m:rPr>
          <m:t>sin</m:t>
        </m:r>
        <m:sSub>
          <m:e>
            <m:r>
              <m:t>φ</m:t>
            </m:r>
          </m:e>
          <m:sub>
            <m:r>
              <m:t>0</m:t>
            </m:r>
          </m:sub>
        </m:sSub>
      </m:oMath>
      <w:r>
        <w:t xml:space="preserve">, and virtual source direction</w:t>
      </w:r>
      <w:r>
        <w:t xml:space="preserve"> </w:t>
      </w:r>
      <m:oMath>
        <m:sSub>
          <m:e>
            <m:r>
              <m:t>p</m:t>
            </m:r>
          </m:e>
          <m:sub>
            <m:r>
              <m:t>1</m:t>
            </m:r>
          </m:sub>
        </m:sSub>
        <m:r>
          <m:rPr>
            <m:sty m:val="p"/>
          </m:rPr>
          <m:t>=</m:t>
        </m:r>
        <m:r>
          <m:rPr>
            <m:sty m:val="p"/>
          </m:rPr>
          <m:t>cos</m:t>
        </m:r>
        <m:r>
          <m:t>φ</m:t>
        </m:r>
      </m:oMath>
      <w:r>
        <w:t xml:space="preserve">,</w:t>
      </w:r>
      <w:r>
        <w:t xml:space="preserve"> </w:t>
      </w:r>
      <m:oMath>
        <m:sSub>
          <m:e>
            <m:r>
              <m:t>p</m:t>
            </m:r>
          </m:e>
          <m:sub>
            <m:r>
              <m:t>2</m:t>
            </m:r>
          </m:sub>
        </m:sSub>
        <m:r>
          <m:rPr>
            <m:sty m:val="p"/>
          </m:rPr>
          <m:t>=</m:t>
        </m:r>
        <m:r>
          <m:rPr>
            <m:sty m:val="p"/>
          </m:rPr>
          <m:t>sin</m:t>
        </m:r>
        <m:r>
          <m:t>φ</m:t>
        </m:r>
      </m:oMath>
      <w:r>
        <w:t xml:space="preserve">, the explicit solutions are:</w:t>
      </w:r>
    </w:p>
    <w:p>
      <w:pPr>
        <w:pStyle w:val="BodyText"/>
      </w:pPr>
      <m:oMathPara>
        <m:oMathParaPr>
          <m:jc m:val="center"/>
        </m:oMathParaPr>
        <m:oMath>
          <m:sSub>
            <m:e>
              <m:r>
                <m:t>g</m:t>
              </m:r>
            </m:e>
            <m:sub>
              <m:r>
                <m:t>1</m:t>
              </m:r>
            </m:sub>
          </m:sSub>
          <m:r>
            <m:rPr>
              <m:sty m:val="p"/>
            </m:rPr>
            <m:t>=</m:t>
          </m:r>
          <m:f>
            <m:fPr>
              <m:type m:val="bar"/>
            </m:fPr>
            <m:num>
              <m:r>
                <m:rPr>
                  <m:sty m:val="p"/>
                </m:rPr>
                <m:t>cos</m:t>
              </m:r>
              <m:r>
                <m:t>φ</m:t>
              </m:r>
              <m:r>
                <m:rPr>
                  <m:sty m:val="p"/>
                </m:rPr>
                <m:t>sin</m:t>
              </m:r>
              <m:sSub>
                <m:e>
                  <m:r>
                    <m:t>φ</m:t>
                  </m:r>
                </m:e>
                <m:sub>
                  <m:r>
                    <m:t>0</m:t>
                  </m:r>
                </m:sub>
              </m:sSub>
              <m:r>
                <m:rPr>
                  <m:sty m:val="p"/>
                </m:rPr>
                <m:t>+</m:t>
              </m:r>
              <m:r>
                <m:rPr>
                  <m:sty m:val="p"/>
                </m:rPr>
                <m:t>sin</m:t>
              </m:r>
              <m:r>
                <m:t>φ</m:t>
              </m:r>
              <m:r>
                <m:rPr>
                  <m:sty m:val="p"/>
                </m:rPr>
                <m:t>cos</m:t>
              </m:r>
              <m:sSub>
                <m:e>
                  <m:r>
                    <m:t>φ</m:t>
                  </m:r>
                </m:e>
                <m:sub>
                  <m:r>
                    <m:t>0</m:t>
                  </m:r>
                </m:sub>
              </m:sSub>
            </m:num>
            <m:den>
              <m:r>
                <m:t>2</m:t>
              </m:r>
              <m:r>
                <m:rPr>
                  <m:sty m:val="p"/>
                </m:rPr>
                <m:t>cos</m:t>
              </m:r>
              <m:sSub>
                <m:e>
                  <m:r>
                    <m:t>φ</m:t>
                  </m:r>
                </m:e>
                <m:sub>
                  <m:r>
                    <m:t>0</m:t>
                  </m:r>
                </m:sub>
              </m:sSub>
              <m:r>
                <m:rPr>
                  <m:sty m:val="p"/>
                </m:rPr>
                <m:t>sin</m:t>
              </m:r>
              <m:sSub>
                <m:e>
                  <m:r>
                    <m:t>φ</m:t>
                  </m:r>
                </m:e>
                <m:sub>
                  <m:r>
                    <m:t>0</m:t>
                  </m:r>
                </m:sub>
              </m:sSub>
            </m:den>
          </m:f>
          <m:r>
            <m:rPr>
              <m:sty m:val="p"/>
            </m:rPr>
            <m:t>,</m:t>
          </m:r>
          <m:r>
            <m:t> </m:t>
          </m:r>
          <m:sSub>
            <m:e>
              <m:r>
                <m:t>g</m:t>
              </m:r>
            </m:e>
            <m:sub>
              <m:r>
                <m:t>2</m:t>
              </m:r>
            </m:sub>
          </m:sSub>
          <m:r>
            <m:rPr>
              <m:sty m:val="p"/>
            </m:rPr>
            <m:t>=</m:t>
          </m:r>
          <m:f>
            <m:fPr>
              <m:type m:val="bar"/>
            </m:fPr>
            <m:num>
              <m:r>
                <m:rPr>
                  <m:sty m:val="p"/>
                </m:rPr>
                <m:t>cos</m:t>
              </m:r>
              <m:r>
                <m:t>φ</m:t>
              </m:r>
              <m:r>
                <m:rPr>
                  <m:sty m:val="p"/>
                </m:rPr>
                <m:t>sin</m:t>
              </m:r>
              <m:sSub>
                <m:e>
                  <m:r>
                    <m:t>φ</m:t>
                  </m:r>
                </m:e>
                <m:sub>
                  <m:r>
                    <m:t>0</m:t>
                  </m:r>
                </m:sub>
              </m:sSub>
              <m:r>
                <m:rPr>
                  <m:sty m:val="p"/>
                </m:rPr>
                <m:t>−</m:t>
              </m:r>
              <m:r>
                <m:rPr>
                  <m:sty m:val="p"/>
                </m:rPr>
                <m:t>sin</m:t>
              </m:r>
              <m:r>
                <m:t>φ</m:t>
              </m:r>
              <m:r>
                <m:rPr>
                  <m:sty m:val="p"/>
                </m:rPr>
                <m:t>cos</m:t>
              </m:r>
              <m:sSub>
                <m:e>
                  <m:r>
                    <m:t>φ</m:t>
                  </m:r>
                </m:e>
                <m:sub>
                  <m:r>
                    <m:t>0</m:t>
                  </m:r>
                </m:sub>
              </m:sSub>
            </m:num>
            <m:den>
              <m:r>
                <m:t>2</m:t>
              </m:r>
              <m:r>
                <m:rPr>
                  <m:sty m:val="p"/>
                </m:rPr>
                <m:t>cos</m:t>
              </m:r>
              <m:sSub>
                <m:e>
                  <m:r>
                    <m:t>φ</m:t>
                  </m:r>
                </m:e>
                <m:sub>
                  <m:r>
                    <m:t>0</m:t>
                  </m:r>
                </m:sub>
              </m:sSub>
              <m:r>
                <m:rPr>
                  <m:sty m:val="p"/>
                </m:rPr>
                <m:t>sin</m:t>
              </m:r>
              <m:sSub>
                <m:e>
                  <m:r>
                    <m:t>φ</m:t>
                  </m:r>
                </m:e>
                <m:sub>
                  <m:r>
                    <m:t>0</m:t>
                  </m:r>
                </m:sub>
              </m:sSub>
            </m:den>
          </m:f>
        </m:oMath>
      </m:oMathPara>
    </w:p>
    <w:p>
      <w:pPr>
        <w:pStyle w:val="FirstParagraph"/>
      </w:pPr>
      <w:r>
        <w:t xml:space="preserve">Pulkki proved the equivalence to the stereophonic tangent law by direct substitution</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w:t>
      </w:r>
    </w:p>
    <w:p>
      <w:pPr>
        <w:pStyle w:val="BodyText"/>
      </w:pPr>
      <m:oMathPara>
        <m:oMathParaPr>
          <m:jc m:val="center"/>
        </m:oMathParaPr>
        <m:oMath>
          <m:f>
            <m:fPr>
              <m:type m:val="bar"/>
            </m:fPr>
            <m:num>
              <m:sSub>
                <m:e>
                  <m:r>
                    <m:t>g</m:t>
                  </m:r>
                </m:e>
                <m:sub>
                  <m:r>
                    <m:t>1</m:t>
                  </m:r>
                </m:sub>
              </m:sSub>
              <m:r>
                <m:rPr>
                  <m:sty m:val="p"/>
                </m:rPr>
                <m:t>−</m:t>
              </m:r>
              <m:sSub>
                <m:e>
                  <m:r>
                    <m:t>g</m:t>
                  </m:r>
                </m:e>
                <m:sub>
                  <m:r>
                    <m:t>2</m:t>
                  </m:r>
                </m:sub>
              </m:sSub>
            </m:num>
            <m:den>
              <m:sSub>
                <m:e>
                  <m:r>
                    <m:t>g</m:t>
                  </m:r>
                </m:e>
                <m:sub>
                  <m:r>
                    <m:t>1</m:t>
                  </m:r>
                </m:sub>
              </m:sSub>
              <m:r>
                <m:rPr>
                  <m:sty m:val="p"/>
                </m:rPr>
                <m:t>+</m:t>
              </m:r>
              <m:sSub>
                <m:e>
                  <m:r>
                    <m:t>g</m:t>
                  </m:r>
                </m:e>
                <m:sub>
                  <m:r>
                    <m:t>2</m:t>
                  </m:r>
                </m:sub>
              </m:sSub>
            </m:den>
          </m:f>
          <m:r>
            <m:rPr>
              <m:sty m:val="p"/>
            </m:rPr>
            <m:t>=</m:t>
          </m:r>
          <m:f>
            <m:fPr>
              <m:type m:val="bar"/>
            </m:fPr>
            <m:num>
              <m:r>
                <m:t>2</m:t>
              </m:r>
              <m:r>
                <m:rPr>
                  <m:sty m:val="p"/>
                </m:rPr>
                <m:t>sin</m:t>
              </m:r>
              <m:r>
                <m:t>φ</m:t>
              </m:r>
              <m:r>
                <m:rPr>
                  <m:sty m:val="p"/>
                </m:rPr>
                <m:t>cos</m:t>
              </m:r>
              <m:sSub>
                <m:e>
                  <m:r>
                    <m:t>φ</m:t>
                  </m:r>
                </m:e>
                <m:sub>
                  <m:r>
                    <m:t>0</m:t>
                  </m:r>
                </m:sub>
              </m:sSub>
            </m:num>
            <m:den>
              <m:r>
                <m:t>2</m:t>
              </m:r>
              <m:r>
                <m:rPr>
                  <m:sty m:val="p"/>
                </m:rPr>
                <m:t>cos</m:t>
              </m:r>
              <m:r>
                <m:t>φ</m:t>
              </m:r>
              <m:r>
                <m:rPr>
                  <m:sty m:val="p"/>
                </m:rPr>
                <m:t>sin</m:t>
              </m:r>
              <m:sSub>
                <m:e>
                  <m:r>
                    <m:t>φ</m:t>
                  </m:r>
                </m:e>
                <m:sub>
                  <m:r>
                    <m:t>0</m:t>
                  </m:r>
                </m:sub>
              </m:sSub>
            </m:den>
          </m:f>
          <m:r>
            <m:rPr>
              <m:sty m:val="p"/>
            </m:rPr>
            <m:t>=</m:t>
          </m:r>
          <m:f>
            <m:fPr>
              <m:type m:val="bar"/>
            </m:fPr>
            <m:num>
              <m:r>
                <m:rPr>
                  <m:sty m:val="p"/>
                </m:rPr>
                <m:t>tan</m:t>
              </m:r>
              <m:r>
                <m:t>φ</m:t>
              </m:r>
            </m:num>
            <m:den>
              <m:r>
                <m:rPr>
                  <m:sty m:val="p"/>
                </m:rPr>
                <m:t>tan</m:t>
              </m:r>
              <m:sSub>
                <m:e>
                  <m:r>
                    <m:t>φ</m:t>
                  </m:r>
                </m:e>
                <m:sub>
                  <m:r>
                    <m:t>0</m:t>
                  </m:r>
                </m:sub>
              </m:sSub>
            </m:den>
          </m:f>
        </m:oMath>
      </m:oMathPara>
    </w:p>
    <w:p>
      <w:pPr>
        <w:pStyle w:val="FirstParagraph"/>
      </w:pPr>
      <w:r>
        <w:t xml:space="preserve">This is precisely the tangent law:</w:t>
      </w:r>
      <w:r>
        <w:t xml:space="preserve"> </w:t>
      </w:r>
      <m:oMath>
        <m:r>
          <m:rPr>
            <m:sty m:val="p"/>
          </m:rPr>
          <m:t>tan</m:t>
        </m:r>
        <m:r>
          <m:t>φ</m:t>
        </m:r>
        <m:r>
          <m:rPr>
            <m:sty m:val="p"/>
          </m:rPr>
          <m:t>/</m:t>
        </m:r>
        <m:r>
          <m:rPr>
            <m:sty m:val="p"/>
          </m:rPr>
          <m:t>tan</m:t>
        </m:r>
        <m:sSub>
          <m:e>
            <m:r>
              <m:t>φ</m:t>
            </m:r>
          </m:e>
          <m:sub>
            <m:r>
              <m:t>0</m:t>
            </m:r>
          </m:sub>
        </m:sSub>
        <m:r>
          <m:rPr>
            <m:sty m:val="p"/>
          </m:rPr>
          <m:t>=</m:t>
        </m:r>
        <m:d>
          <m:dPr>
            <m:begChr m:val="("/>
            <m:endChr m:val=")"/>
            <m:sepChr m:val=""/>
            <m:grow/>
          </m:dPr>
          <m:e>
            <m:sSub>
              <m:e>
                <m:r>
                  <m:t>g</m:t>
                </m:r>
              </m:e>
              <m:sub>
                <m:r>
                  <m:t>1</m:t>
                </m:r>
              </m:sub>
            </m:sSub>
            <m:r>
              <m:rPr>
                <m:sty m:val="p"/>
              </m:rPr>
              <m:t>−</m:t>
            </m:r>
            <m:sSub>
              <m:e>
                <m:r>
                  <m:t>g</m:t>
                </m:r>
              </m:e>
              <m:sub>
                <m:r>
                  <m:t>2</m:t>
                </m:r>
              </m:sub>
            </m:sSub>
          </m:e>
        </m:d>
        <m:r>
          <m:rPr>
            <m:sty m:val="p"/>
          </m:rPr>
          <m:t>/</m:t>
        </m:r>
        <m:d>
          <m:dPr>
            <m:begChr m:val="("/>
            <m:endChr m:val=")"/>
            <m:sepChr m:val=""/>
            <m:grow/>
          </m:dPr>
          <m:e>
            <m:sSub>
              <m:e>
                <m:r>
                  <m:t>g</m:t>
                </m:r>
              </m:e>
              <m:sub>
                <m:r>
                  <m:t>1</m:t>
                </m:r>
              </m:sub>
            </m:sSub>
            <m:r>
              <m:rPr>
                <m:sty m:val="p"/>
              </m:rPr>
              <m:t>+</m:t>
            </m:r>
            <m:sSub>
              <m:e>
                <m:r>
                  <m:t>g</m:t>
                </m:r>
              </m:e>
              <m:sub>
                <m:r>
                  <m:t>2</m:t>
                </m:r>
              </m:sub>
            </m:sSub>
          </m:e>
        </m:d>
      </m:oMath>
      <w:r>
        <w:t xml:space="preserve">. Thus, VBAP in 2D reduces to the classical result; its power lies in extending this principle to arbitrary 3D configurations.</w:t>
      </w:r>
    </w:p>
    <w:bookmarkEnd w:id="64"/>
    <w:bookmarkStart w:id="65" w:name="Xe4a8ac2d0eef98412f2a17b801614e1b44249c2"/>
    <w:p>
      <w:pPr>
        <w:pStyle w:val="Heading4"/>
      </w:pPr>
      <w:r>
        <w:t xml:space="preserve">4.5.2 Three-Dimensional VBAP: The Triplet Formulation</w:t>
      </w:r>
    </w:p>
    <w:p>
      <w:pPr>
        <w:pStyle w:val="FirstParagraph"/>
      </w:pPr>
      <w:r>
        <w:t xml:space="preserve">In three dimensions, three loudspeakers arranged in a triangle form a vector base. Each loudspeaker</w:t>
      </w:r>
      <w:r>
        <w:t xml:space="preserve"> </w:t>
      </w:r>
      <m:oMath>
        <m:r>
          <m:t>k</m:t>
        </m:r>
      </m:oMath>
      <w:r>
        <w:t xml:space="preserve">,</w:t>
      </w:r>
      <w:r>
        <w:t xml:space="preserve"> </w:t>
      </w:r>
      <m:oMath>
        <m:r>
          <m:t>m</m:t>
        </m:r>
      </m:oMath>
      <w:r>
        <w:t xml:space="preserve">,</w:t>
      </w:r>
      <w:r>
        <w:t xml:space="preserve"> </w:t>
      </w:r>
      <m:oMath>
        <m:r>
          <m:t>n</m:t>
        </m:r>
      </m:oMath>
      <w:r>
        <w:t xml:space="preserve"> </w:t>
      </w:r>
      <w:r>
        <w:t xml:space="preserve">has a unit-length position vector</w:t>
      </w:r>
      <w:r>
        <w:t xml:space="preserve"> </w:t>
      </w:r>
      <m:oMath>
        <m:sSub>
          <m:e>
            <m:r>
              <m:t>l</m:t>
            </m:r>
          </m:e>
          <m:sub>
            <m:r>
              <m:t>k</m:t>
            </m:r>
          </m:sub>
        </m:sSub>
      </m:oMath>
      <w:r>
        <w:t xml:space="preserve">,</w:t>
      </w:r>
      <w:r>
        <w:t xml:space="preserve"> </w:t>
      </w:r>
      <m:oMath>
        <m:sSub>
          <m:e>
            <m:r>
              <m:t>l</m:t>
            </m:r>
          </m:e>
          <m:sub>
            <m:r>
              <m:t>m</m:t>
            </m:r>
          </m:sub>
        </m:sSub>
      </m:oMath>
      <w:r>
        <w:t xml:space="preserve">,</w:t>
      </w:r>
      <w:r>
        <w:t xml:space="preserve"> </w:t>
      </w:r>
      <m:oMath>
        <m:sSub>
          <m:e>
            <m:r>
              <m:t>l</m:t>
            </m:r>
          </m:e>
          <m:sub>
            <m:r>
              <m:t>n</m:t>
            </m:r>
          </m:sub>
        </m:sSub>
      </m:oMath>
      <w:r>
        <w:t xml:space="preserve"> </w:t>
      </w:r>
      <w:r>
        <w:t xml:space="preserve">in Cartesian coordinates. The 3D vector base matrix is defined as</w:t>
      </w:r>
      <w:r>
        <w:t xml:space="preserve"> </w:t>
      </w:r>
      <w:fldSimple w:instr="NOTEREF _Ref_Footnote_42 \h \f">
        <w:r>
          <w:rPr>
            <w:vertAlign w:val="superscript"/>
          </w:rPr>
          <w:t>42</w:t>
        </w:r>
      </w:fldSimple>
      <w:r>
        <w:t xml:space="preserve"> </w:t>
      </w:r>
      <w:fldSimple w:instr="NOTEREF _Ref_Footnote_66 \h \f">
        <w:r>
          <w:rPr>
            <w:vertAlign w:val="superscript"/>
          </w:rPr>
          <w:t>66</w:t>
        </w:r>
      </w:fldSimple>
      <w:r>
        <w:t xml:space="preserve">:</w:t>
      </w:r>
    </w:p>
    <w:p>
      <w:pPr>
        <w:pStyle w:val="BodyText"/>
      </w:pPr>
      <m:oMathPara>
        <m:oMathParaPr>
          <m:jc m:val="center"/>
        </m:oMathParaPr>
        <m:oMath>
          <m:sSub>
            <m:e>
              <m:r>
                <m:t>L</m:t>
              </m:r>
            </m:e>
            <m:sub>
              <m:r>
                <m:t>k</m:t>
              </m:r>
              <m:r>
                <m:t>m</m:t>
              </m:r>
              <m:r>
                <m:t>n</m:t>
              </m:r>
            </m:sub>
          </m:sSub>
          <m:r>
            <m:rPr>
              <m:sty m:val="p"/>
            </m:rPr>
            <m:t>=</m:t>
          </m:r>
          <m:d>
            <m:dPr>
              <m:begChr m:val="["/>
              <m:endChr m:val="]"/>
              <m:sepChr m:val=""/>
              <m:grow/>
            </m:dPr>
            <m:e>
              <m:m>
                <m:mPr>
                  <m:baseJc m:val="center"/>
                  <m:plcHide m:val="1"/>
                  <m:mcs>
                    <m:mc>
                      <m:mcPr>
                        <m:mcJc m:val="center"/>
                        <m:count m:val="1"/>
                      </m:mcPr>
                    </m:mc>
                    <m:mc>
                      <m:mcPr>
                        <m:mcJc m:val="center"/>
                        <m:count m:val="1"/>
                      </m:mcPr>
                    </m:mc>
                    <m:mc>
                      <m:mcPr>
                        <m:mcJc m:val="center"/>
                        <m:count m:val="1"/>
                      </m:mcPr>
                    </m:mc>
                  </m:mcs>
                </m:mPr>
                <m:mr>
                  <m:e>
                    <m:sSub>
                      <m:e>
                        <m:r>
                          <m:t>l</m:t>
                        </m:r>
                      </m:e>
                      <m:sub>
                        <m:r>
                          <m:t>k</m:t>
                        </m:r>
                        <m:r>
                          <m:t>x</m:t>
                        </m:r>
                      </m:sub>
                    </m:sSub>
                  </m:e>
                  <m:e>
                    <m:sSub>
                      <m:e>
                        <m:r>
                          <m:t>l</m:t>
                        </m:r>
                      </m:e>
                      <m:sub>
                        <m:r>
                          <m:t>m</m:t>
                        </m:r>
                        <m:r>
                          <m:t>x</m:t>
                        </m:r>
                      </m:sub>
                    </m:sSub>
                  </m:e>
                  <m:e>
                    <m:sSub>
                      <m:e>
                        <m:r>
                          <m:t>l</m:t>
                        </m:r>
                      </m:e>
                      <m:sub>
                        <m:r>
                          <m:t>n</m:t>
                        </m:r>
                        <m:r>
                          <m:t>x</m:t>
                        </m:r>
                      </m:sub>
                    </m:sSub>
                  </m:e>
                </m:mr>
                <m:mr>
                  <m:e>
                    <m:sSub>
                      <m:e>
                        <m:r>
                          <m:t>l</m:t>
                        </m:r>
                      </m:e>
                      <m:sub>
                        <m:r>
                          <m:t>k</m:t>
                        </m:r>
                        <m:r>
                          <m:t>y</m:t>
                        </m:r>
                      </m:sub>
                    </m:sSub>
                  </m:e>
                  <m:e>
                    <m:sSub>
                      <m:e>
                        <m:r>
                          <m:t>l</m:t>
                        </m:r>
                      </m:e>
                      <m:sub>
                        <m:r>
                          <m:t>m</m:t>
                        </m:r>
                        <m:r>
                          <m:t>y</m:t>
                        </m:r>
                      </m:sub>
                    </m:sSub>
                  </m:e>
                  <m:e>
                    <m:sSub>
                      <m:e>
                        <m:r>
                          <m:t>l</m:t>
                        </m:r>
                      </m:e>
                      <m:sub>
                        <m:r>
                          <m:t>n</m:t>
                        </m:r>
                        <m:r>
                          <m:t>y</m:t>
                        </m:r>
                      </m:sub>
                    </m:sSub>
                  </m:e>
                </m:mr>
                <m:mr>
                  <m:e>
                    <m:sSub>
                      <m:e>
                        <m:r>
                          <m:t>l</m:t>
                        </m:r>
                      </m:e>
                      <m:sub>
                        <m:r>
                          <m:t>k</m:t>
                        </m:r>
                        <m:r>
                          <m:t>z</m:t>
                        </m:r>
                      </m:sub>
                    </m:sSub>
                  </m:e>
                  <m:e>
                    <m:sSub>
                      <m:e>
                        <m:r>
                          <m:t>l</m:t>
                        </m:r>
                      </m:e>
                      <m:sub>
                        <m:r>
                          <m:t>m</m:t>
                        </m:r>
                        <m:r>
                          <m:t>z</m:t>
                        </m:r>
                      </m:sub>
                    </m:sSub>
                  </m:e>
                  <m:e>
                    <m:sSub>
                      <m:e>
                        <m:r>
                          <m:t>l</m:t>
                        </m:r>
                      </m:e>
                      <m:sub>
                        <m:r>
                          <m:t>n</m:t>
                        </m:r>
                        <m:r>
                          <m:t>z</m:t>
                        </m:r>
                      </m:sub>
                    </m:sSub>
                  </m:e>
                </m:mr>
              </m:m>
            </m:e>
          </m:d>
        </m:oMath>
      </m:oMathPara>
    </w:p>
    <w:p>
      <w:pPr>
        <w:pStyle w:val="FirstParagraph"/>
      </w:pPr>
      <w:r>
        <w:t xml:space="preserve">Each column is a unit-length loudspeaker direction vector. The matrix must span</w:t>
      </w:r>
      <w:r>
        <w:t xml:space="preserve"> </w:t>
      </w:r>
      <m:oMath>
        <m:sSup>
          <m:e>
            <m:r>
              <m:rPr>
                <m:sty m:val="p"/>
                <m:scr m:val="double-struck"/>
              </m:rPr>
              <m:t>R</m:t>
            </m:r>
          </m:e>
          <m:sup>
            <m:r>
              <m:t>3</m:t>
            </m:r>
          </m:sup>
        </m:sSup>
      </m:oMath>
      <w:r>
        <w:t xml:space="preserve"> </w:t>
      </w:r>
      <w:r>
        <w:t xml:space="preserve">(the three loudspeakers must not be collinear) for</w:t>
      </w:r>
      <w:r>
        <w:t xml:space="preserve"> </w:t>
      </w:r>
      <m:oMath>
        <m:sSubSup>
          <m:e>
            <m:r>
              <m:t>L</m:t>
            </m:r>
          </m:e>
          <m:sub>
            <m:r>
              <m:t>k</m:t>
            </m:r>
            <m:r>
              <m:t>m</m:t>
            </m:r>
            <m:r>
              <m:t>n</m:t>
            </m:r>
          </m:sub>
          <m:sup>
            <m:r>
              <m:rPr>
                <m:sty m:val="p"/>
              </m:rPr>
              <m:t>−</m:t>
            </m:r>
            <m:r>
              <m:t>1</m:t>
            </m:r>
          </m:sup>
        </m:sSubSup>
      </m:oMath>
      <w:r>
        <w:t xml:space="preserve"> </w:t>
      </w:r>
      <w:r>
        <w:t xml:space="preserve">to exist. A virtual source at direction</w:t>
      </w:r>
      <w:r>
        <w:t xml:space="preserve"> </w:t>
      </w:r>
      <m:oMath>
        <m:r>
          <m:t>Ω</m:t>
        </m:r>
        <m:r>
          <m:rPr>
            <m:sty m:val="p"/>
          </m:rPr>
          <m:t>=</m:t>
        </m:r>
        <m:d>
          <m:dPr>
            <m:begChr m:val="("/>
            <m:endChr m:val=")"/>
            <m:sepChr m:val=""/>
            <m:grow/>
          </m:dPr>
          <m:e>
            <m:r>
              <m:t>θ</m:t>
            </m:r>
            <m:r>
              <m:rPr>
                <m:sty m:val="p"/>
              </m:rPr>
              <m:t>,</m:t>
            </m:r>
            <m:r>
              <m:t>ϕ</m:t>
            </m:r>
          </m:e>
        </m:d>
      </m:oMath>
      <w:r>
        <w:t xml:space="preserve"> </w:t>
      </w:r>
      <w:r>
        <w:t xml:space="preserve">is represented by the unit vector:</w:t>
      </w:r>
    </w:p>
    <w:p>
      <w:pPr>
        <w:pStyle w:val="BodyText"/>
      </w:pPr>
      <m:oMathPara>
        <m:oMathParaPr>
          <m:jc m:val="center"/>
        </m:oMathParaPr>
        <m:oMath>
          <m:r>
            <m:t>p</m:t>
          </m:r>
          <m:d>
            <m:dPr>
              <m:begChr m:val="("/>
              <m:endChr m:val=")"/>
              <m:sepChr m:val=""/>
              <m:grow/>
            </m:dPr>
            <m:e>
              <m:r>
                <m:t>Ω</m:t>
              </m:r>
            </m:e>
          </m:d>
          <m:r>
            <m:rPr>
              <m:sty m:val="p"/>
            </m:rPr>
            <m:t>=</m:t>
          </m:r>
          <m:sSup>
            <m:e>
              <m:d>
                <m:dPr>
                  <m:begChr m:val="("/>
                  <m:endChr m:val=")"/>
                  <m:sepChr m:val=""/>
                  <m:grow/>
                </m:dPr>
                <m:e>
                  <m:r>
                    <m:rPr>
                      <m:sty m:val="p"/>
                    </m:rPr>
                    <m:t>cos</m:t>
                  </m:r>
                  <m:r>
                    <m:t>ϕ</m:t>
                  </m:r>
                  <m:r>
                    <m:rPr>
                      <m:sty m:val="p"/>
                    </m:rPr>
                    <m:t>sin</m:t>
                  </m:r>
                  <m:r>
                    <m:t>θ</m:t>
                  </m:r>
                  <m:r>
                    <m:rPr>
                      <m:sty m:val="p"/>
                    </m:rPr>
                    <m:t>,</m:t>
                  </m:r>
                  <m:r>
                    <m:t> </m:t>
                  </m:r>
                  <m:r>
                    <m:rPr>
                      <m:sty m:val="p"/>
                    </m:rPr>
                    <m:t>sin</m:t>
                  </m:r>
                  <m:r>
                    <m:t>ϕ</m:t>
                  </m:r>
                  <m:r>
                    <m:rPr>
                      <m:sty m:val="p"/>
                    </m:rPr>
                    <m:t>sin</m:t>
                  </m:r>
                  <m:r>
                    <m:t>θ</m:t>
                  </m:r>
                  <m:r>
                    <m:rPr>
                      <m:sty m:val="p"/>
                    </m:rPr>
                    <m:t>,</m:t>
                  </m:r>
                  <m:r>
                    <m:t> </m:t>
                  </m:r>
                  <m:r>
                    <m:rPr>
                      <m:sty m:val="p"/>
                    </m:rPr>
                    <m:t>cos</m:t>
                  </m:r>
                  <m:r>
                    <m:t>θ</m:t>
                  </m:r>
                </m:e>
              </m:d>
            </m:e>
            <m:sup>
              <m:r>
                <m:t>T</m:t>
              </m:r>
            </m:sup>
          </m:sSup>
        </m:oMath>
      </m:oMathPara>
    </w:p>
    <w:p>
      <w:pPr>
        <w:pStyle w:val="FirstParagraph"/>
      </w:pPr>
      <w:r>
        <w:t xml:space="preserve">The virtual source position is decomposed onto the loudspeaker vector base:</w:t>
      </w:r>
    </w:p>
    <w:p>
      <w:pPr>
        <w:pStyle w:val="BodyText"/>
      </w:pPr>
      <m:oMathPara>
        <m:oMathParaPr>
          <m:jc m:val="center"/>
        </m:oMathParaPr>
        <m:oMath>
          <m:r>
            <m:t>p</m:t>
          </m:r>
          <m:d>
            <m:dPr>
              <m:begChr m:val="("/>
              <m:endChr m:val=")"/>
              <m:sepChr m:val=""/>
              <m:grow/>
            </m:dPr>
            <m:e>
              <m:r>
                <m:t>Ω</m:t>
              </m:r>
            </m:e>
          </m:d>
          <m:r>
            <m:rPr>
              <m:sty m:val="p"/>
            </m:rPr>
            <m:t>=</m:t>
          </m:r>
          <m:sSub>
            <m:e>
              <m:r>
                <m:t>L</m:t>
              </m:r>
            </m:e>
            <m:sub>
              <m:r>
                <m:t>k</m:t>
              </m:r>
              <m:r>
                <m:t>m</m:t>
              </m:r>
              <m:r>
                <m:t>n</m:t>
              </m:r>
            </m:sub>
          </m:sSub>
          <m:r>
            <m:rPr>
              <m:sty m:val="p"/>
            </m:rPr>
            <m:t>⋅</m:t>
          </m:r>
          <m:r>
            <m:t>g</m:t>
          </m:r>
          <m:d>
            <m:dPr>
              <m:begChr m:val="("/>
              <m:endChr m:val=")"/>
              <m:sepChr m:val=""/>
              <m:grow/>
            </m:dPr>
            <m:e>
              <m:r>
                <m:t>Ω</m:t>
              </m:r>
            </m:e>
          </m:d>
          <m:r>
            <m:rPr>
              <m:sty m:val="p"/>
            </m:rPr>
            <m:t>=</m:t>
          </m:r>
          <m:sSub>
            <m:e>
              <m:acc>
                <m:accPr>
                  <m:chr m:val="‾"/>
                </m:accPr>
                <m:e>
                  <m:r>
                    <m:t>g</m:t>
                  </m:r>
                </m:e>
              </m:acc>
            </m:e>
            <m:sub>
              <m:r>
                <m:t>k</m:t>
              </m:r>
            </m:sub>
          </m:sSub>
          <m:sSub>
            <m:e>
              <m:r>
                <m:t>l</m:t>
              </m:r>
            </m:e>
            <m:sub>
              <m:r>
                <m:t>k</m:t>
              </m:r>
            </m:sub>
          </m:sSub>
          <m:r>
            <m:rPr>
              <m:sty m:val="p"/>
            </m:rPr>
            <m:t>+</m:t>
          </m:r>
          <m:sSub>
            <m:e>
              <m:acc>
                <m:accPr>
                  <m:chr m:val="‾"/>
                </m:accPr>
                <m:e>
                  <m:r>
                    <m:t>g</m:t>
                  </m:r>
                </m:e>
              </m:acc>
            </m:e>
            <m:sub>
              <m:r>
                <m:t>m</m:t>
              </m:r>
            </m:sub>
          </m:sSub>
          <m:sSub>
            <m:e>
              <m:r>
                <m:t>l</m:t>
              </m:r>
            </m:e>
            <m:sub>
              <m:r>
                <m:t>m</m:t>
              </m:r>
            </m:sub>
          </m:sSub>
          <m:r>
            <m:rPr>
              <m:sty m:val="p"/>
            </m:rPr>
            <m:t>+</m:t>
          </m:r>
          <m:sSub>
            <m:e>
              <m:acc>
                <m:accPr>
                  <m:chr m:val="‾"/>
                </m:accPr>
                <m:e>
                  <m:r>
                    <m:t>g</m:t>
                  </m:r>
                </m:e>
              </m:acc>
            </m:e>
            <m:sub>
              <m:r>
                <m:t>n</m:t>
              </m:r>
            </m:sub>
          </m:sSub>
          <m:sSub>
            <m:e>
              <m:r>
                <m:t>l</m:t>
              </m:r>
            </m:e>
            <m:sub>
              <m:r>
                <m:t>n</m:t>
              </m:r>
            </m:sub>
          </m:sSub>
        </m:oMath>
      </m:oMathPara>
    </w:p>
    <w:p>
      <w:pPr>
        <w:pStyle w:val="FirstParagraph"/>
      </w:pPr>
      <w:r>
        <w:t xml:space="preserve">The unnormalized gain factors are obtained by matrix inversion — the fundamental VBAP equation:</w:t>
      </w:r>
    </w:p>
    <w:p>
      <w:pPr>
        <w:pStyle w:val="BodyText"/>
      </w:pPr>
      <m:oMathPara>
        <m:oMathParaPr>
          <m:jc m:val="center"/>
        </m:oMathParaPr>
        <m:oMath>
          <m:r>
            <m:t>g</m:t>
          </m:r>
          <m:d>
            <m:dPr>
              <m:begChr m:val="("/>
              <m:endChr m:val=")"/>
              <m:sepChr m:val=""/>
              <m:grow/>
            </m:dPr>
            <m:e>
              <m:r>
                <m:t>Ω</m:t>
              </m:r>
            </m:e>
          </m:d>
          <m:r>
            <m:rPr>
              <m:sty m:val="p"/>
            </m:rPr>
            <m:t>=</m:t>
          </m:r>
          <m:sSubSup>
            <m:e>
              <m:r>
                <m:t>L</m:t>
              </m:r>
            </m:e>
            <m:sub>
              <m:r>
                <m:t>k</m:t>
              </m:r>
              <m:r>
                <m:t>m</m:t>
              </m:r>
              <m:r>
                <m:t>n</m:t>
              </m:r>
            </m:sub>
            <m:sup>
              <m:r>
                <m:rPr>
                  <m:sty m:val="p"/>
                </m:rPr>
                <m:t>−</m:t>
              </m:r>
              <m:r>
                <m:t>1</m:t>
              </m:r>
            </m:sup>
          </m:sSubSup>
          <m:r>
            <m:rPr>
              <m:sty m:val="p"/>
            </m:rPr>
            <m:t>⋅</m:t>
          </m:r>
          <m:r>
            <m:t>p</m:t>
          </m:r>
          <m:d>
            <m:dPr>
              <m:begChr m:val="("/>
              <m:endChr m:val=")"/>
              <m:sepChr m:val=""/>
              <m:grow/>
            </m:dPr>
            <m:e>
              <m:r>
                <m:t>Ω</m:t>
              </m:r>
            </m:e>
          </m:d>
        </m:oMath>
      </m:oMathPara>
    </w:p>
    <w:p>
      <w:pPr>
        <w:pStyle w:val="FirstParagraph"/>
      </w:pPr>
      <w:r>
        <w:t xml:space="preserve">This is a projection of the virtual source direction vector onto the vector base defined by the loudspeaker triplet</w:t>
      </w:r>
      <w:r>
        <w:t xml:space="preserve"> </w:t>
      </w:r>
      <w:fldSimple w:instr="NOTEREF _Ref_Footnote_42 \h \f">
        <w:r>
          <w:rPr>
            <w:vertAlign w:val="superscript"/>
          </w:rPr>
          <w:t>42</w:t>
        </w:r>
      </w:fldSimple>
      <w:r>
        <w:t xml:space="preserve">. When three loudspeakers are placed in an orthogonal grid,</w:t>
      </w:r>
      <w:r>
        <w:t xml:space="preserve"> </w:t>
      </w:r>
      <m:oMath>
        <m:sSub>
          <m:e>
            <m:r>
              <m:t>L</m:t>
            </m:r>
          </m:e>
          <m:sub>
            <m:r>
              <m:t>k</m:t>
            </m:r>
            <m:r>
              <m:t>m</m:t>
            </m:r>
            <m:r>
              <m:t>n</m:t>
            </m:r>
          </m:sub>
        </m:sSub>
        <m:r>
          <m:rPr>
            <m:sty m:val="p"/>
          </m:rPr>
          <m:t>=</m:t>
        </m:r>
        <m:r>
          <m:t>I</m:t>
        </m:r>
      </m:oMath>
      <w:r>
        <w:t xml:space="preserve"> </w:t>
      </w:r>
      <w:r>
        <w:t xml:space="preserve">(the identity matrix), and the gains reduce to the Cartesian coordinates of</w:t>
      </w:r>
      <w:r>
        <w:t xml:space="preserve"> </w:t>
      </w:r>
      <m:oMath>
        <m:r>
          <m:t>p</m:t>
        </m:r>
      </m:oMath>
      <w:r>
        <w:t xml:space="preserve">, equivalent to 3D Ambisonics encoding</w:t>
      </w:r>
      <w:r>
        <w:t xml:space="preserve"> </w:t>
      </w:r>
      <w:fldSimple w:instr="NOTEREF _Ref_Footnote_42 \h \f">
        <w:r>
          <w:rPr>
            <w:vertAlign w:val="superscript"/>
          </w:rPr>
          <w:t>42</w:t>
        </w:r>
      </w:fldSimple>
      <w:r>
        <w:t xml:space="preserve">.</w:t>
      </w:r>
    </w:p>
    <w:bookmarkEnd w:id="65"/>
    <w:bookmarkStart w:id="66" w:name="Xefa7b4663803f2ae64c9ff70fdbf83c0704b7fb"/>
    <w:p>
      <w:pPr>
        <w:pStyle w:val="Heading4"/>
      </w:pPr>
      <w:r>
        <w:t xml:space="preserve">4.5.3 Speaker Triplet Selection: Convex Hull and Delaunay Triangulation</w:t>
      </w:r>
    </w:p>
    <w:p>
      <w:pPr>
        <w:pStyle w:val="FirstParagraph"/>
      </w:pPr>
      <w:r>
        <w:t xml:space="preserve">The triplet selection problem — determining which three loudspeakers should render a given virtual source — is solved geometrically. The renderer computes the convex hull of all loudspeaker position vectors projected onto the unit sphere</w:t>
      </w:r>
      <w:r>
        <w:t xml:space="preserve"> </w:t>
      </w:r>
      <w:fldSimple w:instr="NOTEREF _Ref_Footnote_66 \h \f">
        <w:r>
          <w:rPr>
            <w:vertAlign w:val="superscript"/>
          </w:rPr>
          <w:t>66</w:t>
        </w:r>
      </w:fldSimple>
      <w:r>
        <w:t xml:space="preserve"> </w:t>
      </w:r>
      <w:fldSimple w:instr="NOTEREF _Ref_Footnote_14 \h \f">
        <w:r>
          <w:rPr>
            <w:vertAlign w:val="superscript"/>
          </w:rPr>
          <w:t>14</w:t>
        </w:r>
      </w:fldSimple>
      <w:r>
        <w:t xml:space="preserve">. The convex hull produces a triangulated mesh where each facet is a spherical triangle; this triangulation is the Delaunay triangulation, which maximizes the minimum interior angle of each triangle and yields numerically well-conditioned</w:t>
      </w:r>
      <w:r>
        <w:t xml:space="preserve"> </w:t>
      </w:r>
      <m:oMath>
        <m:sSub>
          <m:e>
            <m:r>
              <m:t>L</m:t>
            </m:r>
          </m:e>
          <m:sub>
            <m:r>
              <m:t>k</m:t>
            </m:r>
            <m:r>
              <m:t>m</m:t>
            </m:r>
            <m:r>
              <m:t>n</m:t>
            </m:r>
          </m:sub>
        </m:sSub>
      </m:oMath>
      <w:r>
        <w:t xml:space="preserve"> </w:t>
      </w:r>
      <w:r>
        <w:t xml:space="preserve">matrices</w:t>
      </w:r>
      <w:r>
        <w:t xml:space="preserve"> </w:t>
      </w:r>
      <w:fldSimple w:instr="NOTEREF _Ref_Footnote_33 \h \f">
        <w:r>
          <w:rPr>
            <w:vertAlign w:val="superscript"/>
          </w:rPr>
          <w:t>33</w:t>
        </w:r>
      </w:fldSimple>
      <w:r>
        <w:t xml:space="preserve">.</w:t>
      </w:r>
    </w:p>
    <w:p>
      <w:pPr>
        <w:pStyle w:val="BodyText"/>
      </w:pPr>
      <w:r>
        <w:t xml:space="preserve">At runtime, the correct triplet is selected by testing all candidate triplets and choosing the one yielding all-positive gain factors</w:t>
      </w:r>
      <w:r>
        <w:t xml:space="preserve"> </w:t>
      </w:r>
      <w:fldSimple w:instr="NOTEREF _Ref_Footnote_42 \h \f">
        <w:r>
          <w:rPr>
            <w:vertAlign w:val="superscript"/>
          </w:rPr>
          <w:t>42</w:t>
        </w:r>
      </w:fldSimple>
      <w:r>
        <w:t xml:space="preserve"> </w:t>
      </w:r>
      <w:fldSimple w:instr="NOTEREF _Ref_Footnote_14 \h \f">
        <w:r>
          <w:rPr>
            <w:vertAlign w:val="superscript"/>
          </w:rPr>
          <w:t>14</w:t>
        </w:r>
      </w:fldSimple>
      <w:r>
        <w:t xml:space="preserve">. In practice, the selection uses the</w:t>
      </w:r>
      <w:r>
        <w:t xml:space="preserve"> </w:t>
      </w:r>
      <w:r>
        <w:rPr>
          <w:bCs/>
          <w:b/>
        </w:rPr>
        <w:t xml:space="preserve">minimum gain test</w:t>
      </w:r>
      <w:r>
        <w:t xml:space="preserve">: for each triplet, compute unnormalized gains and evaluate</w:t>
      </w:r>
      <w:r>
        <w:t xml:space="preserve"> </w:t>
      </w:r>
      <m:oMath>
        <m:sSub>
          <m:e>
            <m:acc>
              <m:accPr>
                <m:chr m:val="‾"/>
              </m:accPr>
              <m:e>
                <m:r>
                  <m:t>g</m:t>
                </m:r>
              </m:e>
            </m:acc>
          </m:e>
          <m:sub>
            <m:r>
              <m:rPr>
                <m:nor/>
                <m:sty m:val="p"/>
              </m:rPr>
              <m:t>min</m:t>
            </m:r>
          </m:sub>
        </m:sSub>
        <m:r>
          <m:rPr>
            <m:sty m:val="p"/>
          </m:rPr>
          <m:t>=</m:t>
        </m:r>
        <m:r>
          <m:rPr>
            <m:sty m:val="p"/>
          </m:rPr>
          <m:t>min</m:t>
        </m:r>
        <m:r>
          <m:rPr>
            <m:sty m:val="p"/>
          </m:rPr>
          <m:t>{</m:t>
        </m:r>
        <m:sSub>
          <m:e>
            <m:acc>
              <m:accPr>
                <m:chr m:val="‾"/>
              </m:accPr>
              <m:e>
                <m:r>
                  <m:t>g</m:t>
                </m:r>
              </m:e>
            </m:acc>
          </m:e>
          <m:sub>
            <m:r>
              <m:t>k</m:t>
            </m:r>
          </m:sub>
        </m:sSub>
        <m:r>
          <m:rPr>
            <m:sty m:val="p"/>
          </m:rPr>
          <m:t>,</m:t>
        </m:r>
        <m:sSub>
          <m:e>
            <m:acc>
              <m:accPr>
                <m:chr m:val="‾"/>
              </m:accPr>
              <m:e>
                <m:r>
                  <m:t>g</m:t>
                </m:r>
              </m:e>
            </m:acc>
          </m:e>
          <m:sub>
            <m:r>
              <m:t>m</m:t>
            </m:r>
          </m:sub>
        </m:sSub>
        <m:r>
          <m:rPr>
            <m:sty m:val="p"/>
          </m:rPr>
          <m:t>,</m:t>
        </m:r>
        <m:sSub>
          <m:e>
            <m:acc>
              <m:accPr>
                <m:chr m:val="‾"/>
              </m:accPr>
              <m:e>
                <m:r>
                  <m:t>g</m:t>
                </m:r>
              </m:e>
            </m:acc>
          </m:e>
          <m:sub>
            <m:r>
              <m:t>n</m:t>
            </m:r>
          </m:sub>
        </m:sSub>
        <m:r>
          <m:rPr>
            <m:sty m:val="p"/>
          </m:rPr>
          <m:t>}</m:t>
        </m:r>
      </m:oMath>
      <w:r>
        <w:t xml:space="preserve">. The triplet with the highest</w:t>
      </w:r>
      <w:r>
        <w:t xml:space="preserve"> </w:t>
      </w:r>
      <m:oMath>
        <m:sSub>
          <m:e>
            <m:acc>
              <m:accPr>
                <m:chr m:val="‾"/>
              </m:accPr>
              <m:e>
                <m:r>
                  <m:t>g</m:t>
                </m:r>
              </m:e>
            </m:acc>
          </m:e>
          <m:sub>
            <m:r>
              <m:rPr>
                <m:nor/>
                <m:sty m:val="p"/>
              </m:rPr>
              <m:t>min</m:t>
            </m:r>
          </m:sub>
        </m:sSub>
      </m:oMath>
      <w:r>
        <w:t xml:space="preserve"> </w:t>
      </w:r>
      <w:r>
        <w:t xml:space="preserve">is selected, a criterion that is numerically robust against small negative gains caused by floating-point error</w:t>
      </w:r>
      <w:r>
        <w:t xml:space="preserve"> </w:t>
      </w:r>
      <w:fldSimple w:instr="NOTEREF _Ref_Footnote_42 \h \f">
        <w:r>
          <w:rPr>
            <w:vertAlign w:val="superscript"/>
          </w:rPr>
          <w:t>42</w:t>
        </w:r>
      </w:fldSimple>
      <w:r>
        <w:t xml:space="preserve">.</w:t>
      </w:r>
    </w:p>
    <w:p>
      <w:pPr>
        <w:pStyle w:val="BodyText"/>
      </w:pPr>
      <w:r>
        <w:t xml:space="preserve">The ITU-R ADM renderer (BS.2127) extends this framework with quadrilateral regions (QuadRegions) formed by four loudspeakers, producing smoother panning than triplet-only VBAP</w:t>
      </w:r>
      <w:r>
        <w:t xml:space="preserve"> </w:t>
      </w:r>
      <w:fldSimple w:instr="NOTEREF _Ref_Footnote_16 \h \f">
        <w:r>
          <w:rPr>
            <w:vertAlign w:val="superscript"/>
          </w:rPr>
          <w:t>16</w:t>
        </w:r>
      </w:fldSimple>
      <w:r>
        <w:t xml:space="preserve">. For a QuadRegion with loudspeaker positions</w:t>
      </w:r>
      <w:r>
        <w:t xml:space="preserve"> </w:t>
      </w:r>
      <m:oMath>
        <m:r>
          <m:t>P</m:t>
        </m:r>
        <m:r>
          <m:rPr>
            <m:sty m:val="p"/>
          </m:rPr>
          <m:t>=</m:t>
        </m:r>
        <m:d>
          <m:dPr>
            <m:begChr m:val="["/>
            <m:endChr m:val="]"/>
            <m:sepChr m:val=""/>
            <m:grow/>
          </m:dPr>
          <m:e>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e>
        </m:d>
      </m:oMath>
      <w:r>
        <w:t xml:space="preserve"> </w:t>
      </w:r>
      <w:r>
        <w:t xml:space="preserve">in anticlockwise order, gains are computed via bilinear interpolation:</w:t>
      </w:r>
    </w:p>
    <w:p>
      <w:pPr>
        <w:pStyle w:val="BodyText"/>
      </w:pPr>
      <m:oMathPara>
        <m:oMathParaPr>
          <m:jc m:val="center"/>
        </m:oMathParaPr>
        <m:oMath>
          <m:r>
            <m:t>g</m:t>
          </m:r>
          <m:r>
            <m:rPr>
              <m:sty m:val="p"/>
            </m:rPr>
            <m:t>′</m:t>
          </m:r>
          <m:r>
            <m:rPr>
              <m:sty m:val="p"/>
            </m:rPr>
            <m:t>=</m:t>
          </m:r>
          <m:d>
            <m:dPr>
              <m:begChr m:val="["/>
              <m:endChr m:val="]"/>
              <m:sepChr m:val=""/>
              <m:grow/>
            </m:dPr>
            <m:e>
              <m:d>
                <m:dPr>
                  <m:begChr m:val="("/>
                  <m:endChr m:val=")"/>
                  <m:sepChr m:val=""/>
                  <m:grow/>
                </m:dPr>
                <m:e>
                  <m:r>
                    <m:t>1</m:t>
                  </m:r>
                  <m:r>
                    <m:rPr>
                      <m:sty m:val="p"/>
                    </m:rPr>
                    <m:t>−</m:t>
                  </m:r>
                  <m:r>
                    <m:t>x</m:t>
                  </m:r>
                </m:e>
              </m:d>
              <m:d>
                <m:dPr>
                  <m:begChr m:val="("/>
                  <m:endChr m:val=")"/>
                  <m:sepChr m:val=""/>
                  <m:grow/>
                </m:dPr>
                <m:e>
                  <m:r>
                    <m:t>1</m:t>
                  </m:r>
                  <m:r>
                    <m:rPr>
                      <m:sty m:val="p"/>
                    </m:rPr>
                    <m:t>−</m:t>
                  </m:r>
                  <m:r>
                    <m:t>y</m:t>
                  </m:r>
                </m:e>
              </m:d>
              <m:r>
                <m:rPr>
                  <m:sty m:val="p"/>
                </m:rPr>
                <m:t>,</m:t>
              </m:r>
              <m:r>
                <m:t> </m:t>
              </m:r>
              <m:r>
                <m:t>x</m:t>
              </m:r>
              <m:d>
                <m:dPr>
                  <m:begChr m:val="("/>
                  <m:endChr m:val=")"/>
                  <m:sepChr m:val=""/>
                  <m:grow/>
                </m:dPr>
                <m:e>
                  <m:r>
                    <m:t>1</m:t>
                  </m:r>
                  <m:r>
                    <m:rPr>
                      <m:sty m:val="p"/>
                    </m:rPr>
                    <m:t>−</m:t>
                  </m:r>
                  <m:r>
                    <m:t>y</m:t>
                  </m:r>
                </m:e>
              </m:d>
              <m:r>
                <m:rPr>
                  <m:sty m:val="p"/>
                </m:rPr>
                <m:t>,</m:t>
              </m:r>
              <m:r>
                <m:t> </m:t>
              </m:r>
              <m:r>
                <m:t>x</m:t>
              </m:r>
              <m:r>
                <m:t>y</m:t>
              </m:r>
              <m:r>
                <m:rPr>
                  <m:sty m:val="p"/>
                </m:rPr>
                <m:t>,</m:t>
              </m:r>
              <m:r>
                <m:t> </m:t>
              </m:r>
              <m:d>
                <m:dPr>
                  <m:begChr m:val="("/>
                  <m:endChr m:val=")"/>
                  <m:sepChr m:val=""/>
                  <m:grow/>
                </m:dPr>
                <m:e>
                  <m:r>
                    <m:t>1</m:t>
                  </m:r>
                  <m:r>
                    <m:rPr>
                      <m:sty m:val="p"/>
                    </m:rPr>
                    <m:t>−</m:t>
                  </m:r>
                  <m:r>
                    <m:t>x</m:t>
                  </m:r>
                </m:e>
              </m:d>
              <m:r>
                <m:t>y</m:t>
              </m:r>
            </m:e>
          </m:d>
          <m:r>
            <m:rPr>
              <m:sty m:val="p"/>
            </m:rPr>
            <m:t>,</m:t>
          </m:r>
          <m:r>
            <m:t> </m:t>
          </m:r>
          <m:r>
            <m:t>g</m:t>
          </m:r>
          <m:r>
            <m:rPr>
              <m:sty m:val="p"/>
            </m:rPr>
            <m:t>=</m:t>
          </m:r>
          <m:f>
            <m:fPr>
              <m:type m:val="bar"/>
            </m:fPr>
            <m:num>
              <m:r>
                <m:t>g</m:t>
              </m:r>
              <m:r>
                <m:rPr>
                  <m:sty m:val="p"/>
                </m:rPr>
                <m:t>′</m:t>
              </m:r>
            </m:num>
            <m:den>
              <m:r>
                <m:rPr>
                  <m:sty m:val="p"/>
                </m:rPr>
                <m:t>∥</m:t>
              </m:r>
              <m:r>
                <m:t>g</m:t>
              </m:r>
              <m:r>
                <m:rPr>
                  <m:sty m:val="p"/>
                </m:rPr>
                <m:t>′</m:t>
              </m:r>
              <m:sSub>
                <m:e>
                  <m:r>
                    <m:rPr>
                      <m:sty m:val="p"/>
                    </m:rPr>
                    <m:t>∥</m:t>
                  </m:r>
                </m:e>
                <m:sub>
                  <m:r>
                    <m:t>2</m:t>
                  </m:r>
                </m:sub>
              </m:sSub>
            </m:den>
          </m:f>
        </m:oMath>
      </m:oMathPara>
    </w:p>
    <w:p>
      <w:pPr>
        <w:pStyle w:val="FirstParagraph"/>
      </w:pPr>
      <w:r>
        <w:t xml:space="preserve">where</w:t>
      </w:r>
      <w:r>
        <w:t xml:space="preserve"> </w:t>
      </w:r>
      <m:oMath>
        <m:r>
          <m:t>x</m:t>
        </m:r>
      </m:oMath>
      <w:r>
        <w:t xml:space="preserve"> </w:t>
      </w:r>
      <w:r>
        <w:t xml:space="preserve">and</w:t>
      </w:r>
      <w:r>
        <w:t xml:space="preserve"> </w:t>
      </w:r>
      <m:oMath>
        <m:r>
          <m:t>y</m:t>
        </m:r>
      </m:oMath>
      <w:r>
        <w:t xml:space="preserve"> </w:t>
      </w:r>
      <w:r>
        <w:t xml:space="preserve">are chosen such that the velocity vector</w:t>
      </w:r>
      <w:r>
        <w:t xml:space="preserve"> </w:t>
      </w:r>
      <m:oMath>
        <m:r>
          <m:t>g</m:t>
        </m:r>
        <m:r>
          <m:rPr>
            <m:sty m:val="p"/>
          </m:rPr>
          <m:t>⋅</m:t>
        </m:r>
        <m:r>
          <m:t>P</m:t>
        </m:r>
      </m:oMath>
      <w:r>
        <w:t xml:space="preserve"> </w:t>
      </w:r>
      <w:r>
        <w:t xml:space="preserve">aligns with the desired direction</w:t>
      </w:r>
      <w:r>
        <w:t xml:space="preserve"> </w:t>
      </w:r>
      <w:fldSimple w:instr="NOTEREF _Ref_Footnote_16 \h \f">
        <w:r>
          <w:rPr>
            <w:vertAlign w:val="superscript"/>
          </w:rPr>
          <w:t>16</w:t>
        </w:r>
      </w:fldSimple>
      <w:r>
        <w:t xml:space="preserve">. The ADM renderer also adds virtual loudspeakers at positions</w:t>
      </w:r>
      <w:r>
        <w:t xml:space="preserve"> </w:t>
      </w:r>
      <m:oMath>
        <m:d>
          <m:dPr>
            <m:begChr m:val="("/>
            <m:endChr m:val=")"/>
            <m:sepChr m:val=""/>
            <m:grow/>
          </m:dPr>
          <m:e>
            <m:r>
              <m:t>0</m:t>
            </m:r>
            <m:r>
              <m:rPr>
                <m:sty m:val="p"/>
              </m:rPr>
              <m:t>,</m:t>
            </m:r>
            <m:r>
              <m:t>0</m:t>
            </m:r>
            <m:r>
              <m:rPr>
                <m:sty m:val="p"/>
              </m:rPr>
              <m:t>,</m:t>
            </m:r>
            <m:r>
              <m:rPr>
                <m:sty m:val="p"/>
              </m:rPr>
              <m:t>−</m:t>
            </m:r>
            <m:r>
              <m:t>1</m:t>
            </m:r>
          </m:e>
        </m:d>
      </m:oMath>
      <w:r>
        <w:t xml:space="preserve"> </w:t>
      </w:r>
      <w:r>
        <w:t xml:space="preserve">(below the listener) and optionally</w:t>
      </w:r>
      <w:r>
        <w:t xml:space="preserve"> </w:t>
      </w:r>
      <m:oMath>
        <m:d>
          <m:dPr>
            <m:begChr m:val="("/>
            <m:endChr m:val=")"/>
            <m:sepChr m:val=""/>
            <m:grow/>
          </m:dPr>
          <m:e>
            <m:r>
              <m:t>0</m:t>
            </m:r>
            <m:r>
              <m:rPr>
                <m:sty m:val="p"/>
              </m:rPr>
              <m:t>,</m:t>
            </m:r>
            <m:r>
              <m:t>0</m:t>
            </m:r>
            <m:r>
              <m:rPr>
                <m:sty m:val="p"/>
              </m:rPr>
              <m:t>,</m:t>
            </m:r>
            <m:r>
              <m:t>1</m:t>
            </m:r>
          </m:e>
        </m:d>
      </m:oMath>
      <w:r>
        <w:t xml:space="preserve"> </w:t>
      </w:r>
      <w:r>
        <w:t xml:space="preserve">(above the listener) to ensure complete spherical coverage, with virtual speakers downmixed to physical loudspeakers using power-preserving coefficients</w:t>
      </w:r>
      <w:r>
        <w:t xml:space="preserve"> </w:t>
      </w:r>
      <m:oMath>
        <m:sSub>
          <m:e>
            <m:r>
              <m:t>w</m:t>
            </m:r>
          </m:e>
          <m:sub>
            <m:r>
              <m:rPr>
                <m:nor/>
                <m:sty m:val="p"/>
              </m:rPr>
              <m:t>dmx</m:t>
            </m:r>
          </m:sub>
        </m:sSub>
        <m:r>
          <m:rPr>
            <m:sty m:val="p"/>
          </m:rPr>
          <m:t>=</m:t>
        </m:r>
        <m:r>
          <m:t>1</m:t>
        </m:r>
        <m:r>
          <m:rPr>
            <m:sty m:val="p"/>
          </m:rPr>
          <m:t>/</m:t>
        </m:r>
        <m:rad>
          <m:radPr>
            <m:degHide m:val="1"/>
          </m:radPr>
          <m:deg/>
          <m:e>
            <m:r>
              <m:t>n</m:t>
            </m:r>
          </m:e>
        </m:rad>
      </m:oMath>
      <w:r>
        <w:t xml:space="preserve"> </w:t>
      </w:r>
      <w:fldSimple w:instr="NOTEREF _Ref_Footnote_16 \h \f">
        <w:r>
          <w:rPr>
            <w:vertAlign w:val="superscript"/>
          </w:rPr>
          <w:t>16</w:t>
        </w:r>
      </w:fldSimple>
      <w:r>
        <w:t xml:space="preserve">.</w:t>
      </w:r>
    </w:p>
    <w:bookmarkEnd w:id="66"/>
    <w:bookmarkStart w:id="67" w:name="Xeb3ed1f6358ba56a30c310f591465d33e672cab"/>
    <w:p>
      <w:pPr>
        <w:pStyle w:val="Heading4"/>
      </w:pPr>
      <w:r>
        <w:t xml:space="preserve">4.5.4 Gain Normalization: The Generalized p-Norm</w:t>
      </w:r>
    </w:p>
    <w:p>
      <w:pPr>
        <w:pStyle w:val="FirstParagraph"/>
      </w:pPr>
      <w:r>
        <w:t xml:space="preserve">After computing raw gains via matrix inversion, the gains must be normalized. The generalized p-norm normalization is</w:t>
      </w:r>
      <w:r>
        <w:t xml:space="preserve"> </w:t>
      </w:r>
      <w:r>
        <w:rPr>
          <w:vertAlign w:val="superscript"/>
        </w:rPr>
        <w:footnoteReference w:id="69"/>
      </w:r>
      <w:r>
        <w:t xml:space="preserve">:</w:t>
      </w:r>
    </w:p>
    <w:p>
      <w:pPr>
        <w:pStyle w:val="BodyText"/>
      </w:pPr>
      <m:oMathPara>
        <m:oMathParaPr>
          <m:jc m:val="center"/>
        </m:oMathParaPr>
        <m:oMath>
          <m:sSubSup>
            <m:e>
              <m:r>
                <m:t>g</m:t>
              </m:r>
            </m:e>
            <m:sub>
              <m:r>
                <m:t>l</m:t>
              </m:r>
            </m:sub>
            <m:sup>
              <m:r>
                <m:rPr>
                  <m:nor/>
                  <m:sty m:val="p"/>
                </m:rPr>
                <m:t>normalized</m:t>
              </m:r>
            </m:sup>
          </m:sSubSup>
          <m:r>
            <m:rPr>
              <m:sty m:val="p"/>
            </m:rPr>
            <m:t>=</m:t>
          </m:r>
          <m:f>
            <m:fPr>
              <m:type m:val="bar"/>
            </m:fPr>
            <m:num>
              <m:sSub>
                <m:e>
                  <m:r>
                    <m:t>g</m:t>
                  </m:r>
                </m:e>
                <m:sub>
                  <m:r>
                    <m:t>l</m:t>
                  </m:r>
                </m:sub>
              </m:sSub>
            </m:num>
            <m:den>
              <m:sSup>
                <m:e>
                  <m:d>
                    <m:dPr>
                      <m:begChr m:val="("/>
                      <m:endChr m:val=")"/>
                      <m:sepChr m:val=""/>
                      <m:grow/>
                    </m:dPr>
                    <m:e>
                      <m:nary>
                        <m:naryPr>
                          <m:chr m:val="∑"/>
                          <m:limLoc m:val="undOvr"/>
                          <m:subHide m:val="0"/>
                          <m:supHide m:val="0"/>
                        </m:naryPr>
                        <m:sub>
                          <m:r>
                            <m:t>l</m:t>
                          </m:r>
                          <m:r>
                            <m:rPr>
                              <m:sty m:val="p"/>
                            </m:rPr>
                            <m:t>=</m:t>
                          </m:r>
                          <m:r>
                            <m:t>1</m:t>
                          </m:r>
                        </m:sub>
                        <m:sup>
                          <m:r>
                            <m:t>L</m:t>
                          </m:r>
                        </m:sup>
                        <m:e>
                          <m:sSubSup>
                            <m:e>
                              <m:r>
                                <m:t>g</m:t>
                              </m:r>
                            </m:e>
                            <m:sub>
                              <m:r>
                                <m:t>l</m:t>
                              </m:r>
                            </m:sub>
                            <m:sup>
                              <m:r>
                                <m:t>p</m:t>
                              </m:r>
                            </m:sup>
                          </m:sSubSup>
                        </m:e>
                      </m:nary>
                    </m:e>
                  </m:d>
                </m:e>
                <m:sup>
                  <m:r>
                    <m:t>1</m:t>
                  </m:r>
                  <m:r>
                    <m:rPr>
                      <m:sty m:val="p"/>
                    </m:rPr>
                    <m:t>/</m:t>
                  </m:r>
                  <m:r>
                    <m:t>p</m:t>
                  </m:r>
                </m:sup>
              </m:sSup>
            </m:den>
          </m:f>
        </m:oMath>
      </m:oMathPara>
    </w:p>
    <w:p>
      <w:pPr>
        <w:pStyle w:val="FirstParagraph"/>
      </w:pPr>
      <w:r>
        <w:t xml:space="preserve">The choice of</w:t>
      </w:r>
      <w:r>
        <w:t xml:space="preserve"> </w:t>
      </w:r>
      <m:oMath>
        <m:r>
          <m:t>p</m:t>
        </m:r>
      </m:oMath>
      <w:r>
        <w:t xml:space="preserve"> </w:t>
      </w:r>
      <w:r>
        <w:t xml:space="preserve">depends on frequency and room acoustics:</w:t>
      </w:r>
    </w:p>
    <w:p>
      <w:pPr>
        <w:numPr>
          <w:ilvl w:val="0"/>
          <w:numId w:val="1001"/>
        </w:numPr>
        <w:pStyle w:val="Compact"/>
      </w:pPr>
      <m:oMath>
        <m:r>
          <m:t>p</m:t>
        </m:r>
        <m:r>
          <m:rPr>
            <m:sty m:val="p"/>
          </m:rPr>
          <m:t>=</m:t>
        </m:r>
        <m:r>
          <m:t>1</m:t>
        </m:r>
      </m:oMath>
      <w:r>
        <w:rPr>
          <w:bCs/>
          <w:b/>
        </w:rPr>
        <w:t xml:space="preserve"> </w:t>
      </w:r>
      <w:r>
        <w:rPr>
          <w:bCs/>
          <w:b/>
        </w:rPr>
        <w:t xml:space="preserve">(amplitude normalization):</w:t>
      </w:r>
      <w:r>
        <w:t xml:space="preserve"> </w:t>
      </w:r>
      <w:r>
        <w:t xml:space="preserve">Preserves coherent summation; appropriate for low frequencies (</w:t>
      </w:r>
      <m:oMath>
        <m:r>
          <m:rPr>
            <m:sty m:val="p"/>
          </m:rPr>
          <m:t>≲</m:t>
        </m:r>
        <m:r>
          <m:t>700</m:t>
        </m:r>
      </m:oMath>
      <w:r>
        <w:t xml:space="preserve"> </w:t>
      </w:r>
      <w:r>
        <w:t xml:space="preserve">Hz) and anechoic or dry environments where loudspeaker signals add in phase at the listening position</w:t>
      </w:r>
      <w:r>
        <w:t xml:space="preserve"> </w:t>
      </w:r>
      <w:r>
        <w:rPr>
          <w:vertAlign w:val="superscript"/>
        </w:rPr>
        <w:footnoteReference w:id="70"/>
      </w:r>
      <w:r>
        <w:t xml:space="preserve"> </w:t>
      </w:r>
      <w:fldSimple w:instr="NOTEREF _Ref_Footnote_69 \h \f">
        <w:r>
          <w:rPr>
            <w:vertAlign w:val="superscript"/>
          </w:rPr>
          <w:t>69</w:t>
        </w:r>
      </w:fldSimple>
      <w:r>
        <w:t xml:space="preserve">.</w:t>
      </w:r>
    </w:p>
    <w:p>
      <w:pPr>
        <w:numPr>
          <w:ilvl w:val="0"/>
          <w:numId w:val="1001"/>
        </w:numPr>
        <w:pStyle w:val="Compact"/>
      </w:pPr>
      <m:oMath>
        <m:r>
          <m:t>p</m:t>
        </m:r>
        <m:r>
          <m:rPr>
            <m:sty m:val="p"/>
          </m:rPr>
          <m:t>=</m:t>
        </m:r>
        <m:r>
          <m:t>2</m:t>
        </m:r>
      </m:oMath>
      <w:r>
        <w:rPr>
          <w:bCs/>
          <w:b/>
        </w:rPr>
        <w:t xml:space="preserve"> </w:t>
      </w:r>
      <w:r>
        <w:rPr>
          <w:bCs/>
          <w:b/>
        </w:rPr>
        <w:t xml:space="preserve">(energy normalization):</w:t>
      </w:r>
      <w:r>
        <w:t xml:space="preserve"> </w:t>
      </w:r>
      <w:r>
        <w:t xml:space="preserve">Preserves power for incoherent summation; the VBAP default, appropriate for reverberant environments and mid-to-high frequencies</w:t>
      </w:r>
      <w:r>
        <w:t xml:space="preserve"> </w:t>
      </w:r>
      <w:fldSimple w:instr="NOTEREF _Ref_Footnote_42 \h \f">
        <w:r>
          <w:rPr>
            <w:vertAlign w:val="superscript"/>
          </w:rPr>
          <w:t>42</w:t>
        </w:r>
      </w:fldSimple>
      <w:r>
        <w:t xml:space="preserve"> </w:t>
      </w:r>
      <w:fldSimple w:instr="NOTEREF _Ref_Footnote_70 \h \f">
        <w:r>
          <w:rPr>
            <w:vertAlign w:val="superscript"/>
          </w:rPr>
          <w:t>70</w:t>
        </w:r>
      </w:fldSimple>
      <w:r>
        <w:t xml:space="preserve">.</w:t>
      </w:r>
    </w:p>
    <w:p>
      <w:pPr>
        <w:numPr>
          <w:ilvl w:val="0"/>
          <w:numId w:val="1001"/>
        </w:numPr>
        <w:pStyle w:val="Compact"/>
      </w:pPr>
      <m:oMath>
        <m:r>
          <m:t>1</m:t>
        </m:r>
        <m:r>
          <m:rPr>
            <m:sty m:val="p"/>
          </m:rPr>
          <m:t>&lt;</m:t>
        </m:r>
        <m:r>
          <m:t>p</m:t>
        </m:r>
        <m:r>
          <m:rPr>
            <m:sty m:val="p"/>
          </m:rPr>
          <m:t>&lt;</m:t>
        </m:r>
        <m:r>
          <m:t>2</m:t>
        </m:r>
      </m:oMath>
      <w:r>
        <w:rPr>
          <w:bCs/>
          <w:b/>
        </w:rPr>
        <w:t xml:space="preserve"> </w:t>
      </w:r>
      <w:r>
        <w:rPr>
          <w:bCs/>
          <w:b/>
        </w:rPr>
        <w:t xml:space="preserve">(frequency-dependent):</w:t>
      </w:r>
      <w:r>
        <w:t xml:space="preserve"> </w:t>
      </w:r>
      <w:r>
        <w:t xml:space="preserve">Laitinen et al. (2014) established that a smooth transition from</w:t>
      </w:r>
      <w:r>
        <w:t xml:space="preserve"> </w:t>
      </w:r>
      <m:oMath>
        <m:r>
          <m:t>p</m:t>
        </m:r>
        <m:r>
          <m:rPr>
            <m:sty m:val="p"/>
          </m:rPr>
          <m:t>=</m:t>
        </m:r>
        <m:r>
          <m:t>1</m:t>
        </m:r>
      </m:oMath>
      <w:r>
        <w:t xml:space="preserve"> </w:t>
      </w:r>
      <w:r>
        <w:t xml:space="preserve">at low frequencies to</w:t>
      </w:r>
      <w:r>
        <w:t xml:space="preserve"> </w:t>
      </w:r>
      <m:oMath>
        <m:r>
          <m:t>p</m:t>
        </m:r>
        <m:r>
          <m:rPr>
            <m:sty m:val="p"/>
          </m:rPr>
          <m:t>=</m:t>
        </m:r>
        <m:r>
          <m:t>2</m:t>
        </m:r>
      </m:oMath>
      <w:r>
        <w:t xml:space="preserve"> </w:t>
      </w:r>
      <w:r>
        <w:t xml:space="preserve">at high frequencies, governed by the room’s direct-to-total energy ratio (DTT), yields optimal results</w:t>
      </w:r>
      <w:r>
        <w:t xml:space="preserve"> </w:t>
      </w:r>
      <w:fldSimple w:instr="NOTEREF _Ref_Footnote_69 \h \f">
        <w:r>
          <w:rPr>
            <w:vertAlign w:val="superscript"/>
          </w:rPr>
          <w:t>69</w:t>
        </w:r>
      </w:fldSimple>
      <w:r>
        <w:t xml:space="preserve">.</w:t>
      </w:r>
    </w:p>
    <w:p>
      <w:pPr>
        <w:pStyle w:val="FirstParagraph"/>
      </w:pPr>
      <w:r>
        <w:t xml:space="preserve">Research by Laitinen et al. demonstrated that applying energy normalization (</w:t>
      </w:r>
      <m:oMath>
        <m:r>
          <m:t>p</m:t>
        </m:r>
        <m:r>
          <m:rPr>
            <m:sty m:val="p"/>
          </m:rPr>
          <m:t>=</m:t>
        </m:r>
        <m:r>
          <m:t>2</m:t>
        </m:r>
      </m:oMath>
      <w:r>
        <w:t xml:space="preserve">) across all frequencies in a dry room produces a</w:t>
      </w:r>
      <w:r>
        <w:t xml:space="preserve"> </w:t>
      </w:r>
      <w:r>
        <w:t xml:space="preserve">“</w:t>
      </w:r>
      <w:r>
        <w:t xml:space="preserve">clearly perceived bass-boosting effect</w:t>
      </w:r>
      <w:r>
        <w:t xml:space="preserve">”</w:t>
      </w:r>
      <w:r>
        <w:t xml:space="preserve"> </w:t>
      </w:r>
      <w:r>
        <w:t xml:space="preserve">because low-frequency signals coherently sum to yield</w:t>
      </w:r>
      <w:r>
        <w:t xml:space="preserve"> </w:t>
      </w:r>
      <m:oMath>
        <m:r>
          <m:rPr>
            <m:sty m:val="p"/>
          </m:rPr>
          <m:t>+</m:t>
        </m:r>
        <m:r>
          <m:t>6</m:t>
        </m:r>
      </m:oMath>
      <w:r>
        <w:t xml:space="preserve"> </w:t>
      </w:r>
      <w:r>
        <w:t xml:space="preserve">dB (free field) or</w:t>
      </w:r>
      <w:r>
        <w:t xml:space="preserve"> </w:t>
      </w:r>
      <m:oMath>
        <m:r>
          <m:rPr>
            <m:sty m:val="p"/>
          </m:rPr>
          <m:t>+</m:t>
        </m:r>
        <m:r>
          <m:t>3</m:t>
        </m:r>
      </m:oMath>
      <w:r>
        <w:t xml:space="preserve"> </w:t>
      </w:r>
      <w:r>
        <w:t xml:space="preserve">dB (moderately reverberant room), rather than the</w:t>
      </w:r>
      <w:r>
        <w:t xml:space="preserve"> </w:t>
      </w:r>
      <m:oMath>
        <m:r>
          <m:t>0</m:t>
        </m:r>
      </m:oMath>
      <w:r>
        <w:t xml:space="preserve"> </w:t>
      </w:r>
      <w:r>
        <w:t xml:space="preserve">dB sum that energy normalization assumes</w:t>
      </w:r>
      <w:r>
        <w:t xml:space="preserve"> </w:t>
      </w:r>
      <w:fldSimple w:instr="NOTEREF _Ref_Footnote_70 \h \f">
        <w:r>
          <w:rPr>
            <w:vertAlign w:val="superscript"/>
          </w:rPr>
          <w:t>70</w:t>
        </w:r>
      </w:fldSimple>
      <w:r>
        <w:t xml:space="preserve">.</w:t>
      </w:r>
    </w:p>
    <w:bookmarkEnd w:id="67"/>
    <w:bookmarkStart w:id="68" w:name="X9fb4b2fa5dd686dd59c14bee3bac70ab3c24f8e"/>
    <w:p>
      <w:pPr>
        <w:pStyle w:val="Heading4"/>
      </w:pPr>
      <w:r>
        <w:t xml:space="preserve">4.5.5 Frequency-Dependent Panning: VBAP Below, VBIP Above</w:t>
      </w:r>
    </w:p>
    <w:p>
      <w:pPr>
        <w:pStyle w:val="FirstParagraph"/>
      </w:pPr>
      <w:r>
        <w:t xml:space="preserve">Human sound localization relies on different physical cues in different frequency ranges: interaural time differences (ITDs) dominate below approximately 700 Hz, while interaural level differences (ILDs) dominate above</w:t>
      </w:r>
      <w:r>
        <w:t xml:space="preserve"> </w:t>
      </w:r>
      <w:r>
        <w:rPr>
          <w:vertAlign w:val="superscript"/>
        </w:rPr>
        <w:footnoteReference w:id="71"/>
      </w:r>
      <w:r>
        <w:t xml:space="preserve">. VBAP optimizes the velocity vector</w:t>
      </w:r>
      <w:r>
        <w:t xml:space="preserve"> </w:t>
      </w:r>
      <m:oMath>
        <m:sSub>
          <m:e>
            <m:r>
              <m:rPr>
                <m:sty m:val="b"/>
              </m:rPr>
              <m:t>r</m:t>
            </m:r>
          </m:e>
          <m:sub>
            <m:r>
              <m:t>V</m:t>
            </m:r>
          </m:sub>
        </m:sSub>
      </m:oMath>
      <w:r>
        <w:t xml:space="preserve">, which accurately predicts ITD-based localization at low frequencies. For high frequencies, Vector Base Intensity Panning (VBIP) optimizes the energy vector</w:t>
      </w:r>
      <w:r>
        <w:t xml:space="preserve"> </w:t>
      </w:r>
      <m:oMath>
        <m:sSub>
          <m:e>
            <m:r>
              <m:rPr>
                <m:sty m:val="b"/>
              </m:rPr>
              <m:t>r</m:t>
            </m:r>
          </m:e>
          <m:sub>
            <m:r>
              <m:t>E</m:t>
            </m:r>
          </m:sub>
        </m:sSub>
      </m:oMath>
      <w:r>
        <w:t xml:space="preserve"> </w:t>
      </w:r>
      <w:fldSimple w:instr="NOTEREF _Ref_Footnote_11 \h \f">
        <w:r>
          <w:rPr>
            <w:vertAlign w:val="superscript"/>
          </w:rPr>
          <w:t>11</w:t>
        </w:r>
      </w:fldSimple>
      <w:r>
        <w:t xml:space="preserve"> </w:t>
      </w:r>
      <w:fldSimple w:instr="NOTEREF _Ref_Footnote_46 \h \f">
        <w:r>
          <w:rPr>
            <w:vertAlign w:val="superscript"/>
          </w:rPr>
          <w:t>46</w:t>
        </w:r>
      </w:fldSimple>
      <w:r>
        <w:t xml:space="preserve">.</w:t>
      </w:r>
    </w:p>
    <w:p>
      <w:pPr>
        <w:pStyle w:val="BodyText"/>
      </w:pPr>
      <w:r>
        <w:t xml:space="preserve">VBIP is derived from VBAP by taking the square root of the low-frequency gains</w:t>
      </w:r>
      <w:r>
        <w:t xml:space="preserve"> </w:t>
      </w:r>
      <w:fldSimple w:instr="NOTEREF _Ref_Footnote_13 \h \f">
        <w:r>
          <w:rPr>
            <w:vertAlign w:val="superscript"/>
          </w:rPr>
          <w:t>13</w:t>
        </w:r>
      </w:fldSimple>
      <w:r>
        <w:t xml:space="preserve">:</w:t>
      </w:r>
    </w:p>
    <w:p>
      <w:pPr>
        <w:pStyle w:val="BodyText"/>
      </w:pPr>
      <m:oMathPara>
        <m:oMathParaPr>
          <m:jc m:val="center"/>
        </m:oMathParaPr>
        <m:oMath>
          <m:sSub>
            <m:e>
              <m:acc>
                <m:accPr>
                  <m:chr m:val="̃"/>
                </m:accPr>
                <m:e>
                  <m:r>
                    <m:t>g</m:t>
                  </m:r>
                </m:e>
              </m:acc>
            </m:e>
            <m:sub>
              <m:r>
                <m:t>i</m:t>
              </m:r>
            </m:sub>
          </m:sSub>
          <m:r>
            <m:rPr>
              <m:sty m:val="p"/>
            </m:rPr>
            <m:t>=</m:t>
          </m:r>
          <m:rad>
            <m:radPr>
              <m:degHide m:val="1"/>
            </m:radPr>
            <m:deg/>
            <m:e>
              <m:sSub>
                <m:e>
                  <m:r>
                    <m:t>g</m:t>
                  </m:r>
                </m:e>
                <m:sub>
                  <m:r>
                    <m:t>i</m:t>
                  </m:r>
                </m:sub>
              </m:sSub>
            </m:e>
          </m:rad>
          <m:r>
            <m:rPr>
              <m:sty m:val="p"/>
            </m:rPr>
            <m:t>,</m:t>
          </m:r>
          <m:r>
            <m:t> </m:t>
          </m:r>
          <m:r>
            <m:rPr>
              <m:nor/>
              <m:sty m:val="p"/>
            </m:rPr>
            <m:t>then normalize such that </m:t>
          </m:r>
          <m:r>
            <m:rPr>
              <m:sty m:val="p"/>
            </m:rPr>
            <m:t>∑</m:t>
          </m:r>
          <m:sSubSup>
            <m:e>
              <m:acc>
                <m:accPr>
                  <m:chr m:val="̃"/>
                </m:accPr>
                <m:e>
                  <m:r>
                    <m:t>g</m:t>
                  </m:r>
                </m:e>
              </m:acc>
            </m:e>
            <m:sub>
              <m:r>
                <m:t>i</m:t>
              </m:r>
            </m:sub>
            <m:sup>
              <m:r>
                <m:t>2</m:t>
              </m:r>
            </m:sup>
          </m:sSubSup>
          <m:r>
            <m:rPr>
              <m:sty m:val="p"/>
            </m:rPr>
            <m:t>=</m:t>
          </m:r>
          <m:r>
            <m:t>1</m:t>
          </m:r>
        </m:oMath>
      </m:oMathPara>
    </w:p>
    <w:p>
      <w:pPr>
        <w:pStyle w:val="FirstParagraph"/>
      </w:pPr>
      <w:r>
        <w:t xml:space="preserve">The Gerzon energy vector is defined as</w:t>
      </w:r>
      <w:r>
        <w:t xml:space="preserve"> </w:t>
      </w:r>
      <m:oMath>
        <m:sSub>
          <m:e>
            <m:r>
              <m:rPr>
                <m:sty m:val="b"/>
              </m:rPr>
              <m:t>r</m:t>
            </m:r>
          </m:e>
          <m:sub>
            <m:r>
              <m:t>E</m:t>
            </m:r>
          </m:sub>
        </m:sSub>
        <m:r>
          <m:rPr>
            <m:sty m:val="p"/>
          </m:rPr>
          <m:t>=</m:t>
        </m:r>
        <m:r>
          <m:rPr>
            <m:sty m:val="p"/>
          </m:rPr>
          <m:t>∑</m:t>
        </m:r>
        <m:sSubSup>
          <m:e>
            <m:acc>
              <m:accPr>
                <m:chr m:val="̃"/>
              </m:accPr>
              <m:e>
                <m:r>
                  <m:t>g</m:t>
                </m:r>
              </m:e>
            </m:acc>
          </m:e>
          <m:sub>
            <m:r>
              <m:t>i</m:t>
            </m:r>
          </m:sub>
          <m:sup>
            <m:r>
              <m:t>2</m:t>
            </m:r>
          </m:sup>
        </m:sSubSup>
        <m:sSub>
          <m:e>
            <m:acc>
              <m:accPr>
                <m:chr m:val="̃"/>
              </m:accPr>
              <m:e>
                <m:r>
                  <m:rPr>
                    <m:sty m:val="b"/>
                  </m:rPr>
                  <m:t>r</m:t>
                </m:r>
              </m:e>
            </m:acc>
          </m:e>
          <m:sub>
            <m:r>
              <m:t>i</m:t>
            </m:r>
          </m:sub>
        </m:sSub>
        <m:r>
          <m:rPr>
            <m:sty m:val="p"/>
          </m:rPr>
          <m:t>/</m:t>
        </m:r>
        <m:r>
          <m:rPr>
            <m:sty m:val="p"/>
          </m:rPr>
          <m:t>∑</m:t>
        </m:r>
        <m:sSubSup>
          <m:e>
            <m:acc>
              <m:accPr>
                <m:chr m:val="̃"/>
              </m:accPr>
              <m:e>
                <m:r>
                  <m:t>g</m:t>
                </m:r>
              </m:e>
            </m:acc>
          </m:e>
          <m:sub>
            <m:r>
              <m:t>i</m:t>
            </m:r>
          </m:sub>
          <m:sup>
            <m:r>
              <m:t>2</m:t>
            </m:r>
          </m:sup>
        </m:sSubSup>
      </m:oMath>
      <w:r>
        <w:t xml:space="preserve">, which aligns with the virtual source direction when</w:t>
      </w:r>
      <w:r>
        <w:t xml:space="preserve"> </w:t>
      </w:r>
      <m:oMath>
        <m:sSub>
          <m:e>
            <m:acc>
              <m:accPr>
                <m:chr m:val="̃"/>
              </m:accPr>
              <m:e>
                <m:r>
                  <m:t>g</m:t>
                </m:r>
              </m:e>
            </m:acc>
          </m:e>
          <m:sub>
            <m:r>
              <m:t>i</m:t>
            </m:r>
          </m:sub>
        </m:sSub>
        <m:r>
          <m:rPr>
            <m:sty m:val="p"/>
          </m:rPr>
          <m:t>=</m:t>
        </m:r>
        <m:rad>
          <m:radPr>
            <m:degHide m:val="1"/>
          </m:radPr>
          <m:deg/>
          <m:e>
            <m:sSub>
              <m:e>
                <m:r>
                  <m:t>g</m:t>
                </m:r>
              </m:e>
              <m:sub>
                <m:r>
                  <m:t>i</m:t>
                </m:r>
              </m:sub>
            </m:sSub>
          </m:e>
        </m:rad>
      </m:oMath>
      <w:r>
        <w:t xml:space="preserve"> </w:t>
      </w:r>
      <w:fldSimple w:instr="NOTEREF _Ref_Footnote_13 \h \f">
        <w:r>
          <w:rPr>
            <w:vertAlign w:val="superscript"/>
          </w:rPr>
          <w:t>13</w:t>
        </w:r>
      </w:fldSimple>
      <w:r>
        <w:t xml:space="preserve">. The dual-band approach — VBAP below 700 Hz and VBIP above, implemented via crossover filters — is known as</w:t>
      </w:r>
      <w:r>
        <w:t xml:space="preserve"> </w:t>
      </w:r>
      <w:r>
        <w:rPr>
          <w:bCs/>
          <w:b/>
        </w:rPr>
        <w:t xml:space="preserve">Dual-Band Vector Based Panning</w:t>
      </w:r>
      <w:r>
        <w:t xml:space="preserve"> </w:t>
      </w:r>
      <w:r>
        <w:t xml:space="preserve">and is the state of the art in production renderers</w:t>
      </w:r>
      <w:r>
        <w:t xml:space="preserve"> </w:t>
      </w:r>
      <w:fldSimple w:instr="NOTEREF _Ref_Footnote_11 \h \f">
        <w:r>
          <w:rPr>
            <w:vertAlign w:val="superscript"/>
          </w:rPr>
          <w:t>11</w:t>
        </w:r>
      </w:fldSimple>
      <w:r>
        <w:t xml:space="preserve"> </w:t>
      </w:r>
      <w:r>
        <w:rPr>
          <w:vertAlign w:val="superscript"/>
        </w:rPr>
        <w:footnoteReference w:id="72"/>
      </w:r>
      <w:r>
        <w:t xml:space="preserve">.</w:t>
      </w:r>
    </w:p>
    <w:bookmarkEnd w:id="68"/>
    <w:bookmarkStart w:id="69" w:name="Xf5079c6d036261b621521fae58e794c527920f4"/>
    <w:p>
      <w:pPr>
        <w:pStyle w:val="Heading4"/>
      </w:pPr>
      <w:r>
        <w:t xml:space="preserve">4.5.6 MDAP Spread: Spatial Extent for Sized Objects</w:t>
      </w:r>
    </w:p>
    <w:p>
      <w:pPr>
        <w:pStyle w:val="FirstParagraph"/>
      </w:pPr>
      <w:r>
        <w:t xml:space="preserve">A fundamental limitation of basic VBAP is that perceived source width varies with panning direction: sources are narrowest when aligned with a single loudspeaker and widest when panned between loudspeakers</w:t>
      </w:r>
      <w:r>
        <w:t xml:space="preserve"> </w:t>
      </w:r>
      <w:fldSimple w:instr="NOTEREF _Ref_Footnote_9 \h \f">
        <w:r>
          <w:rPr>
            <w:vertAlign w:val="superscript"/>
          </w:rPr>
          <w:t>9</w:t>
        </w:r>
      </w:fldSimple>
      <w:r>
        <w:t xml:space="preserve">. Multiple-Direction Amplitude Panning (MDAP), introduced by Pulkki in 1999, solves this by panning the same signal to multiple virtual directions simultaneously</w:t>
      </w:r>
      <w:r>
        <w:t xml:space="preserve"> </w:t>
      </w:r>
      <w:fldSimple w:instr="NOTEREF _Ref_Footnote_9 \h \f">
        <w:r>
          <w:rPr>
            <w:vertAlign w:val="superscript"/>
          </w:rPr>
          <w:t>9</w:t>
        </w:r>
      </w:fldSimple>
      <w:r>
        <w:t xml:space="preserve"> </w:t>
      </w:r>
      <w:fldSimple w:instr="NOTEREF _Ref_Footnote_47 \h \f">
        <w:r>
          <w:rPr>
            <w:vertAlign w:val="superscript"/>
          </w:rPr>
          <w:t>47</w:t>
        </w:r>
      </w:fldSimple>
      <w:r>
        <w:t xml:space="preserve">.</w:t>
      </w:r>
    </w:p>
    <w:p>
      <w:pPr>
        <w:pStyle w:val="BodyText"/>
      </w:pPr>
      <w:r>
        <w:t xml:space="preserve">For a ring of</w:t>
      </w:r>
      <w:r>
        <w:t xml:space="preserve"> </w:t>
      </w:r>
      <m:oMath>
        <m:r>
          <m:t>L</m:t>
        </m:r>
      </m:oMath>
      <w:r>
        <w:t xml:space="preserve"> </w:t>
      </w:r>
      <w:r>
        <w:t xml:space="preserve">equally spaced loudspeakers, MDAP distributes</w:t>
      </w:r>
      <w:r>
        <w:t xml:space="preserve"> </w:t>
      </w:r>
      <m:oMath>
        <m:r>
          <m:t>B</m:t>
        </m:r>
      </m:oMath>
      <w:r>
        <w:t xml:space="preserve"> </w:t>
      </w:r>
      <w:r>
        <w:t xml:space="preserve">virtual VBAP sources around the panning direction</w:t>
      </w:r>
      <w:r>
        <w:t xml:space="preserve"> </w:t>
      </w:r>
      <m:oMath>
        <m:sSub>
          <m:e>
            <m:r>
              <m:t>θ</m:t>
            </m:r>
          </m:e>
          <m:sub>
            <m:r>
              <m:t>s</m:t>
            </m:r>
          </m:sub>
        </m:sSub>
      </m:oMath>
      <w:r>
        <w:t xml:space="preserve"> </w:t>
      </w:r>
      <w:r>
        <w:t xml:space="preserve">within a spread of</w:t>
      </w:r>
      <w:r>
        <w:t xml:space="preserve"> </w:t>
      </w:r>
      <m:oMath>
        <m:r>
          <m:rPr>
            <m:sty m:val="p"/>
          </m:rPr>
          <m:t>±</m:t>
        </m:r>
        <m:sSub>
          <m:e>
            <m:r>
              <m:t>φ</m:t>
            </m:r>
          </m:e>
          <m:sub>
            <m:r>
              <m:rPr>
                <m:nor/>
                <m:sty m:val="p"/>
              </m:rPr>
              <m:t>MDAP</m:t>
            </m:r>
          </m:sub>
        </m:sSub>
      </m:oMath>
      <w:r>
        <w:t xml:space="preserve">. The optimal spread angle is</w:t>
      </w:r>
      <w:r>
        <w:t xml:space="preserve"> </w:t>
      </w:r>
      <m:oMath>
        <m:r>
          <m:t>α</m:t>
        </m:r>
        <m:r>
          <m:rPr>
            <m:sty m:val="p"/>
          </m:rPr>
          <m:t>=</m:t>
        </m:r>
        <m:r>
          <m:t>90</m:t>
        </m:r>
        <m:r>
          <m:rPr>
            <m:sty m:val="p"/>
          </m:rPr>
          <m:t>%</m:t>
        </m:r>
        <m:r>
          <m:rPr>
            <m:sty m:val="p"/>
          </m:rPr>
          <m:t>×</m:t>
        </m:r>
        <m:r>
          <m:t>180</m:t>
        </m:r>
        <m:r>
          <m:rPr>
            <m:sty m:val="p"/>
          </m:rPr>
          <m:t>°</m:t>
        </m:r>
        <m:r>
          <m:rPr>
            <m:sty m:val="p"/>
          </m:rPr>
          <m:t>/</m:t>
        </m:r>
        <m:r>
          <m:t>L</m:t>
        </m:r>
      </m:oMath>
      <w:r>
        <w:t xml:space="preserve">, producing constant perceived width across all panning directions</w:t>
      </w:r>
      <w:r>
        <w:t xml:space="preserve"> </w:t>
      </w:r>
      <w:fldSimple w:instr="NOTEREF _Ref_Footnote_47 \h \f">
        <w:r>
          <w:rPr>
            <w:vertAlign w:val="superscript"/>
          </w:rPr>
          <w:t>47</w:t>
        </w:r>
      </w:fldSimple>
      <w:r>
        <w:t xml:space="preserve">. In 3D, spread sources are arranged on one or more rings around the main panning direction; the reference Aalto VBAP implementation uses 8 auxiliary sources by default, with the spread parameter determining their angular distance from the primary direction</w:t>
      </w:r>
      <w:r>
        <w:t xml:space="preserve"> </w:t>
      </w:r>
      <w:fldSimple w:instr="NOTEREF _Ref_Footnote_14 \h \f">
        <w:r>
          <w:rPr>
            <w:vertAlign w:val="superscript"/>
          </w:rPr>
          <w:t>14</w:t>
        </w:r>
      </w:fldSimple>
      <w:r>
        <w:t xml:space="preserve">. The Atmos</w:t>
      </w:r>
      <w:r>
        <w:t xml:space="preserve"> </w:t>
      </w:r>
      <w:r>
        <w:t xml:space="preserve">“</w:t>
      </w:r>
      <w:r>
        <w:t xml:space="preserve">size</w:t>
      </w:r>
      <w:r>
        <w:t xml:space="preserve">”</w:t>
      </w:r>
      <w:r>
        <w:t xml:space="preserve"> </w:t>
      </w:r>
      <w:r>
        <w:t xml:space="preserve">parameter controls this spatial extent: size</w:t>
      </w:r>
      <w:r>
        <w:t xml:space="preserve"> </w:t>
      </w:r>
      <m:oMath>
        <m:r>
          <m:rPr>
            <m:sty m:val="p"/>
          </m:rPr>
          <m:t>=</m:t>
        </m:r>
        <m:r>
          <m:t>0</m:t>
        </m:r>
      </m:oMath>
      <w:r>
        <w:t xml:space="preserve"> </w:t>
      </w:r>
      <w:r>
        <w:t xml:space="preserve">creates a point source rendered by standard VBAP, while larger values activate progressively more spread sources, distributing energy across multiple speaker triplets for an apparent source width effect</w:t>
      </w:r>
      <w:r>
        <w:t xml:space="preserve"> </w:t>
      </w:r>
      <w:fldSimple w:instr="NOTEREF _Ref_Footnote_52 \h \f">
        <w:r>
          <w:rPr>
            <w:vertAlign w:val="superscript"/>
          </w:rPr>
          <w:t>52</w:t>
        </w:r>
      </w:fldSimple>
      <w:r>
        <w:t xml:space="preserve"> </w:t>
      </w:r>
      <w:fldSimple w:instr="NOTEREF _Ref_Footnote_46 \h \f">
        <w:r>
          <w:rPr>
            <w:vertAlign w:val="superscript"/>
          </w:rPr>
          <w:t>46</w:t>
        </w:r>
      </w:fldSimple>
      <w:r>
        <w:t xml:space="preserve">. Engineers report that size values beyond 20 should be avoided, as they can cause clustering issues and unpredictable downmix behavior</w:t>
      </w:r>
      <w:r>
        <w:t xml:space="preserve"> </w:t>
      </w:r>
      <w:fldSimple w:instr="NOTEREF _Ref_Footnote_52 \h \f">
        <w:r>
          <w:rPr>
            <w:vertAlign w:val="superscript"/>
          </w:rPr>
          <w:t>52</w:t>
        </w:r>
      </w:fldSimple>
      <w:r>
        <w:t xml:space="preserve">.</w:t>
      </w:r>
    </w:p>
    <w:bookmarkEnd w:id="69"/>
    <w:bookmarkEnd w:id="70"/>
    <w:bookmarkStart w:id="71" w:name="stage-5-additive-mixing"/>
    <w:p>
      <w:pPr>
        <w:pStyle w:val="Heading3"/>
      </w:pPr>
      <w:r>
        <w:t xml:space="preserve">4.6 Stage 5: Additive Mixing</w:t>
      </w:r>
    </w:p>
    <w:p>
      <w:pPr>
        <w:pStyle w:val="FirstParagraph"/>
      </w:pPr>
      <w:r>
        <w:t xml:space="preserve">After VBAP has computed per-speaker gain factors for every object and cluster, the renderer performs linear (additive) summation at each output channel. Each speaker feed</w:t>
      </w:r>
      <w:r>
        <w:t xml:space="preserve"> </w:t>
      </w:r>
      <m:oMath>
        <m:sSub>
          <m:e>
            <m:r>
              <m:t>S</m:t>
            </m:r>
          </m:e>
          <m:sub>
            <m:r>
              <m:t>j</m:t>
            </m:r>
          </m:sub>
        </m:sSub>
      </m:oMath>
      <w:r>
        <w:t xml:space="preserve"> </w:t>
      </w:r>
      <w:r>
        <w:t xml:space="preserve">is the sum of all bed channel contributions and all rendered object signals assigned to that speaker:</w:t>
      </w:r>
    </w:p>
    <w:p>
      <w:pPr>
        <w:pStyle w:val="BodyText"/>
      </w:pPr>
      <m:oMathPara>
        <m:oMathParaPr>
          <m:jc m:val="center"/>
        </m:oMathParaPr>
        <m:oMath>
          <m:sSub>
            <m:e>
              <m:r>
                <m:t>S</m:t>
              </m:r>
            </m:e>
            <m:sub>
              <m:r>
                <m:t>j</m:t>
              </m:r>
            </m:sub>
          </m:sSub>
          <m:r>
            <m:rPr>
              <m:sty m:val="p"/>
            </m:rPr>
            <m:t>=</m:t>
          </m:r>
          <m:nary>
            <m:naryPr>
              <m:chr m:val="∑"/>
              <m:limLoc m:val="undOvr"/>
              <m:subHide m:val="0"/>
              <m:supHide m:val="1"/>
            </m:naryPr>
            <m:sub>
              <m:r>
                <m:t>b</m:t>
              </m:r>
              <m:r>
                <m:rPr>
                  <m:sty m:val="p"/>
                </m:rPr>
                <m:t>∈</m:t>
              </m:r>
              <m:r>
                <m:rPr>
                  <m:nor/>
                  <m:sty m:val="p"/>
                </m:rPr>
                <m:t>beds</m:t>
              </m:r>
            </m:sub>
            <m:sup>
              <m:r>
                <m:t>​</m:t>
              </m:r>
            </m:sup>
            <m:e>
              <m:sSub>
                <m:e>
                  <m:r>
                    <m:t>s</m:t>
                  </m:r>
                </m:e>
                <m:sub>
                  <m:r>
                    <m:t>b</m:t>
                  </m:r>
                </m:sub>
              </m:sSub>
            </m:e>
          </m:nary>
          <m:r>
            <m:rPr>
              <m:sty m:val="p"/>
            </m:rPr>
            <m:t>⋅</m:t>
          </m:r>
          <m:sSub>
            <m:e>
              <m:r>
                <m:t>δ</m:t>
              </m:r>
            </m:e>
            <m:sub>
              <m:r>
                <m:t>b</m:t>
              </m:r>
              <m:r>
                <m:t>j</m:t>
              </m:r>
            </m:sub>
          </m:sSub>
          <m:r>
            <m:rPr>
              <m:sty m:val="p"/>
            </m:rPr>
            <m:t>+</m:t>
          </m:r>
          <m:nary>
            <m:naryPr>
              <m:chr m:val="∑"/>
              <m:limLoc m:val="undOvr"/>
              <m:subHide m:val="0"/>
              <m:supHide m:val="1"/>
            </m:naryPr>
            <m:sub>
              <m:r>
                <m:t>o</m:t>
              </m:r>
              <m:r>
                <m:rPr>
                  <m:sty m:val="p"/>
                </m:rPr>
                <m:t>∈</m:t>
              </m:r>
              <m:r>
                <m:rPr>
                  <m:nor/>
                  <m:sty m:val="p"/>
                </m:rPr>
                <m:t>objects</m:t>
              </m:r>
            </m:sub>
            <m:sup>
              <m:r>
                <m:t>​</m:t>
              </m:r>
            </m:sup>
            <m:e>
              <m:sSub>
                <m:e>
                  <m:r>
                    <m:t>x</m:t>
                  </m:r>
                </m:e>
                <m:sub>
                  <m:r>
                    <m:t>o</m:t>
                  </m:r>
                </m:sub>
              </m:sSub>
            </m:e>
          </m:nary>
          <m:r>
            <m:rPr>
              <m:sty m:val="p"/>
            </m:rPr>
            <m:t>⋅</m:t>
          </m:r>
          <m:sSub>
            <m:e>
              <m:r>
                <m:t>g</m:t>
              </m:r>
            </m:e>
            <m:sub>
              <m:r>
                <m:t>o</m:t>
              </m:r>
              <m:r>
                <m:t>j</m:t>
              </m:r>
            </m:sub>
          </m:sSub>
        </m:oMath>
      </m:oMathPara>
    </w:p>
    <w:p>
      <w:pPr>
        <w:pStyle w:val="FirstParagraph"/>
      </w:pPr>
      <w:r>
        <w:t xml:space="preserve">where</w:t>
      </w:r>
      <w:r>
        <w:t xml:space="preserve"> </w:t>
      </w:r>
      <m:oMath>
        <m:sSub>
          <m:e>
            <m:r>
              <m:t>s</m:t>
            </m:r>
          </m:e>
          <m:sub>
            <m:r>
              <m:t>b</m:t>
            </m:r>
          </m:sub>
        </m:sSub>
      </m:oMath>
      <w:r>
        <w:t xml:space="preserve"> </w:t>
      </w:r>
      <w:r>
        <w:t xml:space="preserve">is the bed channel signal,</w:t>
      </w:r>
      <w:r>
        <w:t xml:space="preserve"> </w:t>
      </w:r>
      <m:oMath>
        <m:sSub>
          <m:e>
            <m:r>
              <m:t>δ</m:t>
            </m:r>
          </m:e>
          <m:sub>
            <m:r>
              <m:t>b</m:t>
            </m:r>
            <m:r>
              <m:t>j</m:t>
            </m:r>
          </m:sub>
        </m:sSub>
      </m:oMath>
      <w:r>
        <w:t xml:space="preserve"> </w:t>
      </w:r>
      <w:r>
        <w:t xml:space="preserve">is the bed-to-speaker mapping (1 if bed</w:t>
      </w:r>
      <w:r>
        <w:t xml:space="preserve"> </w:t>
      </w:r>
      <m:oMath>
        <m:r>
          <m:t>b</m:t>
        </m:r>
      </m:oMath>
      <w:r>
        <w:t xml:space="preserve"> </w:t>
      </w:r>
      <w:r>
        <w:t xml:space="preserve">maps to speaker</w:t>
      </w:r>
      <w:r>
        <w:t xml:space="preserve"> </w:t>
      </w:r>
      <m:oMath>
        <m:r>
          <m:t>j</m:t>
        </m:r>
      </m:oMath>
      <w:r>
        <w:t xml:space="preserve">, 0 otherwise),</w:t>
      </w:r>
      <w:r>
        <w:t xml:space="preserve"> </w:t>
      </w:r>
      <m:oMath>
        <m:sSub>
          <m:e>
            <m:r>
              <m:t>x</m:t>
            </m:r>
          </m:e>
          <m:sub>
            <m:r>
              <m:t>o</m:t>
            </m:r>
          </m:sub>
        </m:sSub>
      </m:oMath>
      <w:r>
        <w:t xml:space="preserve"> </w:t>
      </w:r>
      <w:r>
        <w:t xml:space="preserve">is the object audio signal, and</w:t>
      </w:r>
      <w:r>
        <w:t xml:space="preserve"> </w:t>
      </w:r>
      <m:oMath>
        <m:sSub>
          <m:e>
            <m:r>
              <m:t>g</m:t>
            </m:r>
          </m:e>
          <m:sub>
            <m:r>
              <m:t>o</m:t>
            </m:r>
            <m:r>
              <m:t>j</m:t>
            </m:r>
          </m:sub>
        </m:sSub>
      </m:oMath>
      <w:r>
        <w:t xml:space="preserve"> </w:t>
      </w:r>
      <w:r>
        <w:t xml:space="preserve">is the VBAP gain for object</w:t>
      </w:r>
      <w:r>
        <w:t xml:space="preserve"> </w:t>
      </w:r>
      <m:oMath>
        <m:r>
          <m:t>o</m:t>
        </m:r>
      </m:oMath>
      <w:r>
        <w:t xml:space="preserve"> </w:t>
      </w:r>
      <w:r>
        <w:t xml:space="preserve">on speaker</w:t>
      </w:r>
      <w:r>
        <w:t xml:space="preserve"> </w:t>
      </w:r>
      <m:oMath>
        <m:r>
          <m:t>j</m:t>
        </m:r>
      </m:oMath>
      <w:r>
        <w:t xml:space="preserve">. This summation is unconditional: every object contributes to every speaker for which it has a non-zero gain factor</w:t>
      </w:r>
      <w:r>
        <w:t xml:space="preserve"> </w:t>
      </w:r>
      <w:fldSimple w:instr="NOTEREF _Ref_Footnote_13 \h \f">
        <w:r>
          <w:rPr>
            <w:vertAlign w:val="superscript"/>
          </w:rPr>
          <w:t>13</w:t>
        </w:r>
      </w:fldSimple>
      <w:r>
        <w:t xml:space="preserve">.</w:t>
      </w:r>
    </w:p>
    <w:p>
      <w:pPr>
        <w:pStyle w:val="BodyText"/>
      </w:pPr>
      <w:r>
        <w:t xml:space="preserve">Because multiple objects and bed channels may contribute to the same speaker simultaneously, the renderer applies gain compensation to prevent level buildup. A</w:t>
      </w:r>
      <w:r>
        <w:t xml:space="preserve"> </w:t>
      </w:r>
      <m:oMath>
        <m:r>
          <m:rPr>
            <m:sty m:val="p"/>
          </m:rPr>
          <m:t>−</m:t>
        </m:r>
        <m:r>
          <m:t>3</m:t>
        </m:r>
      </m:oMath>
      <w:r>
        <w:t xml:space="preserve"> </w:t>
      </w:r>
      <w:r>
        <w:t xml:space="preserve">dB attenuation factor (</w:t>
      </w:r>
      <m:oMath>
        <m:r>
          <m:t>1</m:t>
        </m:r>
        <m:r>
          <m:rPr>
            <m:sty m:val="p"/>
          </m:rPr>
          <m:t>/</m:t>
        </m:r>
        <m:rad>
          <m:radPr>
            <m:degHide m:val="1"/>
          </m:radPr>
          <m:deg/>
          <m:e>
            <m:r>
              <m:t>2</m:t>
            </m:r>
          </m:e>
        </m:rad>
      </m:oMath>
      <w:r>
        <w:t xml:space="preserve">) is typically applied during channel summation, reflecting the assumption that two uncorrelated signals at full scale should sum to approximately</w:t>
      </w:r>
      <w:r>
        <w:t xml:space="preserve"> </w:t>
      </w:r>
      <m:oMath>
        <m:r>
          <m:rPr>
            <m:sty m:val="p"/>
          </m:rPr>
          <m:t>+</m:t>
        </m:r>
        <m:r>
          <m:t>3</m:t>
        </m:r>
      </m:oMath>
      <w:r>
        <w:t xml:space="preserve"> </w:t>
      </w:r>
      <w:r>
        <w:t xml:space="preserve">dB above each individual level rather than</w:t>
      </w:r>
      <w:r>
        <w:t xml:space="preserve"> </w:t>
      </w:r>
      <m:oMath>
        <m:r>
          <m:rPr>
            <m:sty m:val="p"/>
          </m:rPr>
          <m:t>+</m:t>
        </m:r>
        <m:r>
          <m:t>6</m:t>
        </m:r>
      </m:oMath>
      <w:r>
        <w:t xml:space="preserve"> </w:t>
      </w:r>
      <w:r>
        <w:t xml:space="preserve">dB (which would occur with coherent summation)</w:t>
      </w:r>
      <w:r>
        <w:t xml:space="preserve"> </w:t>
      </w:r>
      <w:fldSimple w:instr="NOTEREF _Ref_Footnote_55 \h \f">
        <w:r>
          <w:rPr>
            <w:vertAlign w:val="superscript"/>
          </w:rPr>
          <w:t>55</w:t>
        </w:r>
      </w:fldSimple>
      <w:r>
        <w:t xml:space="preserve">. This compensation is consistent with the energy-normalized VBAP formulation where</w:t>
      </w:r>
      <w:r>
        <w:t xml:space="preserve"> </w:t>
      </w:r>
      <m:oMath>
        <m:r>
          <m:rPr>
            <m:sty m:val="p"/>
          </m:rPr>
          <m:t>∑</m:t>
        </m:r>
        <m:sSubSup>
          <m:e>
            <m:r>
              <m:t>g</m:t>
            </m:r>
          </m:e>
          <m:sub>
            <m:r>
              <m:t>l</m:t>
            </m:r>
          </m:sub>
          <m:sup>
            <m:r>
              <m:t>2</m:t>
            </m:r>
          </m:sup>
        </m:sSubSup>
        <m:r>
          <m:rPr>
            <m:sty m:val="p"/>
          </m:rPr>
          <m:t>=</m:t>
        </m:r>
        <m:r>
          <m:t>1</m:t>
        </m:r>
      </m:oMath>
      <w:r>
        <w:t xml:space="preserve"> </w:t>
      </w:r>
      <w:r>
        <w:t xml:space="preserve">ensures that the total power of a panned virtual source remains constant regardless of direction</w:t>
      </w:r>
      <w:r>
        <w:t xml:space="preserve"> </w:t>
      </w:r>
      <w:fldSimple w:instr="NOTEREF _Ref_Footnote_42 \h \f">
        <w:r>
          <w:rPr>
            <w:vertAlign w:val="superscript"/>
          </w:rPr>
          <w:t>42</w:t>
        </w:r>
      </w:fldSimple>
      <w:r>
        <w:t xml:space="preserve">. The renderer also applies any trim and downmix metadata specified in the</w:t>
      </w:r>
      <w:r>
        <w:t xml:space="preserve"> </w:t>
      </w:r>
      <w:r>
        <w:rPr>
          <w:rStyle w:val="VerbatimChar"/>
        </w:rPr>
        <w:t xml:space="preserve">.atmos</w:t>
      </w:r>
      <w:r>
        <w:t xml:space="preserve"> </w:t>
      </w:r>
      <w:r>
        <w:t xml:space="preserve">master file, including height content routing for legacy systems and surround channel forward/backward bias adjustments</w:t>
      </w:r>
      <w:r>
        <w:t xml:space="preserve"> </w:t>
      </w:r>
      <w:fldSimple w:instr="NOTEREF _Ref_Footnote_57 \h \f">
        <w:r>
          <w:rPr>
            <w:vertAlign w:val="superscript"/>
          </w:rPr>
          <w:t>57</w:t>
        </w:r>
      </w:fldSimple>
      <w:r>
        <w:t xml:space="preserve">.</w:t>
      </w:r>
    </w:p>
    <w:bookmarkEnd w:id="71"/>
    <w:bookmarkStart w:id="72" w:name="stage-6-output-formatting"/>
    <w:p>
      <w:pPr>
        <w:pStyle w:val="Heading3"/>
      </w:pPr>
      <w:r>
        <w:t xml:space="preserve">4.7 Stage 6: Output Formatting</w:t>
      </w:r>
    </w:p>
    <w:p>
      <w:pPr>
        <w:pStyle w:val="FirstParagraph"/>
      </w:pPr>
      <w:r>
        <w:t xml:space="preserve">The final stage formats the mixed speaker signals for the target output device. In theatrical installations, the CP950A cinema processor delivers up to 64 discrete speaker feeds via AES67 or BLU Link digital audio protocols at sample rates of 44.1 kHz, 48 kHz, or 96 kHz with 16-, 20-, or 24-bit resolution</w:t>
      </w:r>
      <w:r>
        <w:t xml:space="preserve"> </w:t>
      </w:r>
      <w:fldSimple w:instr="NOTEREF _Ref_Footnote_41 \h \f">
        <w:r>
          <w:rPr>
            <w:vertAlign w:val="superscript"/>
          </w:rPr>
          <w:t>41</w:t>
        </w:r>
      </w:fldSimple>
      <w:r>
        <w:t xml:space="preserve">. The processor includes high-resolution multi-rate EQ, internal crossovers supporting up to 4-way loudspeakers, a built-in booth monitor, and a real-time analyzer (RTA) for calibration</w:t>
      </w:r>
      <w:r>
        <w:t xml:space="preserve"> </w:t>
      </w:r>
      <w:fldSimple w:instr="NOTEREF _Ref_Footnote_41 \h \f">
        <w:r>
          <w:rPr>
            <w:vertAlign w:val="superscript"/>
          </w:rPr>
          <w:t>41</w:t>
        </w:r>
      </w:fldSimple>
      <w:r>
        <w:t xml:space="preserve">. For home monitoring during production, the Dolby Atmos Renderer supports up to 22 speakers, headphone/binaural output, and up to 64 channels of re-render output</w:t>
      </w:r>
      <w:r>
        <w:t xml:space="preserve"> </w:t>
      </w:r>
      <w:fldSimple w:instr="NOTEREF _Ref_Footnote_8 \h \f">
        <w:r>
          <w:rPr>
            <w:vertAlign w:val="superscript"/>
          </w:rPr>
          <w:t>8</w:t>
        </w:r>
      </w:fldSimple>
      <w:r>
        <w:t xml:space="preserve">.</w:t>
      </w:r>
    </w:p>
    <w:p>
      <w:pPr>
        <w:pStyle w:val="BodyText"/>
      </w:pPr>
      <w:r>
        <w:t xml:space="preserve">A defining feature of the Atmos pipeline is its</w:t>
      </w:r>
      <w:r>
        <w:t xml:space="preserve"> </w:t>
      </w:r>
      <w:r>
        <w:rPr>
          <w:bCs/>
          <w:b/>
        </w:rPr>
        <w:t xml:space="preserve">re-render</w:t>
      </w:r>
      <w:r>
        <w:t xml:space="preserve"> </w:t>
      </w:r>
      <w:r>
        <w:t xml:space="preserve">capability: the ability to generate channel-based deliverables from the object-based master. The renderer can simultaneously output multiple channel-based formats including 2.0 (stereo), 5.1, 7.1, 7.1.2, 7.1.4, 9.1.6, binaural (BIN), and AmbiX (B-format)</w:t>
      </w:r>
      <w:r>
        <w:t xml:space="preserve"> </w:t>
      </w:r>
      <w:fldSimple w:instr="NOTEREF _Ref_Footnote_8 \h \f">
        <w:r>
          <w:rPr>
            <w:vertAlign w:val="superscript"/>
          </w:rPr>
          <w:t>8</w:t>
        </w:r>
      </w:fldSimple>
      <w:r>
        <w:t xml:space="preserve">. Group-based re-rendering enables creation of standard post-production stems — DX (dialogue), MX (music), FX (effects) — by assigning each input bed or object to a custom group and re-rendering each group to a separate channel-based output</w:t>
      </w:r>
      <w:r>
        <w:t xml:space="preserve"> </w:t>
      </w:r>
      <w:r>
        <w:rPr>
          <w:vertAlign w:val="superscript"/>
        </w:rPr>
        <w:footnoteReference w:id="73"/>
      </w:r>
      <w:r>
        <w:t xml:space="preserve">. All re-renders can be exported offline without requiring real-time playback</w:t>
      </w:r>
      <w:r>
        <w:t xml:space="preserve"> </w:t>
      </w:r>
      <w:fldSimple w:instr="NOTEREF _Ref_Footnote_8 \h \f">
        <w:r>
          <w:rPr>
            <w:vertAlign w:val="superscript"/>
          </w:rPr>
          <w:t>8</w:t>
        </w:r>
      </w:fldSimple>
      <w:r>
        <w:t xml:space="preserve">.</w:t>
      </w:r>
    </w:p>
    <w:p>
      <w:pPr>
        <w:pStyle w:val="BodyText"/>
      </w:pPr>
      <w:r>
        <w:t xml:space="preserve">The following table summarizes each pipeline stage with its input and output specifications, governing algorithm, and processing requirements.</w:t>
      </w:r>
    </w:p>
    <w:p>
      <w:pPr>
        <w:pStyle w:val="BodyText"/>
      </w:pPr>
      <w:r>
        <w:t xml:space="preserve">Stage</w:t>
      </w:r>
    </w:p>
    <w:p>
      <w:pPr>
        <w:pStyle w:val="BodyText"/>
      </w:pPr>
      <w:r>
        <w:t xml:space="preserve">Input</w:t>
      </w:r>
    </w:p>
    <w:p>
      <w:pPr>
        <w:pStyle w:val="BodyText"/>
      </w:pPr>
      <w:r>
        <w:t xml:space="preserve">Output</w:t>
      </w:r>
    </w:p>
    <w:p>
      <w:pPr>
        <w:pStyle w:val="BodyText"/>
      </w:pPr>
      <w:r>
        <w:t xml:space="preserve">Core Algorithm / Operation</w:t>
      </w:r>
    </w:p>
    <w:p>
      <w:pPr>
        <w:pStyle w:val="BodyText"/>
      </w:pPr>
      <w:r>
        <w:t xml:space="preserve">Key Parameters</w:t>
      </w:r>
    </w:p>
    <w:p>
      <w:pPr>
        <w:numPr>
          <w:ilvl w:val="0"/>
          <w:numId w:val="1002"/>
        </w:numPr>
        <w:pStyle w:val="Compact"/>
      </w:pPr>
      <w:r>
        <w:t xml:space="preserve">Speaker Config. Parsing</w:t>
      </w:r>
    </w:p>
    <w:p>
      <w:pPr>
        <w:numPr>
          <w:ilvl w:val="0"/>
          <w:numId w:val="1000"/>
        </w:numPr>
        <w:pStyle w:val="Compact"/>
      </w:pPr>
      <w:r>
        <w:t xml:space="preserve">.dad file, speaker positions</w:t>
      </w:r>
    </w:p>
    <w:p>
      <w:pPr>
        <w:numPr>
          <w:ilvl w:val="0"/>
          <w:numId w:val="1000"/>
        </w:numPr>
        <w:pStyle w:val="Compact"/>
      </w:pPr>
      <w:r>
        <w:t xml:space="preserve">Triplet list,</w:t>
      </w:r>
      <w:r>
        <w:t xml:space="preserve"> </w:t>
      </w:r>
      <m:oMath>
        <m:sSup>
          <m:e>
            <m:r>
              <m:t>L</m:t>
            </m:r>
          </m:e>
          <m:sup>
            <m:r>
              <m:rPr>
                <m:sty m:val="p"/>
              </m:rPr>
              <m:t>−</m:t>
            </m:r>
            <m:r>
              <m:t>1</m:t>
            </m:r>
          </m:sup>
        </m:sSup>
      </m:oMath>
      <w:r>
        <w:t xml:space="preserve"> </w:t>
      </w:r>
      <w:r>
        <w:t xml:space="preserve">matrices</w:t>
      </w:r>
    </w:p>
    <w:p>
      <w:pPr>
        <w:numPr>
          <w:ilvl w:val="0"/>
          <w:numId w:val="1000"/>
        </w:numPr>
        <w:pStyle w:val="Compact"/>
      </w:pPr>
      <w:r>
        <w:t xml:space="preserve">Convex hull, Delaunay triangulation</w:t>
      </w:r>
    </w:p>
    <w:p>
      <w:pPr>
        <w:numPr>
          <w:ilvl w:val="0"/>
          <w:numId w:val="1000"/>
        </w:numPr>
        <w:pStyle w:val="Compact"/>
      </w:pPr>
      <w:r>
        <w:t xml:space="preserve">Up to 64 speakers; precomputed inverses</w:t>
      </w:r>
    </w:p>
    <w:p>
      <w:pPr>
        <w:numPr>
          <w:ilvl w:val="1"/>
          <w:numId w:val="1003"/>
        </w:numPr>
        <w:pStyle w:val="Compact"/>
      </w:pPr>
      <w:r>
        <w:t xml:space="preserve">Object Positioning</w:t>
      </w:r>
    </w:p>
    <w:p>
      <w:pPr>
        <w:numPr>
          <w:ilvl w:val="1"/>
          <w:numId w:val="1000"/>
        </w:numPr>
        <w:pStyle w:val="Compact"/>
      </w:pPr>
      <w:r>
        <w:t xml:space="preserve">OAMD (x,y,z) per frame</w:t>
      </w:r>
    </w:p>
    <w:p>
      <w:pPr>
        <w:numPr>
          <w:ilvl w:val="1"/>
          <w:numId w:val="1000"/>
        </w:numPr>
        <w:pStyle w:val="Compact"/>
      </w:pPr>
      <w:r>
        <w:t xml:space="preserve">Spherical coords</w:t>
      </w:r>
      <w:r>
        <w:t xml:space="preserve"> </w:t>
      </w:r>
      <m:oMath>
        <m:d>
          <m:dPr>
            <m:begChr m:val="("/>
            <m:endChr m:val=")"/>
            <m:sepChr m:val=""/>
            <m:grow/>
          </m:dPr>
          <m:e>
            <m:r>
              <m:t>θ</m:t>
            </m:r>
            <m:r>
              <m:rPr>
                <m:sty m:val="p"/>
              </m:rPr>
              <m:t>,</m:t>
            </m:r>
            <m:r>
              <m:t>ϕ</m:t>
            </m:r>
            <m:r>
              <m:rPr>
                <m:sty m:val="p"/>
              </m:rPr>
              <m:t>,</m:t>
            </m:r>
            <m:r>
              <m:t>d</m:t>
            </m:r>
          </m:e>
        </m:d>
      </m:oMath>
    </w:p>
    <w:p>
      <w:pPr>
        <w:numPr>
          <w:ilvl w:val="1"/>
          <w:numId w:val="1000"/>
        </w:numPr>
        <w:pStyle w:val="Compact"/>
      </w:pPr>
      <w:r>
        <w:t xml:space="preserve">Cartesian-to-spherical conversion; interpolation</w:t>
      </w:r>
    </w:p>
    <w:p>
      <w:pPr>
        <w:numPr>
          <w:ilvl w:val="1"/>
          <w:numId w:val="1000"/>
        </w:numPr>
        <w:pStyle w:val="Compact"/>
      </w:pPr>
      <w:r>
        <w:t xml:space="preserve">48/96 kHz sample rate; frame-rate metadata</w:t>
      </w:r>
    </w:p>
    <w:p>
      <w:pPr>
        <w:numPr>
          <w:ilvl w:val="2"/>
          <w:numId w:val="1004"/>
        </w:numPr>
        <w:pStyle w:val="Compact"/>
      </w:pPr>
      <w:r>
        <w:t xml:space="preserve">Spatial Coding</w:t>
      </w:r>
    </w:p>
    <w:p>
      <w:pPr>
        <w:numPr>
          <w:ilvl w:val="2"/>
          <w:numId w:val="1000"/>
        </w:numPr>
        <w:pStyle w:val="Compact"/>
      </w:pPr>
      <w:r>
        <w:t xml:space="preserve">128 tracks (beds + objects)</w:t>
      </w:r>
    </w:p>
    <w:p>
      <w:pPr>
        <w:numPr>
          <w:ilvl w:val="2"/>
          <w:numId w:val="1000"/>
        </w:numPr>
        <w:pStyle w:val="Compact"/>
      </w:pPr>
      <w:r>
        <w:t xml:space="preserve">12/14/16 elements + LFE</w:t>
      </w:r>
    </w:p>
    <w:p>
      <w:pPr>
        <w:numPr>
          <w:ilvl w:val="2"/>
          <w:numId w:val="1000"/>
        </w:numPr>
        <w:pStyle w:val="Compact"/>
      </w:pPr>
      <w:r>
        <w:t xml:space="preserve">Proximity-based dynamic clustering</w:t>
      </w:r>
    </w:p>
    <w:p>
      <w:pPr>
        <w:numPr>
          <w:ilvl w:val="2"/>
          <w:numId w:val="1000"/>
        </w:numPr>
        <w:pStyle w:val="Compact"/>
      </w:pPr>
      <w:r>
        <w:t xml:space="preserve">Bitrate-dependent: 384 kbps→12, 448+→16</w:t>
      </w:r>
    </w:p>
    <w:p>
      <w:pPr>
        <w:numPr>
          <w:ilvl w:val="3"/>
          <w:numId w:val="1005"/>
        </w:numPr>
        <w:pStyle w:val="Compact"/>
      </w:pPr>
      <w:r>
        <w:t xml:space="preserve">VBAP Gain Calculation</w:t>
      </w:r>
    </w:p>
    <w:p>
      <w:pPr>
        <w:numPr>
          <w:ilvl w:val="3"/>
          <w:numId w:val="1000"/>
        </w:numPr>
        <w:pStyle w:val="Compact"/>
      </w:pPr>
      <w:r>
        <w:t xml:space="preserve">Object direction</w:t>
      </w:r>
      <w:r>
        <w:t xml:space="preserve"> </w:t>
      </w:r>
      <m:oMath>
        <m:r>
          <m:t>p</m:t>
        </m:r>
        <m:d>
          <m:dPr>
            <m:begChr m:val="("/>
            <m:endChr m:val=")"/>
            <m:sepChr m:val=""/>
            <m:grow/>
          </m:dPr>
          <m:e>
            <m:r>
              <m:t>Ω</m:t>
            </m:r>
          </m:e>
        </m:d>
      </m:oMath>
    </w:p>
    <w:p>
      <w:pPr>
        <w:numPr>
          <w:ilvl w:val="3"/>
          <w:numId w:val="1000"/>
        </w:numPr>
        <w:pStyle w:val="Compact"/>
      </w:pPr>
      <w:r>
        <w:t xml:space="preserve">Per-speaker gain vector</w:t>
      </w:r>
      <w:r>
        <w:t xml:space="preserve"> </w:t>
      </w:r>
      <m:oMath>
        <m:r>
          <m:t>g</m:t>
        </m:r>
      </m:oMath>
    </w:p>
    <w:p>
      <w:pPr>
        <w:numPr>
          <w:ilvl w:val="3"/>
          <w:numId w:val="1000"/>
        </w:numPr>
        <w:pStyle w:val="Compact"/>
      </w:pPr>
      <m:oMath>
        <m:r>
          <m:t>g</m:t>
        </m:r>
        <m:r>
          <m:rPr>
            <m:sty m:val="p"/>
          </m:rPr>
          <m:t>=</m:t>
        </m:r>
        <m:sSup>
          <m:e>
            <m:r>
              <m:t>L</m:t>
            </m:r>
          </m:e>
          <m:sup>
            <m:r>
              <m:rPr>
                <m:sty m:val="p"/>
              </m:rPr>
              <m:t>−</m:t>
            </m:r>
            <m:r>
              <m:t>1</m:t>
            </m:r>
          </m:sup>
        </m:sSup>
        <m:r>
          <m:rPr>
            <m:sty m:val="p"/>
          </m:rPr>
          <m:t>⋅</m:t>
        </m:r>
        <m:r>
          <m:t>p</m:t>
        </m:r>
      </m:oMath>
      <w:r>
        <w:t xml:space="preserve">; p-norm normalization</w:t>
      </w:r>
    </w:p>
    <w:p>
      <w:pPr>
        <w:numPr>
          <w:ilvl w:val="3"/>
          <w:numId w:val="1000"/>
        </w:numPr>
        <w:pStyle w:val="Compact"/>
      </w:pPr>
      <w:r>
        <w:t xml:space="preserve">2D pair or 3D triplet; MDAP spread for size&gt;0</w:t>
      </w:r>
    </w:p>
    <w:p>
      <w:pPr>
        <w:numPr>
          <w:ilvl w:val="4"/>
          <w:numId w:val="1006"/>
        </w:numPr>
        <w:pStyle w:val="Compact"/>
      </w:pPr>
      <w:r>
        <w:t xml:space="preserve">Additive Mixing</w:t>
      </w:r>
    </w:p>
    <w:p>
      <w:pPr>
        <w:numPr>
          <w:ilvl w:val="4"/>
          <w:numId w:val="1000"/>
        </w:numPr>
        <w:pStyle w:val="Compact"/>
      </w:pPr>
      <w:r>
        <w:t xml:space="preserve">All bed and object signals</w:t>
      </w:r>
    </w:p>
    <w:p>
      <w:pPr>
        <w:numPr>
          <w:ilvl w:val="4"/>
          <w:numId w:val="1000"/>
        </w:numPr>
        <w:pStyle w:val="Compact"/>
      </w:pPr>
      <w:r>
        <w:t xml:space="preserve">Mixed output per channel</w:t>
      </w:r>
    </w:p>
    <w:p>
      <w:pPr>
        <w:numPr>
          <w:ilvl w:val="4"/>
          <w:numId w:val="1000"/>
        </w:numPr>
        <w:pStyle w:val="Compact"/>
      </w:pPr>
      <w:r>
        <w:t xml:space="preserve">Linear summation;</w:t>
      </w:r>
      <w:r>
        <w:t xml:space="preserve"> </w:t>
      </w:r>
      <m:oMath>
        <m:r>
          <m:rPr>
            <m:sty m:val="p"/>
          </m:rPr>
          <m:t>−</m:t>
        </m:r>
        <m:r>
          <m:t>3</m:t>
        </m:r>
      </m:oMath>
      <w:r>
        <w:t xml:space="preserve"> </w:t>
      </w:r>
      <w:r>
        <w:t xml:space="preserve">dB compensation</w:t>
      </w:r>
    </w:p>
    <w:p>
      <w:pPr>
        <w:numPr>
          <w:ilvl w:val="4"/>
          <w:numId w:val="1000"/>
        </w:numPr>
        <w:pStyle w:val="Compact"/>
      </w:pPr>
      <w:r>
        <w:t xml:space="preserve">Trim/downmix metadata applied</w:t>
      </w:r>
    </w:p>
    <w:p>
      <w:pPr>
        <w:numPr>
          <w:ilvl w:val="5"/>
          <w:numId w:val="1007"/>
        </w:numPr>
        <w:pStyle w:val="Compact"/>
      </w:pPr>
      <w:r>
        <w:t xml:space="preserve">Output Formatting</w:t>
      </w:r>
    </w:p>
    <w:p>
      <w:pPr>
        <w:numPr>
          <w:ilvl w:val="5"/>
          <w:numId w:val="1000"/>
        </w:numPr>
        <w:pStyle w:val="Compact"/>
      </w:pPr>
      <w:r>
        <w:t xml:space="preserve">Mixed channel signals</w:t>
      </w:r>
    </w:p>
    <w:p>
      <w:pPr>
        <w:numPr>
          <w:ilvl w:val="5"/>
          <w:numId w:val="1000"/>
        </w:numPr>
        <w:pStyle w:val="Compact"/>
      </w:pPr>
      <w:r>
        <w:t xml:space="preserve">Speaker feeds, re-renders, binaural</w:t>
      </w:r>
    </w:p>
    <w:p>
      <w:pPr>
        <w:numPr>
          <w:ilvl w:val="5"/>
          <w:numId w:val="1000"/>
        </w:numPr>
        <w:pStyle w:val="Compact"/>
      </w:pPr>
      <w:r>
        <w:t xml:space="preserve">Format routing; HRTF convolution (headphones)</w:t>
      </w:r>
    </w:p>
    <w:p>
      <w:pPr>
        <w:numPr>
          <w:ilvl w:val="5"/>
          <w:numId w:val="1000"/>
        </w:numPr>
        <w:pStyle w:val="Compact"/>
      </w:pPr>
      <w:r>
        <w:t xml:space="preserve">64 ch cinema / 22 ch home / binaural</w:t>
      </w:r>
    </w:p>
    <w:p>
      <w:pPr>
        <w:pStyle w:val="FirstParagraph"/>
      </w:pPr>
      <w:r>
        <w:t xml:space="preserve">The table reveals a deliberate architectural separation of concerns. Stage 1 is purely geometric — it knows nothing about audio content. Stage 2 is purely kinematic — it converts metadata to spatial coordinates. Stage 3 is the only stage that discards information (reducing 128 tracks to 16 elements), and it is bypassed entirely in the cinematic path where all 64 speaker feeds are rendered individually. Stage 4 is the mathematical core — the only stage that performs signal-level operations on a per-sample basis. Stage 5 is a simple linear mixer, and Stage 6 is a format adapter. This modular structure is what enables the same master to play on configurations ranging from stereo headphones to a 64-speaker theatrical array: the early stages (1–3) adapt to the playback environment, while the mathematical core (Stage 4) remains invariant.</w:t>
      </w:r>
    </w:p>
    <w:p>
      <w:pPr>
        <w:pStyle w:val="BodyText"/>
      </w:pPr>
      <w:r>
        <w:t xml:space="preserve">The computational load of the pipeline is dominated by Stage 4. For a full cinematic mix with 118 objects rendered to 64 speakers, the renderer must perform up to 118 triplet selections and matrix-vector multiplications per sample. At 48 kHz, this translates to approximately</w:t>
      </w:r>
      <w:r>
        <w:t xml:space="preserve"> </w:t>
      </w:r>
      <m:oMath>
        <m:r>
          <m:t>118</m:t>
        </m:r>
        <m:r>
          <m:rPr>
            <m:sty m:val="p"/>
          </m:rPr>
          <m:t>×</m:t>
        </m:r>
        <m:r>
          <m:t>48000</m:t>
        </m:r>
        <m:r>
          <m:rPr>
            <m:sty m:val="p"/>
          </m:rPr>
          <m:t>=</m:t>
        </m:r>
        <m:r>
          <m:t>5.66</m:t>
        </m:r>
        <m:r>
          <m:rPr>
            <m:sty m:val="p"/>
          </m:rPr>
          <m:t>×</m:t>
        </m:r>
        <m:sSup>
          <m:e>
            <m:r>
              <m:t>10</m:t>
            </m:r>
          </m:e>
          <m:sup>
            <m:r>
              <m:t>6</m:t>
            </m:r>
          </m:sup>
        </m:sSup>
      </m:oMath>
      <w:r>
        <w:t xml:space="preserve"> </w:t>
      </w:r>
      <w:r>
        <w:t xml:space="preserve">VBAP calculations per second. In practice, many objects are silent at any given instant, and triplet lookup tables reduce the selection to a simple index operation, bringing the real-time load well within the capabilities of modern DSP hardware. The Dolby RMU — typically a Dell Precision Rack server with an Intel Xeon E5-2620 v3 (6 cores at 2.4 GHz) — handles this workload with ample headroom</w:t>
      </w:r>
      <w:r>
        <w:t xml:space="preserve"> </w:t>
      </w:r>
      <w:fldSimple w:instr="NOTEREF _Ref_Footnote_9 \h \f">
        <w:r>
          <w:rPr>
            <w:vertAlign w:val="superscript"/>
          </w:rPr>
          <w:t>9</w:t>
        </w:r>
      </w:fldSimple>
      <w:r>
        <w:t xml:space="preserve">.</w:t>
      </w:r>
    </w:p>
    <w:p>
      <w:r>
        <w:pict>
          <v:rect style="width:0;height:1.5pt" o:hralign="center" o:hrstd="t" o:hr="t"/>
        </w:pict>
      </w:r>
    </w:p>
    <w:bookmarkEnd w:id="72"/>
    <w:bookmarkEnd w:id="73"/>
    <w:bookmarkStart w:id="95" w:name="X905c6b6de24d88b8b55bba06f19b0dac4924739"/>
    <w:p>
      <w:pPr>
        <w:pStyle w:val="Heading2"/>
      </w:pPr>
      <w:r>
        <w:t xml:space="preserve">5. Multi-Configuration Playback: One Master, Every System</w:t>
      </w:r>
    </w:p>
    <w:p>
      <w:pPr>
        <w:pStyle w:val="FirstParagraph"/>
      </w:pPr>
      <w:r>
        <w:t xml:space="preserve">The defining architectural achievement of Dolby Atmos is the ability to author a single master file and have it render correctly on any playback system — from a pair of smartphone earbuds to a 64-speaker theatrical array. This chapter traces the signal path through that adaptation layer, examining the specific downmix matrices, fold-down algorithms, and rendering strategies used for each major speaker configuration class.</w:t>
      </w:r>
    </w:p>
    <w:bookmarkStart w:id="77" w:name="stereo-2.0-downmix"/>
    <w:p>
      <w:pPr>
        <w:pStyle w:val="Heading3"/>
      </w:pPr>
      <w:r>
        <w:t xml:space="preserve">5.1 Stereo (2.0) Downmix</w:t>
      </w:r>
    </w:p>
    <w:bookmarkStart w:id="74" w:name="the-loro-downmix-matrix"/>
    <w:p>
      <w:pPr>
        <w:pStyle w:val="Heading4"/>
      </w:pPr>
      <w:r>
        <w:t xml:space="preserve">5.1.1 The Lo/Ro downmix matrix</w:t>
      </w:r>
    </w:p>
    <w:p>
      <w:pPr>
        <w:pStyle w:val="FirstParagraph"/>
      </w:pPr>
      <w:r>
        <w:t xml:space="preserve">When a Dolby Atmos master containing up to 128 simultaneous audio tracks is rendered to stereo, the renderer follows a two-stage pipeline: first, all objects are rendered to an intermediate channel-based format (typically 7.1), then a matrix downmix collapses those channels to the stereo bus</w:t>
      </w:r>
      <w:r>
        <w:t xml:space="preserve"> </w:t>
      </w:r>
      <w:fldSimple w:instr="NOTEREF _Ref_Footnote_42 \h \f">
        <w:r>
          <w:rPr>
            <w:vertAlign w:val="superscript"/>
          </w:rPr>
          <w:t>42</w:t>
        </w:r>
      </w:fldSimple>
      <w:r>
        <w:t xml:space="preserve">. The default algorithm is the Lo/Ro (Left only / Right only) downmix:</w:t>
      </w:r>
    </w:p>
    <w:p>
      <w:pPr>
        <w:pStyle w:val="BodyText"/>
      </w:pPr>
      <m:oMathPara>
        <m:oMathParaPr>
          <m:jc m:val="center"/>
        </m:oMathParaPr>
        <m:oMath>
          <m:r>
            <m:rPr>
              <m:nor/>
              <m:sty m:val="p"/>
            </m:rPr>
            <m:t>Lo</m:t>
          </m:r>
          <m:r>
            <m:rPr>
              <m:sty m:val="p"/>
            </m:rPr>
            <m:t>=</m:t>
          </m:r>
          <m:r>
            <m:rPr>
              <m:nor/>
              <m:sty m:val="p"/>
            </m:rPr>
            <m:t>L</m:t>
          </m:r>
          <m:r>
            <m:rPr>
              <m:sty m:val="p"/>
            </m:rPr>
            <m:t>+</m:t>
          </m:r>
          <m:d>
            <m:dPr>
              <m:begChr m:val="("/>
              <m:endChr m:val=")"/>
              <m:sepChr m:val=""/>
              <m:grow/>
            </m:dPr>
            <m:e>
              <m:r>
                <m:rPr>
                  <m:sty m:val="p"/>
                </m:rPr>
                <m:t>−</m:t>
              </m:r>
              <m:r>
                <m:t>3</m:t>
              </m:r>
              <m:r>
                <m:t> </m:t>
              </m:r>
              <m:r>
                <m:rPr>
                  <m:nor/>
                  <m:sty m:val="p"/>
                </m:rPr>
                <m:t>dB</m:t>
              </m:r>
              <m:r>
                <m:rPr>
                  <m:sty m:val="p"/>
                </m:rPr>
                <m:t>×</m:t>
              </m:r>
              <m:r>
                <m:rPr>
                  <m:nor/>
                  <m:sty m:val="p"/>
                </m:rPr>
                <m:t>C</m:t>
              </m:r>
            </m:e>
          </m:d>
          <m:r>
            <m:rPr>
              <m:sty m:val="p"/>
            </m:rPr>
            <m:t>+</m:t>
          </m:r>
          <m:d>
            <m:dPr>
              <m:begChr m:val="("/>
              <m:endChr m:val=")"/>
              <m:sepChr m:val=""/>
              <m:grow/>
            </m:dPr>
            <m:e>
              <m:r>
                <m:rPr>
                  <m:sty m:val="p"/>
                </m:rPr>
                <m:t>−</m:t>
              </m:r>
              <m:r>
                <m:t>3</m:t>
              </m:r>
              <m:r>
                <m:t> </m:t>
              </m:r>
              <m:r>
                <m:rPr>
                  <m:nor/>
                  <m:sty m:val="p"/>
                </m:rPr>
                <m:t>dB</m:t>
              </m:r>
              <m:r>
                <m:rPr>
                  <m:sty m:val="p"/>
                </m:rPr>
                <m:t>×</m:t>
              </m:r>
              <m:r>
                <m:rPr>
                  <m:nor/>
                  <m:sty m:val="p"/>
                </m:rPr>
                <m:t>Ls</m:t>
              </m:r>
            </m:e>
          </m:d>
        </m:oMath>
      </m:oMathPara>
    </w:p>
    <w:p>
      <w:pPr>
        <w:pStyle w:val="FirstParagraph"/>
      </w:pPr>
      <m:oMathPara>
        <m:oMathParaPr>
          <m:jc m:val="center"/>
        </m:oMathParaPr>
        <m:oMath>
          <m:r>
            <m:rPr>
              <m:nor/>
              <m:sty m:val="p"/>
            </m:rPr>
            <m:t>Ro</m:t>
          </m:r>
          <m:r>
            <m:rPr>
              <m:sty m:val="p"/>
            </m:rPr>
            <m:t>=</m:t>
          </m:r>
          <m:r>
            <m:rPr>
              <m:nor/>
              <m:sty m:val="p"/>
            </m:rPr>
            <m:t>R</m:t>
          </m:r>
          <m:r>
            <m:rPr>
              <m:sty m:val="p"/>
            </m:rPr>
            <m:t>+</m:t>
          </m:r>
          <m:d>
            <m:dPr>
              <m:begChr m:val="("/>
              <m:endChr m:val=")"/>
              <m:sepChr m:val=""/>
              <m:grow/>
            </m:dPr>
            <m:e>
              <m:r>
                <m:rPr>
                  <m:sty m:val="p"/>
                </m:rPr>
                <m:t>−</m:t>
              </m:r>
              <m:r>
                <m:t>3</m:t>
              </m:r>
              <m:r>
                <m:t> </m:t>
              </m:r>
              <m:r>
                <m:rPr>
                  <m:nor/>
                  <m:sty m:val="p"/>
                </m:rPr>
                <m:t>dB</m:t>
              </m:r>
              <m:r>
                <m:rPr>
                  <m:sty m:val="p"/>
                </m:rPr>
                <m:t>×</m:t>
              </m:r>
              <m:r>
                <m:rPr>
                  <m:nor/>
                  <m:sty m:val="p"/>
                </m:rPr>
                <m:t>C</m:t>
              </m:r>
            </m:e>
          </m:d>
          <m:r>
            <m:rPr>
              <m:sty m:val="p"/>
            </m:rPr>
            <m:t>+</m:t>
          </m:r>
          <m:d>
            <m:dPr>
              <m:begChr m:val="("/>
              <m:endChr m:val=")"/>
              <m:sepChr m:val=""/>
              <m:grow/>
            </m:dPr>
            <m:e>
              <m:r>
                <m:rPr>
                  <m:sty m:val="p"/>
                </m:rPr>
                <m:t>−</m:t>
              </m:r>
              <m:r>
                <m:t>3</m:t>
              </m:r>
              <m:r>
                <m:t> </m:t>
              </m:r>
              <m:r>
                <m:rPr>
                  <m:nor/>
                  <m:sty m:val="p"/>
                </m:rPr>
                <m:t>dB</m:t>
              </m:r>
              <m:r>
                <m:rPr>
                  <m:sty m:val="p"/>
                </m:rPr>
                <m:t>×</m:t>
              </m:r>
              <m:r>
                <m:rPr>
                  <m:nor/>
                  <m:sty m:val="p"/>
                </m:rPr>
                <m:t>Rs</m:t>
              </m:r>
            </m:e>
          </m:d>
        </m:oMath>
      </m:oMathPara>
    </w:p>
    <w:p>
      <w:pPr>
        <w:pStyle w:val="FirstParagraph"/>
      </w:pPr>
      <w:r>
        <w:t xml:space="preserve">Here L and R are the front channels, C is the center channel, and Ls/Rs are the surround channels. The LFE channel is discarded entirely</w:t>
      </w:r>
      <w:r>
        <w:t xml:space="preserve"> </w:t>
      </w:r>
      <w:fldSimple w:instr="NOTEREF _Ref_Footnote_42 \h \f">
        <w:r>
          <w:rPr>
            <w:vertAlign w:val="superscript"/>
          </w:rPr>
          <w:t>42</w:t>
        </w:r>
      </w:fldSimple>
      <w:r>
        <w:t xml:space="preserve">. The</w:t>
      </w:r>
      <w:r>
        <w:t xml:space="preserve"> </w:t>
      </w:r>
      <m:oMath>
        <m:r>
          <m:rPr>
            <m:sty m:val="p"/>
          </m:rPr>
          <m:t>−</m:t>
        </m:r>
        <m:r>
          <m:t>3</m:t>
        </m:r>
        <m:r>
          <m:t> </m:t>
        </m:r>
        <m:r>
          <m:rPr>
            <m:nor/>
            <m:sty m:val="p"/>
          </m:rPr>
          <m:t>dB</m:t>
        </m:r>
      </m:oMath>
      <w:r>
        <w:t xml:space="preserve"> </w:t>
      </w:r>
      <w:r>
        <w:t xml:space="preserve">attenuation on the center and surrounds prevents level buildup in the two-channel sum — two correlated signals at</w:t>
      </w:r>
      <w:r>
        <w:t xml:space="preserve"> </w:t>
      </w:r>
      <m:oMath>
        <m:r>
          <m:rPr>
            <m:sty m:val="p"/>
          </m:rPr>
          <m:t>−</m:t>
        </m:r>
        <m:r>
          <m:t>3</m:t>
        </m:r>
        <m:r>
          <m:t> </m:t>
        </m:r>
        <m:r>
          <m:rPr>
            <m:nor/>
            <m:sty m:val="p"/>
          </m:rPr>
          <m:t>dB</m:t>
        </m:r>
      </m:oMath>
      <w:r>
        <w:t xml:space="preserve"> </w:t>
      </w:r>
      <w:r>
        <w:t xml:space="preserve">sum to approximately</w:t>
      </w:r>
      <w:r>
        <w:t xml:space="preserve"> </w:t>
      </w:r>
      <m:oMath>
        <m:r>
          <m:rPr>
            <m:sty m:val="p"/>
          </m:rPr>
          <m:t>+</m:t>
        </m:r>
        <m:r>
          <m:t>3</m:t>
        </m:r>
        <m:r>
          <m:t> </m:t>
        </m:r>
        <m:r>
          <m:rPr>
            <m:nor/>
            <m:sty m:val="p"/>
          </m:rPr>
          <m:t>dB</m:t>
        </m:r>
      </m:oMath>
      <w:r>
        <w:t xml:space="preserve"> </w:t>
      </w:r>
      <w:r>
        <w:t xml:space="preserve">net gain, preserving perceived loudness while avoiding clipping. The center channel (typically dialogue) folds equally into both left and right, creating a phantom center image that collapses for off-center listeners, an inherent limitation of stereo reproduction</w:t>
      </w:r>
      <w:r>
        <w:t xml:space="preserve"> </w:t>
      </w:r>
      <w:fldSimple w:instr="NOTEREF _Ref_Footnote_66 \h \f">
        <w:r>
          <w:rPr>
            <w:vertAlign w:val="superscript"/>
          </w:rPr>
          <w:t>66</w:t>
        </w:r>
      </w:fldSimple>
      <w:r>
        <w:t xml:space="preserve">.</w:t>
      </w:r>
    </w:p>
    <w:bookmarkEnd w:id="74"/>
    <w:bookmarkStart w:id="75" w:name="X2649eeabaeb95e906e7470c5499c1cac2ef21cd"/>
    <w:p>
      <w:pPr>
        <w:pStyle w:val="Heading4"/>
      </w:pPr>
      <w:r>
        <w:t xml:space="preserve">5.1.2 Alternative Lt/Rt encoding: Dolby Pro Logic II matrix</w:t>
      </w:r>
    </w:p>
    <w:p>
      <w:pPr>
        <w:pStyle w:val="FirstParagraph"/>
      </w:pPr>
      <w:r>
        <w:t xml:space="preserve">The renderer also offers Lt/Rt (Left total / Right total) encoding, which embeds surround information in a phase-matrixed stereo signal compatible with Dolby Pro Logic II decoders:</w:t>
      </w:r>
    </w:p>
    <w:p>
      <w:pPr>
        <w:pStyle w:val="BodyText"/>
      </w:pPr>
      <m:oMathPara>
        <m:oMathParaPr>
          <m:jc m:val="center"/>
        </m:oMathParaPr>
        <m:oMath>
          <m:r>
            <m:rPr>
              <m:nor/>
              <m:sty m:val="p"/>
            </m:rPr>
            <m:t>Lt</m:t>
          </m:r>
          <m:r>
            <m:rPr>
              <m:sty m:val="p"/>
            </m:rPr>
            <m:t>=</m:t>
          </m:r>
          <m:r>
            <m:rPr>
              <m:nor/>
              <m:sty m:val="p"/>
            </m:rPr>
            <m:t>L</m:t>
          </m:r>
          <m:r>
            <m:rPr>
              <m:sty m:val="p"/>
            </m:rPr>
            <m:t>+</m:t>
          </m:r>
          <m:d>
            <m:dPr>
              <m:begChr m:val="("/>
              <m:endChr m:val=")"/>
              <m:sepChr m:val=""/>
              <m:grow/>
            </m:dPr>
            <m:e>
              <m:r>
                <m:rPr>
                  <m:sty m:val="p"/>
                </m:rPr>
                <m:t>−</m:t>
              </m:r>
              <m:r>
                <m:t>3</m:t>
              </m:r>
              <m:r>
                <m:t> </m:t>
              </m:r>
              <m:r>
                <m:rPr>
                  <m:nor/>
                  <m:sty m:val="p"/>
                </m:rPr>
                <m:t>dB</m:t>
              </m:r>
              <m:r>
                <m:rPr>
                  <m:sty m:val="p"/>
                </m:rPr>
                <m:t>×</m:t>
              </m:r>
              <m:r>
                <m:rPr>
                  <m:nor/>
                  <m:sty m:val="p"/>
                </m:rPr>
                <m:t>C</m:t>
              </m:r>
            </m:e>
          </m:d>
          <m:r>
            <m:rPr>
              <m:sty m:val="p"/>
            </m:rPr>
            <m:t>−</m:t>
          </m:r>
          <m:d>
            <m:dPr>
              <m:begChr m:val="("/>
              <m:endChr m:val=")"/>
              <m:sepChr m:val=""/>
              <m:grow/>
            </m:dPr>
            <m:e>
              <m:r>
                <m:rPr>
                  <m:sty m:val="p"/>
                </m:rPr>
                <m:t>−</m:t>
              </m:r>
              <m:r>
                <m:t>1.2</m:t>
              </m:r>
              <m:r>
                <m:t> </m:t>
              </m:r>
              <m:r>
                <m:rPr>
                  <m:nor/>
                  <m:sty m:val="p"/>
                </m:rPr>
                <m:t>dB</m:t>
              </m:r>
              <m:r>
                <m:rPr>
                  <m:sty m:val="p"/>
                </m:rPr>
                <m:t>×</m:t>
              </m:r>
              <m:r>
                <m:rPr>
                  <m:nor/>
                  <m:sty m:val="p"/>
                </m:rPr>
                <m:t>Ls</m:t>
              </m:r>
            </m:e>
          </m:d>
          <m:r>
            <m:rPr>
              <m:sty m:val="p"/>
            </m:rPr>
            <m:t>−</m:t>
          </m:r>
          <m:d>
            <m:dPr>
              <m:begChr m:val="("/>
              <m:endChr m:val=")"/>
              <m:sepChr m:val=""/>
              <m:grow/>
            </m:dPr>
            <m:e>
              <m:r>
                <m:rPr>
                  <m:sty m:val="p"/>
                </m:rPr>
                <m:t>−</m:t>
              </m:r>
              <m:r>
                <m:t>6.2</m:t>
              </m:r>
              <m:r>
                <m:t> </m:t>
              </m:r>
              <m:r>
                <m:rPr>
                  <m:nor/>
                  <m:sty m:val="p"/>
                </m:rPr>
                <m:t>dB</m:t>
              </m:r>
              <m:r>
                <m:rPr>
                  <m:sty m:val="p"/>
                </m:rPr>
                <m:t>×</m:t>
              </m:r>
              <m:r>
                <m:rPr>
                  <m:nor/>
                  <m:sty m:val="p"/>
                </m:rPr>
                <m:t>Rs</m:t>
              </m:r>
            </m:e>
          </m:d>
        </m:oMath>
      </m:oMathPara>
    </w:p>
    <w:p>
      <w:pPr>
        <w:pStyle w:val="FirstParagraph"/>
      </w:pPr>
      <m:oMathPara>
        <m:oMathParaPr>
          <m:jc m:val="center"/>
        </m:oMathParaPr>
        <m:oMath>
          <m:r>
            <m:rPr>
              <m:nor/>
              <m:sty m:val="p"/>
            </m:rPr>
            <m:t>Rt</m:t>
          </m:r>
          <m:r>
            <m:rPr>
              <m:sty m:val="p"/>
            </m:rPr>
            <m:t>=</m:t>
          </m:r>
          <m:r>
            <m:rPr>
              <m:nor/>
              <m:sty m:val="p"/>
            </m:rPr>
            <m:t>R</m:t>
          </m:r>
          <m:r>
            <m:rPr>
              <m:sty m:val="p"/>
            </m:rPr>
            <m:t>+</m:t>
          </m:r>
          <m:d>
            <m:dPr>
              <m:begChr m:val="("/>
              <m:endChr m:val=")"/>
              <m:sepChr m:val=""/>
              <m:grow/>
            </m:dPr>
            <m:e>
              <m:r>
                <m:rPr>
                  <m:sty m:val="p"/>
                </m:rPr>
                <m:t>−</m:t>
              </m:r>
              <m:r>
                <m:t>3</m:t>
              </m:r>
              <m:r>
                <m:t> </m:t>
              </m:r>
              <m:r>
                <m:rPr>
                  <m:nor/>
                  <m:sty m:val="p"/>
                </m:rPr>
                <m:t>dB</m:t>
              </m:r>
              <m:r>
                <m:rPr>
                  <m:sty m:val="p"/>
                </m:rPr>
                <m:t>×</m:t>
              </m:r>
              <m:r>
                <m:rPr>
                  <m:nor/>
                  <m:sty m:val="p"/>
                </m:rPr>
                <m:t>C</m:t>
              </m:r>
            </m:e>
          </m:d>
          <m:r>
            <m:rPr>
              <m:sty m:val="p"/>
            </m:rPr>
            <m:t>+</m:t>
          </m:r>
          <m:d>
            <m:dPr>
              <m:begChr m:val="("/>
              <m:endChr m:val=")"/>
              <m:sepChr m:val=""/>
              <m:grow/>
            </m:dPr>
            <m:e>
              <m:r>
                <m:rPr>
                  <m:sty m:val="p"/>
                </m:rPr>
                <m:t>−</m:t>
              </m:r>
              <m:r>
                <m:t>6.2</m:t>
              </m:r>
              <m:r>
                <m:t> </m:t>
              </m:r>
              <m:r>
                <m:rPr>
                  <m:nor/>
                  <m:sty m:val="p"/>
                </m:rPr>
                <m:t>dB</m:t>
              </m:r>
              <m:r>
                <m:rPr>
                  <m:sty m:val="p"/>
                </m:rPr>
                <m:t>×</m:t>
              </m:r>
              <m:r>
                <m:rPr>
                  <m:nor/>
                  <m:sty m:val="p"/>
                </m:rPr>
                <m:t>Ls</m:t>
              </m:r>
            </m:e>
          </m:d>
          <m:r>
            <m:rPr>
              <m:sty m:val="p"/>
            </m:rPr>
            <m:t>+</m:t>
          </m:r>
          <m:d>
            <m:dPr>
              <m:begChr m:val="("/>
              <m:endChr m:val=")"/>
              <m:sepChr m:val=""/>
              <m:grow/>
            </m:dPr>
            <m:e>
              <m:r>
                <m:rPr>
                  <m:sty m:val="p"/>
                </m:rPr>
                <m:t>−</m:t>
              </m:r>
              <m:r>
                <m:t>1.2</m:t>
              </m:r>
              <m:r>
                <m:t> </m:t>
              </m:r>
              <m:r>
                <m:rPr>
                  <m:nor/>
                  <m:sty m:val="p"/>
                </m:rPr>
                <m:t>dB</m:t>
              </m:r>
              <m:r>
                <m:rPr>
                  <m:sty m:val="p"/>
                </m:rPr>
                <m:t>×</m:t>
              </m:r>
              <m:r>
                <m:rPr>
                  <m:nor/>
                  <m:sty m:val="p"/>
                </m:rPr>
                <m:t>Rs</m:t>
              </m:r>
            </m:e>
          </m:d>
        </m:oMath>
      </m:oMathPara>
    </w:p>
    <w:p>
      <w:pPr>
        <w:pStyle w:val="FirstParagraph"/>
      </w:pPr>
      <w:r>
        <w:t xml:space="preserve">The asymmetric surround coefficients — left surround at</w:t>
      </w:r>
      <w:r>
        <w:t xml:space="preserve"> </w:t>
      </w:r>
      <m:oMath>
        <m:r>
          <m:rPr>
            <m:sty m:val="p"/>
          </m:rPr>
          <m:t>−</m:t>
        </m:r>
        <m:r>
          <m:t>1.2</m:t>
        </m:r>
        <m:r>
          <m:t> </m:t>
        </m:r>
        <m:r>
          <m:rPr>
            <m:nor/>
            <m:sty m:val="p"/>
          </m:rPr>
          <m:t>dB</m:t>
        </m:r>
      </m:oMath>
      <w:r>
        <w:t xml:space="preserve"> </w:t>
      </w:r>
      <w:r>
        <w:t xml:space="preserve">into Lt and</w:t>
      </w:r>
      <w:r>
        <w:t xml:space="preserve"> </w:t>
      </w:r>
      <m:oMath>
        <m:r>
          <m:rPr>
            <m:sty m:val="p"/>
          </m:rPr>
          <m:t>−</m:t>
        </m:r>
        <m:r>
          <m:t>6.2</m:t>
        </m:r>
        <m:r>
          <m:t> </m:t>
        </m:r>
        <m:r>
          <m:rPr>
            <m:nor/>
            <m:sty m:val="p"/>
          </m:rPr>
          <m:t>dB</m:t>
        </m:r>
      </m:oMath>
      <w:r>
        <w:t xml:space="preserve"> </w:t>
      </w:r>
      <w:r>
        <w:t xml:space="preserve">into Rt with polarity reversal — enable a Pro Logic II decoder to approximately reconstruct the four original channels from the two Lt/Rt signals</w:t>
      </w:r>
      <w:r>
        <w:t xml:space="preserve"> </w:t>
      </w:r>
      <w:fldSimple w:instr="NOTEREF _Ref_Footnote_42 \h \f">
        <w:r>
          <w:rPr>
            <w:vertAlign w:val="superscript"/>
          </w:rPr>
          <w:t>42</w:t>
        </w:r>
      </w:fldSimple>
      <w:r>
        <w:t xml:space="preserve">. A recommended variant adds a</w:t>
      </w:r>
      <w:r>
        <w:t xml:space="preserve"> </w:t>
      </w:r>
      <m:oMath>
        <m:r>
          <m:t>90</m:t>
        </m:r>
        <m:r>
          <m:rPr>
            <m:sty m:val="p"/>
          </m:rPr>
          <m:t>°</m:t>
        </m:r>
      </m:oMath>
      <w:r>
        <w:t xml:space="preserve"> </w:t>
      </w:r>
      <w:r>
        <w:t xml:space="preserve">phase shift to the surround components, which Dolby states</w:t>
      </w:r>
      <w:r>
        <w:t xml:space="preserve"> </w:t>
      </w:r>
      <w:r>
        <w:t xml:space="preserve">“</w:t>
      </w:r>
      <w:r>
        <w:t xml:space="preserve">reduces undesirable signal cancellation, improving imaging, and enabling proper matrix decoding</w:t>
      </w:r>
      <w:r>
        <w:t xml:space="preserve">”</w:t>
      </w:r>
      <w:r>
        <w:t xml:space="preserve"> </w:t>
      </w:r>
      <w:fldSimple w:instr="NOTEREF _Ref_Footnote_42 \h \f">
        <w:r>
          <w:rPr>
            <w:vertAlign w:val="superscript"/>
          </w:rPr>
          <w:t>42</w:t>
        </w:r>
      </w:fldSimple>
      <w:r>
        <w:t xml:space="preserve">.</w:t>
      </w:r>
    </w:p>
    <w:bookmarkEnd w:id="75"/>
    <w:bookmarkStart w:id="76" w:name="Xe0e3b14ed0bf4037b22f7733e2b6c9742664ac6"/>
    <w:p>
      <w:pPr>
        <w:pStyle w:val="Heading4"/>
      </w:pPr>
      <w:r>
        <w:t xml:space="preserve">5.1.3 Binaural fallback: HRTF-based stereo rendering</w:t>
      </w:r>
    </w:p>
    <w:p>
      <w:pPr>
        <w:pStyle w:val="FirstParagraph"/>
      </w:pPr>
      <w:r>
        <w:t xml:space="preserve">When the playback device is a pair of headphones, the renderer may employ binaural rendering rather than Lo/Ro downmix. Each object and bed channel is convolved with a Head-Related Transfer Function (HRTF) filter pair simulating the acoustic transfer from a virtual source position to the listener’s ears. This path preserves elevation cues entirely lost in a Lo/Ro fold-down and is the preferred fallback for headphone listening. The binaural pipeline is treated in detail in Chapter 7.</w:t>
      </w:r>
    </w:p>
    <w:bookmarkEnd w:id="76"/>
    <w:bookmarkEnd w:id="77"/>
    <w:bookmarkStart w:id="81" w:name="surround-configurations-5.1-and-7.1"/>
    <w:p>
      <w:pPr>
        <w:pStyle w:val="Heading3"/>
      </w:pPr>
      <w:r>
        <w:t xml:space="preserve">5.2 Surround Configurations: 5.1 and 7.1</w:t>
      </w:r>
    </w:p>
    <w:bookmarkStart w:id="78" w:name="four-5.1-downmix-modes"/>
    <w:p>
      <w:pPr>
        <w:pStyle w:val="Heading4"/>
      </w:pPr>
      <w:r>
        <w:t xml:space="preserve">5.2.1 Four 5.1 downmix modes</w:t>
      </w:r>
    </w:p>
    <w:p>
      <w:pPr>
        <w:pStyle w:val="FirstParagraph"/>
      </w:pPr>
      <w:r>
        <w:t xml:space="preserve">Rendering to 5.1 — still the most common consumer layout — requires redistributing content from the missing rear surround and height channels of the 7.1.2 bed. The renderer offers four algorithms</w:t>
      </w:r>
      <w:r>
        <w:t xml:space="preserve"> </w:t>
      </w:r>
      <w:fldSimple w:instr="NOTEREF _Ref_Footnote_14 \h \f">
        <w:r>
          <w:rPr>
            <w:vertAlign w:val="superscript"/>
          </w:rPr>
          <w:t>14</w:t>
        </w:r>
      </w:fldSimple>
      <w:r>
        <w:t xml:space="preserve"> </w:t>
      </w:r>
      <w:fldSimple w:instr="NOTEREF _Ref_Footnote_33 \h \f">
        <w:r>
          <w:rPr>
            <w:vertAlign w:val="superscript"/>
          </w:rPr>
          <w:t>33</w:t>
        </w:r>
      </w:fldSimple>
      <w:r>
        <w:t xml:space="preserve">:</w:t>
      </w:r>
    </w:p>
    <w:p>
      <w:pPr>
        <w:pStyle w:val="BodyText"/>
      </w:pPr>
      <w:r>
        <w:rPr>
          <w:bCs/>
          <w:b/>
        </w:rPr>
        <w:t xml:space="preserve">Lo/Ro (Default):</w:t>
      </w:r>
      <w:r>
        <w:t xml:space="preserve"> </w:t>
      </w:r>
      <w:r>
        <w:t xml:space="preserve">The mix is first rendered to 7.1, then the side and rear surrounds are summed at unity gain to produce the 5.1 surround channels:</w:t>
      </w:r>
      <w:r>
        <w:t xml:space="preserve"> </w:t>
      </w:r>
      <m:oMath>
        <m:r>
          <m:rPr>
            <m:nor/>
            <m:sty m:val="p"/>
          </m:rPr>
          <m:t>Ls</m:t>
        </m:r>
        <m:r>
          <m:rPr>
            <m:sty m:val="p"/>
          </m:rPr>
          <m:t>=</m:t>
        </m:r>
        <m:r>
          <m:t>0</m:t>
        </m:r>
        <m:r>
          <m:t> </m:t>
        </m:r>
        <m:r>
          <m:rPr>
            <m:nor/>
            <m:sty m:val="p"/>
          </m:rPr>
          <m:t>dB</m:t>
        </m:r>
        <m:r>
          <m:rPr>
            <m:sty m:val="p"/>
          </m:rPr>
          <m:t>×</m:t>
        </m:r>
        <m:r>
          <m:rPr>
            <m:nor/>
            <m:sty m:val="p"/>
          </m:rPr>
          <m:t>Lss</m:t>
        </m:r>
        <m:r>
          <m:rPr>
            <m:sty m:val="p"/>
          </m:rPr>
          <m:t>+</m:t>
        </m:r>
        <m:r>
          <m:t>0</m:t>
        </m:r>
        <m:r>
          <m:t> </m:t>
        </m:r>
        <m:r>
          <m:rPr>
            <m:nor/>
            <m:sty m:val="p"/>
          </m:rPr>
          <m:t>dB</m:t>
        </m:r>
        <m:r>
          <m:rPr>
            <m:sty m:val="p"/>
          </m:rPr>
          <m:t>×</m:t>
        </m:r>
        <m:r>
          <m:rPr>
            <m:nor/>
            <m:sty m:val="p"/>
          </m:rPr>
          <m:t>Lrs</m:t>
        </m:r>
      </m:oMath>
      <w:r>
        <w:t xml:space="preserve">. This preserves all surround energy but collapses the front-to-back depth dimension into a single pair</w:t>
      </w:r>
      <w:r>
        <w:t xml:space="preserve"> </w:t>
      </w:r>
      <w:fldSimple w:instr="NOTEREF _Ref_Footnote_14 \h \f">
        <w:r>
          <w:rPr>
            <w:vertAlign w:val="superscript"/>
          </w:rPr>
          <w:t>14</w:t>
        </w:r>
      </w:fldSimple>
      <w:r>
        <w:t xml:space="preserve">.</w:t>
      </w:r>
    </w:p>
    <w:p>
      <w:pPr>
        <w:pStyle w:val="BodyText"/>
      </w:pPr>
      <w:r>
        <w:rPr>
          <w:bCs/>
          <w:b/>
        </w:rPr>
        <w:t xml:space="preserve">Dolby Pro Logic IIx:</w:t>
      </w:r>
      <w:r>
        <w:t xml:space="preserve"> </w:t>
      </w:r>
      <w:r>
        <w:t xml:space="preserve">A weighted matrix fold-down analogous to the stereo Lt/Rt system:</w:t>
      </w:r>
      <w:r>
        <w:t xml:space="preserve"> </w:t>
      </w:r>
      <m:oMath>
        <m:r>
          <m:rPr>
            <m:nor/>
            <m:sty m:val="p"/>
          </m:rPr>
          <m:t>Ls</m:t>
        </m:r>
        <m:r>
          <m:rPr>
            <m:sty m:val="p"/>
          </m:rPr>
          <m:t>=</m:t>
        </m:r>
        <m:r>
          <m:rPr>
            <m:nor/>
            <m:sty m:val="p"/>
          </m:rPr>
          <m:t>Lss</m:t>
        </m:r>
        <m:r>
          <m:rPr>
            <m:sty m:val="p"/>
          </m:rPr>
          <m:t>+</m:t>
        </m:r>
        <m:d>
          <m:dPr>
            <m:begChr m:val="("/>
            <m:endChr m:val=")"/>
            <m:sepChr m:val=""/>
            <m:grow/>
          </m:dPr>
          <m:e>
            <m:r>
              <m:rPr>
                <m:sty m:val="p"/>
              </m:rPr>
              <m:t>−</m:t>
            </m:r>
            <m:r>
              <m:t>1.2</m:t>
            </m:r>
            <m:r>
              <m:t> </m:t>
            </m:r>
            <m:r>
              <m:rPr>
                <m:nor/>
                <m:sty m:val="p"/>
              </m:rPr>
              <m:t>dB</m:t>
            </m:r>
            <m:r>
              <m:rPr>
                <m:sty m:val="p"/>
              </m:rPr>
              <m:t>×</m:t>
            </m:r>
            <m:r>
              <m:rPr>
                <m:nor/>
                <m:sty m:val="p"/>
              </m:rPr>
              <m:t>Lrs</m:t>
            </m:r>
          </m:e>
        </m:d>
        <m:r>
          <m:rPr>
            <m:sty m:val="p"/>
          </m:rPr>
          <m:t>+</m:t>
        </m:r>
        <m:d>
          <m:dPr>
            <m:begChr m:val="("/>
            <m:endChr m:val=")"/>
            <m:sepChr m:val=""/>
            <m:grow/>
          </m:dPr>
          <m:e>
            <m:r>
              <m:rPr>
                <m:sty m:val="p"/>
              </m:rPr>
              <m:t>−</m:t>
            </m:r>
            <m:r>
              <m:t>6.2</m:t>
            </m:r>
            <m:r>
              <m:t> </m:t>
            </m:r>
            <m:r>
              <m:rPr>
                <m:nor/>
                <m:sty m:val="p"/>
              </m:rPr>
              <m:t>dB</m:t>
            </m:r>
            <m:r>
              <m:rPr>
                <m:sty m:val="p"/>
              </m:rPr>
              <m:t>×</m:t>
            </m:r>
            <m:r>
              <m:rPr>
                <m:nor/>
                <m:sty m:val="p"/>
              </m:rPr>
              <m:t>Rrs</m:t>
            </m:r>
          </m:e>
        </m:d>
      </m:oMath>
      <w:r>
        <w:t xml:space="preserve">, compatible with Pro Logic IIx upmixers in consumer AV receivers</w:t>
      </w:r>
      <w:r>
        <w:t xml:space="preserve"> </w:t>
      </w:r>
      <w:fldSimple w:instr="NOTEREF _Ref_Footnote_14 \h \f">
        <w:r>
          <w:rPr>
            <w:vertAlign w:val="superscript"/>
          </w:rPr>
          <w:t>14</w:t>
        </w:r>
      </w:fldSimple>
      <w:r>
        <w:t xml:space="preserve">.</w:t>
      </w:r>
    </w:p>
    <w:p>
      <w:pPr>
        <w:pStyle w:val="BodyText"/>
      </w:pPr>
      <w:r>
        <w:rPr>
          <w:bCs/>
          <w:b/>
        </w:rPr>
        <w:t xml:space="preserve">Direct Render:</w:t>
      </w:r>
      <w:r>
        <w:t xml:space="preserve"> </w:t>
      </w:r>
      <w:r>
        <w:t xml:space="preserve">Objects map directly to available 5.1 speakers without a 7.1 intermediate. Rear-positioned objects render via phantom imaging between the side surrounds and front speakers. This produces accurate localization at the central listening position but introduces artifacts for off-center listeners</w:t>
      </w:r>
      <w:r>
        <w:t xml:space="preserve"> </w:t>
      </w:r>
      <w:fldSimple w:instr="NOTEREF _Ref_Footnote_33 \h \f">
        <w:r>
          <w:rPr>
            <w:vertAlign w:val="superscript"/>
          </w:rPr>
          <w:t>33</w:t>
        </w:r>
      </w:fldSimple>
      <w:r>
        <w:t xml:space="preserve">.</w:t>
      </w:r>
    </w:p>
    <w:p>
      <w:pPr>
        <w:pStyle w:val="BodyText"/>
      </w:pPr>
      <w:r>
        <w:rPr>
          <w:bCs/>
          <w:b/>
        </w:rPr>
        <w:t xml:space="preserve">Direct Render with Room Balance:</w:t>
      </w:r>
      <w:r>
        <w:t xml:space="preserve"> </w:t>
      </w:r>
      <w:r>
        <w:t xml:space="preserve">An updated algorithm that mitigates the comb filtering artifacts of Direct Render by presenting rear-half content at constant level in the surround speakers, avoiding phantom imaging except for objects in the front half of the room where front-to-surround speaker matching is more consistent</w:t>
      </w:r>
      <w:r>
        <w:t xml:space="preserve"> </w:t>
      </w:r>
      <w:fldSimple w:instr="NOTEREF _Ref_Footnote_33 \h \f">
        <w:r>
          <w:rPr>
            <w:vertAlign w:val="superscript"/>
          </w:rPr>
          <w:t>33</w:t>
        </w:r>
      </w:fldSimple>
      <w:r>
        <w:t xml:space="preserve">.</w:t>
      </w:r>
    </w:p>
    <w:bookmarkEnd w:id="78"/>
    <w:bookmarkStart w:id="79" w:name="room-balance-algorithm"/>
    <w:p>
      <w:pPr>
        <w:pStyle w:val="Heading4"/>
      </w:pPr>
      <w:r>
        <w:t xml:space="preserve">5.2.2 Room Balance algorithm</w:t>
      </w:r>
    </w:p>
    <w:p>
      <w:pPr>
        <w:pStyle w:val="FirstParagraph"/>
      </w:pPr>
      <w:r>
        <w:t xml:space="preserve">The Room Balance algorithm addresses comb filtering — the frequency-response notches that arise when two widely separated speakers reproduce the same signal with a path-length-dependent time delay. In a 5.1 layout, the front left and left surround speakers are typically separated by</w:t>
      </w:r>
      <w:r>
        <w:t xml:space="preserve"> </w:t>
      </w:r>
      <m:oMath>
        <m:r>
          <m:t>90</m:t>
        </m:r>
        <m:r>
          <m:rPr>
            <m:sty m:val="p"/>
          </m:rPr>
          <m:t>°</m:t>
        </m:r>
      </m:oMath>
      <w:r>
        <w:t xml:space="preserve">–</w:t>
      </w:r>
      <m:oMath>
        <m:r>
          <m:t>110</m:t>
        </m:r>
        <m:r>
          <m:rPr>
            <m:sty m:val="p"/>
          </m:rPr>
          <m:t>°</m:t>
        </m:r>
      </m:oMath>
      <w:r>
        <w:t xml:space="preserve"> </w:t>
      </w:r>
      <w:r>
        <w:t xml:space="preserve">and may differ in frequency response and room reflection characteristics. When an object is panned between them, constructive and destructive interference produces a</w:t>
      </w:r>
      <w:r>
        <w:t xml:space="preserve"> </w:t>
      </w:r>
      <w:r>
        <w:t xml:space="preserve">“</w:t>
      </w:r>
      <w:r>
        <w:t xml:space="preserve">comb</w:t>
      </w:r>
      <w:r>
        <w:t xml:space="preserve">”</w:t>
      </w:r>
      <w:r>
        <w:t xml:space="preserve"> </w:t>
      </w:r>
      <w:r>
        <w:t xml:space="preserve">spectrum at the listening position. The Room Balance algorithm detects when an object falls in the rear half of the room and routes it entirely to the nearest physical speaker rather than attempting a phantom image between front and surround pairs. This trades directional precision for timbral accuracy — the sound may not appear to originate from the exact intended angle, but it avoids the spectral coloration that would result from front-surround interference</w:t>
      </w:r>
      <w:r>
        <w:t xml:space="preserve"> </w:t>
      </w:r>
      <w:fldSimple w:instr="NOTEREF _Ref_Footnote_33 \h \f">
        <w:r>
          <w:rPr>
            <w:vertAlign w:val="superscript"/>
          </w:rPr>
          <w:t>33</w:t>
        </w:r>
      </w:fldSimple>
      <w:r>
        <w:t xml:space="preserve">. The algorithm is particularly effective for ambient content, where timbral fidelity is typically more important than precise angular placement.</w:t>
      </w:r>
    </w:p>
    <w:bookmarkEnd w:id="79"/>
    <w:bookmarkStart w:id="80" w:name="height-channel-fold-down"/>
    <w:p>
      <w:pPr>
        <w:pStyle w:val="Heading4"/>
      </w:pPr>
      <w:r>
        <w:t xml:space="preserve">5.2.3 Height channel fold-down</w:t>
      </w:r>
    </w:p>
    <w:p>
      <w:pPr>
        <w:pStyle w:val="FirstParagraph"/>
      </w:pPr>
      <w:r>
        <w:t xml:space="preserve">When rendering to any layout without height speakers, overhead content folds to ear-level speakers. The mixer can set</w:t>
      </w:r>
      <w:r>
        <w:t xml:space="preserve"> </w:t>
      </w:r>
      <w:r>
        <w:rPr>
          <w:bCs/>
          <w:b/>
        </w:rPr>
        <w:t xml:space="preserve">height trim</w:t>
      </w:r>
      <w:r>
        <w:t xml:space="preserve"> </w:t>
      </w:r>
      <w:r>
        <w:t xml:space="preserve">and</w:t>
      </w:r>
      <w:r>
        <w:t xml:space="preserve"> </w:t>
      </w:r>
      <w:r>
        <w:rPr>
          <w:bCs/>
          <w:b/>
        </w:rPr>
        <w:t xml:space="preserve">overhead balance</w:t>
      </w:r>
      <w:r>
        <w:t xml:space="preserve"> </w:t>
      </w:r>
      <w:r>
        <w:t xml:space="preserve">controls during authoring to specify whether height content biases toward the front or rear speakers</w:t>
      </w:r>
      <w:r>
        <w:t xml:space="preserve"> </w:t>
      </w:r>
      <w:fldSimple w:instr="NOTEREF _Ref_Footnote_42 \h \f">
        <w:r>
          <w:rPr>
            <w:vertAlign w:val="superscript"/>
          </w:rPr>
          <w:t>42</w:t>
        </w:r>
      </w:fldSimple>
      <w:r>
        <w:t xml:space="preserve">. The renderer does not synthesize height illusions on non-height systems —</w:t>
      </w:r>
      <w:r>
        <w:t xml:space="preserve"> </w:t>
      </w:r>
      <w:r>
        <w:t xml:space="preserve">“</w:t>
      </w:r>
      <w:r>
        <w:t xml:space="preserve">5.1 still sounds like 5.1. There’s no illusion of height channels created by the renderer, it’s a fold-down</w:t>
      </w:r>
      <w:r>
        <w:t xml:space="preserve">”</w:t>
      </w:r>
      <w:r>
        <w:t xml:space="preserve"> </w:t>
      </w:r>
      <w:fldSimple w:instr="NOTEREF _Ref_Footnote_13 \h \f">
        <w:r>
          <w:rPr>
            <w:vertAlign w:val="superscript"/>
          </w:rPr>
          <w:t>13</w:t>
        </w:r>
      </w:fldSimple>
      <w:r>
        <w:t xml:space="preserve">. For systems wishing to simulate height without physical overhead speakers, Dolby Atmos Height Virtualization applies HRTF-based height cue filters to overhead components before distributing them to listener-level speakers, creating a psychoacoustic impression of elevation through spectral shaping</w:t>
      </w:r>
      <w:r>
        <w:t xml:space="preserve"> </w:t>
      </w:r>
      <w:fldSimple w:instr="NOTEREF _Ref_Footnote_72 \h \f">
        <w:r>
          <w:rPr>
            <w:vertAlign w:val="superscript"/>
          </w:rPr>
          <w:t>72</w:t>
        </w:r>
      </w:fldSimple>
      <w:r>
        <w:t xml:space="preserve"> </w:t>
      </w:r>
      <w:r>
        <w:rPr>
          <w:vertAlign w:val="superscript"/>
        </w:rPr>
        <w:footnoteReference w:id="74"/>
      </w:r>
      <w:r>
        <w:t xml:space="preserve">.</w:t>
      </w:r>
    </w:p>
    <w:bookmarkEnd w:id="80"/>
    <w:bookmarkEnd w:id="81"/>
    <w:bookmarkStart w:id="85" w:name="X423ec5c378ecdb19f6b0d7f68f965194301791d"/>
    <w:p>
      <w:pPr>
        <w:pStyle w:val="Heading3"/>
      </w:pPr>
      <w:r>
        <w:t xml:space="preserve">5.3 Immersive Home Theater: 5.1.2 through 7.1.4</w:t>
      </w:r>
    </w:p>
    <w:bookmarkStart w:id="82" w:name="height-speaker-configurations"/>
    <w:p>
      <w:pPr>
        <w:pStyle w:val="Heading4"/>
      </w:pPr>
      <w:r>
        <w:t xml:space="preserve">5.3.1 Height speaker configurations</w:t>
      </w:r>
    </w:p>
    <w:p>
      <w:pPr>
        <w:pStyle w:val="FirstParagraph"/>
      </w:pPr>
      <w:r>
        <w:t xml:space="preserve">The addition of height speakers transforms reproduction from horizontal surround to three-dimensional audio. The nomenclature X.Y.Z denotes: X = ear-level speakers, Y = subwoofers/LFE, Z = height/overhead speakers. The minimum height-capable configuration is</w:t>
      </w:r>
      <w:r>
        <w:t xml:space="preserve"> </w:t>
      </w:r>
      <w:r>
        <w:rPr>
          <w:bCs/>
          <w:b/>
        </w:rPr>
        <w:t xml:space="preserve">5.1.2</w:t>
      </w:r>
      <w:r>
        <w:t xml:space="preserve"> </w:t>
      </w:r>
      <w:r>
        <w:t xml:space="preserve">(three front, two surrounds, one subwoofer, two height), providing a general overhead effect but limited vertical precision</w:t>
      </w:r>
      <w:r>
        <w:t xml:space="preserve"> </w:t>
      </w:r>
      <w:fldSimple w:instr="NOTEREF _Ref_Footnote_70 \h \f">
        <w:r>
          <w:rPr>
            <w:vertAlign w:val="superscript"/>
          </w:rPr>
          <w:t>70</w:t>
        </w:r>
      </w:fldSimple>
      <w:r>
        <w:t xml:space="preserve">. The</w:t>
      </w:r>
      <w:r>
        <w:t xml:space="preserve"> </w:t>
      </w:r>
      <w:r>
        <w:rPr>
          <w:bCs/>
          <w:b/>
        </w:rPr>
        <w:t xml:space="preserve">5.1.4</w:t>
      </w:r>
      <w:r>
        <w:t xml:space="preserve"> </w:t>
      </w:r>
      <w:r>
        <w:t xml:space="preserve">configuration adds front and rear height pairs, and</w:t>
      </w:r>
      <w:r>
        <w:t xml:space="preserve"> </w:t>
      </w:r>
      <w:r>
        <w:rPr>
          <w:bCs/>
          <w:b/>
        </w:rPr>
        <w:t xml:space="preserve">7.1.4</w:t>
      </w:r>
      <w:r>
        <w:t xml:space="preserve"> </w:t>
      </w:r>
      <w:r>
        <w:t xml:space="preserve">— seven ear-level speakers plus four overhead — is widely regarded as the recommended reference standard, providing complete</w:t>
      </w:r>
      <w:r>
        <w:t xml:space="preserve"> </w:t>
      </w:r>
      <m:oMath>
        <m:r>
          <m:t>360</m:t>
        </m:r>
        <m:r>
          <m:rPr>
            <m:sty m:val="p"/>
          </m:rPr>
          <m:t>°</m:t>
        </m:r>
      </m:oMath>
      <w:r>
        <w:t xml:space="preserve"> </w:t>
      </w:r>
      <w:r>
        <w:t xml:space="preserve">horizontal coverage together with precise height positioning</w:t>
      </w:r>
      <w:r>
        <w:t xml:space="preserve"> </w:t>
      </w:r>
      <w:fldSimple w:instr="NOTEREF _Ref_Footnote_69 \h \f">
        <w:r>
          <w:rPr>
            <w:vertAlign w:val="superscript"/>
          </w:rPr>
          <w:t>69</w:t>
        </w:r>
      </w:fldSimple>
      <w:r>
        <w:t xml:space="preserve">.</w:t>
      </w:r>
    </w:p>
    <w:bookmarkEnd w:id="82"/>
    <w:bookmarkStart w:id="83" w:name="Xdb909ecbd145f368cd71dd837e7f898f116891a"/>
    <w:p>
      <w:pPr>
        <w:pStyle w:val="Heading4"/>
      </w:pPr>
      <w:r>
        <w:t xml:space="preserve">5.3.2 Height angles: 45 degrees elevation standard</w:t>
      </w:r>
    </w:p>
    <w:p>
      <w:pPr>
        <w:pStyle w:val="FirstParagraph"/>
      </w:pPr>
      <w:r>
        <w:t xml:space="preserve">Dolby specifies that the elevation angle from the listening position to the overhead speakers in a 7.1.4 reference layout should be</w:t>
      </w:r>
      <w:r>
        <w:t xml:space="preserve"> </w:t>
      </w:r>
      <m:oMath>
        <m:r>
          <m:t>45</m:t>
        </m:r>
        <m:r>
          <m:rPr>
            <m:sty m:val="p"/>
          </m:rPr>
          <m:t>°</m:t>
        </m:r>
      </m:oMath>
      <w:r>
        <w:t xml:space="preserve">, adjustable between</w:t>
      </w:r>
      <w:r>
        <w:t xml:space="preserve"> </w:t>
      </w:r>
      <m:oMath>
        <m:r>
          <m:t>30</m:t>
        </m:r>
        <m:r>
          <m:rPr>
            <m:sty m:val="p"/>
          </m:rPr>
          <m:t>°</m:t>
        </m:r>
      </m:oMath>
      <w:r>
        <w:t xml:space="preserve"> </w:t>
      </w:r>
      <w:r>
        <w:t xml:space="preserve">and</w:t>
      </w:r>
      <w:r>
        <w:t xml:space="preserve"> </w:t>
      </w:r>
      <m:oMath>
        <m:r>
          <m:t>55</m:t>
        </m:r>
        <m:r>
          <m:rPr>
            <m:sty m:val="p"/>
          </m:rPr>
          <m:t>°</m:t>
        </m:r>
      </m:oMath>
      <w:r>
        <w:t xml:space="preserve"> </w:t>
      </w:r>
      <w:r>
        <w:t xml:space="preserve">to accommodate varying ceiling heights</w:t>
      </w:r>
      <w:r>
        <w:t xml:space="preserve"> </w:t>
      </w:r>
      <w:fldSimple w:instr="NOTEREF _Ref_Footnote_10 \h \f">
        <w:r>
          <w:rPr>
            <w:vertAlign w:val="superscript"/>
          </w:rPr>
          <w:t>10</w:t>
        </w:r>
      </w:fldSimple>
      <w:r>
        <w:t xml:space="preserve">. The</w:t>
      </w:r>
      <w:r>
        <w:t xml:space="preserve"> </w:t>
      </w:r>
      <m:oMath>
        <m:r>
          <m:t>45</m:t>
        </m:r>
        <m:r>
          <m:rPr>
            <m:sty m:val="p"/>
          </m:rPr>
          <m:t>°</m:t>
        </m:r>
      </m:oMath>
      <w:r>
        <w:t xml:space="preserve"> </w:t>
      </w:r>
      <w:r>
        <w:t xml:space="preserve">value balances overhead localization precision (favored by steeper angles) against smooth vertical panning (favored by shallower angles with more overlap between height and ear-level coverage). In a room with standard</w:t>
      </w:r>
      <w:r>
        <w:t xml:space="preserve"> </w:t>
      </w:r>
      <m:oMath>
        <m:r>
          <m:t>8</m:t>
        </m:r>
      </m:oMath>
      <w:r>
        <w:t xml:space="preserve">–</w:t>
      </w:r>
      <m:oMath>
        <m:r>
          <m:t>14</m:t>
        </m:r>
        <m:r>
          <m:t> </m:t>
        </m:r>
        <m:r>
          <m:rPr>
            <m:nor/>
            <m:sty m:val="p"/>
          </m:rPr>
          <m:t>ft</m:t>
        </m:r>
      </m:oMath>
      <w:r>
        <w:t xml:space="preserve"> </w:t>
      </w:r>
      <w:r>
        <w:t xml:space="preserve">ceilings, this typically places overhead speakers approximately</w:t>
      </w:r>
      <w:r>
        <w:t xml:space="preserve"> </w:t>
      </w:r>
      <m:oMath>
        <m:r>
          <m:t>2.4</m:t>
        </m:r>
        <m:r>
          <m:t> </m:t>
        </m:r>
        <m:r>
          <m:rPr>
            <m:nor/>
            <m:sty m:val="p"/>
          </m:rPr>
          <m:t>m</m:t>
        </m:r>
      </m:oMath>
      <w:r>
        <w:t xml:space="preserve"> </w:t>
      </w:r>
      <w:r>
        <w:t xml:space="preserve">above the listening position</w:t>
      </w:r>
      <w:r>
        <w:t xml:space="preserve"> </w:t>
      </w:r>
      <w:fldSimple w:instr="NOTEREF _Ref_Footnote_10 \h \f">
        <w:r>
          <w:rPr>
            <w:vertAlign w:val="superscript"/>
          </w:rPr>
          <w:t>10</w:t>
        </w:r>
      </w:fldSimple>
      <w:r>
        <w:t xml:space="preserve">.</w:t>
      </w:r>
    </w:p>
    <w:bookmarkEnd w:id="83"/>
    <w:bookmarkStart w:id="84" w:name="Xad87b6843a55b1d5fe022e61c1341c6da785623"/>
    <w:p>
      <w:pPr>
        <w:pStyle w:val="Heading4"/>
      </w:pPr>
      <w:r>
        <w:t xml:space="preserve">5.3.3 Object height rendering: VBAP triplet selection</w:t>
      </w:r>
    </w:p>
    <w:p>
      <w:pPr>
        <w:pStyle w:val="FirstParagraph"/>
      </w:pPr>
      <w:r>
        <w:t xml:space="preserve">With height speakers present, the renderer’s VBAP triplet selection extends into the vertical dimension. For each object’s</w:t>
      </w:r>
      <w:r>
        <w:t xml:space="preserve"> </w:t>
      </w:r>
      <m:oMath>
        <m:d>
          <m:dPr>
            <m:begChr m:val="("/>
            <m:endChr m:val=")"/>
            <m:sepChr m:val=""/>
            <m:grow/>
          </m:dPr>
          <m:e>
            <m:r>
              <m:t>x</m:t>
            </m:r>
            <m:r>
              <m:rPr>
                <m:sty m:val="p"/>
              </m:rPr>
              <m:t>,</m:t>
            </m:r>
            <m:r>
              <m:t>y</m:t>
            </m:r>
            <m:r>
              <m:rPr>
                <m:sty m:val="p"/>
              </m:rPr>
              <m:t>,</m:t>
            </m:r>
            <m:r>
              <m:t>z</m:t>
            </m:r>
          </m:e>
        </m:d>
      </m:oMath>
      <w:r>
        <w:t xml:space="preserve"> </w:t>
      </w:r>
      <w:r>
        <w:t xml:space="preserve">position, the renderer identifies the three closest loudspeakers — now potentially including one or more height speakers — and computes gain coefficients. In a 5.1.2 or 7.1.2 system, vertical localization relies on phantom imaging between the overhead pair and front speakers. In a 7.1.4 system, triplet combinations can draw from front-height, rear-height, and ear-level speakers simultaneously, achieving substantially more precise vertical positioning with less dependence on spectral phantom cues.</w:t>
      </w:r>
    </w:p>
    <w:bookmarkEnd w:id="84"/>
    <w:bookmarkEnd w:id="85"/>
    <w:bookmarkStart w:id="89" w:name="X9dce4db7800eadc3c7be2b32f739d3af7bcd7d2"/>
    <w:p>
      <w:pPr>
        <w:pStyle w:val="Heading3"/>
      </w:pPr>
      <w:r>
        <w:t xml:space="preserve">5.4 Advanced Home Configurations: 9.1.2 to 24.1.10</w:t>
      </w:r>
    </w:p>
    <w:bookmarkStart w:id="86" w:name="front-wide-speakers-9.1.x"/>
    <w:p>
      <w:pPr>
        <w:pStyle w:val="Heading4"/>
      </w:pPr>
      <w:r>
        <w:t xml:space="preserve">5.4.1 Front wide speakers (9.1.x)</w:t>
      </w:r>
    </w:p>
    <w:p>
      <w:pPr>
        <w:pStyle w:val="FirstParagraph"/>
      </w:pPr>
      <w:r>
        <w:t xml:space="preserve">The</w:t>
      </w:r>
      <w:r>
        <w:t xml:space="preserve"> </w:t>
      </w:r>
      <w:r>
        <w:rPr>
          <w:bCs/>
          <w:b/>
        </w:rPr>
        <w:t xml:space="preserve">9.1.x</w:t>
      </w:r>
      <w:r>
        <w:t xml:space="preserve"> </w:t>
      </w:r>
      <w:r>
        <w:t xml:space="preserve">configurations add</w:t>
      </w:r>
      <w:r>
        <w:t xml:space="preserve"> </w:t>
      </w:r>
      <w:r>
        <w:rPr>
          <w:bCs/>
          <w:b/>
        </w:rPr>
        <w:t xml:space="preserve">front wide speakers</w:t>
      </w:r>
      <w:r>
        <w:t xml:space="preserve"> </w:t>
      </w:r>
      <w:r>
        <w:t xml:space="preserve">(Lw/Rw) between the front left/right and side surrounds at approximately</w:t>
      </w:r>
      <w:r>
        <w:t xml:space="preserve"> </w:t>
      </w:r>
      <m:oMath>
        <m:r>
          <m:t>45</m:t>
        </m:r>
        <m:r>
          <m:rPr>
            <m:sty m:val="p"/>
          </m:rPr>
          <m:t>°</m:t>
        </m:r>
      </m:oMath>
      <w:r>
        <w:t xml:space="preserve">–</w:t>
      </w:r>
      <m:oMath>
        <m:r>
          <m:t>60</m:t>
        </m:r>
        <m:r>
          <m:rPr>
            <m:sty m:val="p"/>
          </m:rPr>
          <m:t>°</m:t>
        </m:r>
      </m:oMath>
      <w:r>
        <w:t xml:space="preserve"> </w:t>
      </w:r>
      <w:r>
        <w:t xml:space="preserve">azimuth</w:t>
      </w:r>
      <w:r>
        <w:t xml:space="preserve"> </w:t>
      </w:r>
      <w:fldSimple w:instr="NOTEREF _Ref_Footnote_8 \h \f">
        <w:r>
          <w:rPr>
            <w:vertAlign w:val="superscript"/>
          </w:rPr>
          <w:t>8</w:t>
        </w:r>
      </w:fldSimple>
      <w:r>
        <w:t xml:space="preserve">. For equidistant layouts, the ideal wide position is</w:t>
      </w:r>
      <w:r>
        <w:t xml:space="preserve"> </w:t>
      </w:r>
      <m:oMath>
        <m:r>
          <m:t>30</m:t>
        </m:r>
        <m:r>
          <m:rPr>
            <m:sty m:val="p"/>
          </m:rPr>
          <m:t>°</m:t>
        </m:r>
      </m:oMath>
      <w:r>
        <w:t xml:space="preserve"> </w:t>
      </w:r>
      <w:r>
        <w:t xml:space="preserve">(front speaker angle) plus</w:t>
      </w:r>
      <w:r>
        <w:t xml:space="preserve"> </w:t>
      </w:r>
      <m:oMath>
        <m:r>
          <m:t>15</m:t>
        </m:r>
        <m:r>
          <m:rPr>
            <m:sty m:val="p"/>
          </m:rPr>
          <m:t>°</m:t>
        </m:r>
      </m:oMath>
      <w:r>
        <w:t xml:space="preserve">, with a tolerance of</w:t>
      </w:r>
      <w:r>
        <w:t xml:space="preserve"> </w:t>
      </w:r>
      <m:oMath>
        <m:r>
          <m:rPr>
            <m:sty m:val="p"/>
          </m:rPr>
          <m:t>±</m:t>
        </m:r>
        <m:r>
          <m:t>5</m:t>
        </m:r>
        <m:r>
          <m:rPr>
            <m:sty m:val="p"/>
          </m:rPr>
          <m:t>°</m:t>
        </m:r>
      </m:oMath>
      <w:r>
        <w:t xml:space="preserve"> </w:t>
      </w:r>
      <w:fldSimple w:instr="NOTEREF _Ref_Footnote_31 \h \f">
        <w:r>
          <w:rPr>
            <w:vertAlign w:val="superscript"/>
          </w:rPr>
          <w:t>31</w:t>
        </w:r>
      </w:fldSimple>
      <w:r>
        <w:t xml:space="preserve">. These wide speakers fill the angular gap between front (</w:t>
      </w:r>
      <m:oMath>
        <m:r>
          <m:t>30</m:t>
        </m:r>
        <m:r>
          <m:rPr>
            <m:sty m:val="p"/>
          </m:rPr>
          <m:t>°</m:t>
        </m:r>
      </m:oMath>
      <w:r>
        <w:t xml:space="preserve">) and side surround (</w:t>
      </w:r>
      <m:oMath>
        <m:r>
          <m:t>90</m:t>
        </m:r>
        <m:r>
          <m:rPr>
            <m:sty m:val="p"/>
          </m:rPr>
          <m:t>°</m:t>
        </m:r>
      </m:oMath>
      <w:r>
        <w:t xml:space="preserve">–</w:t>
      </w:r>
      <m:oMath>
        <m:r>
          <m:t>110</m:t>
        </m:r>
        <m:r>
          <m:rPr>
            <m:sty m:val="p"/>
          </m:rPr>
          <m:t>°</m:t>
        </m:r>
      </m:oMath>
      <w:r>
        <w:t xml:space="preserve">), eliminating audible jumps as objects pan through this region. High-end AV receivers such as the Denon AVR-X6700H support 9.1.2 and 9.1.4 configurations using 13-channel processing</w:t>
      </w:r>
      <w:r>
        <w:t xml:space="preserve"> </w:t>
      </w:r>
      <w:fldSimple w:instr="NOTEREF _Ref_Footnote_11 \h \f">
        <w:r>
          <w:rPr>
            <w:vertAlign w:val="superscript"/>
          </w:rPr>
          <w:t>11</w:t>
        </w:r>
      </w:fldSimple>
      <w:r>
        <w:t xml:space="preserve">.</w:t>
      </w:r>
    </w:p>
    <w:bookmarkEnd w:id="86"/>
    <w:bookmarkStart w:id="87" w:name="maximum-consumer-configuration-24.1.10"/>
    <w:p>
      <w:pPr>
        <w:pStyle w:val="Heading4"/>
      </w:pPr>
      <w:r>
        <w:t xml:space="preserve">5.4.2 Maximum consumer configuration: 24.1.10</w:t>
      </w:r>
    </w:p>
    <w:p>
      <w:pPr>
        <w:pStyle w:val="FirstParagraph"/>
      </w:pPr>
      <w:r>
        <w:t xml:space="preserve">The practical ceiling for home Atmos playback is</w:t>
      </w:r>
      <w:r>
        <w:t xml:space="preserve"> </w:t>
      </w:r>
      <w:r>
        <w:rPr>
          <w:bCs/>
          <w:b/>
        </w:rPr>
        <w:t xml:space="preserve">24.1.10</w:t>
      </w:r>
      <w:r>
        <w:t xml:space="preserve"> </w:t>
      </w:r>
      <w:r>
        <w:t xml:space="preserve">— 34 speakers total, comprising 24 ear-level and 10 overhead</w:t>
      </w:r>
      <w:r>
        <w:t xml:space="preserve"> </w:t>
      </w:r>
      <w:fldSimple w:instr="NOTEREF _Ref_Footnote_8 \h \f">
        <w:r>
          <w:rPr>
            <w:vertAlign w:val="superscript"/>
          </w:rPr>
          <w:t>8</w:t>
        </w:r>
      </w:fldSimple>
      <w:r>
        <w:t xml:space="preserve">. This layout requires professional-grade processors (Trinnov, JBL Synthesis, Steinway Lyngdorf, Storm Audio)</w:t>
      </w:r>
      <w:r>
        <w:t xml:space="preserve"> </w:t>
      </w:r>
      <w:fldSimple w:instr="NOTEREF _Ref_Footnote_9 \h \f">
        <w:r>
          <w:rPr>
            <w:vertAlign w:val="superscript"/>
          </w:rPr>
          <w:t>9</w:t>
        </w:r>
      </w:fldSimple>
      <w:r>
        <w:t xml:space="preserve">. The 10 overhead speakers provide five pairs (front through rear), enabling vertical pans with minimal phantom imaging. At this density, most objects render to their nearest 2–3 speakers with small gain values on distant transducers, approaching point-source reproduction</w:t>
      </w:r>
      <w:r>
        <w:t xml:space="preserve"> </w:t>
      </w:r>
      <w:fldSimple w:instr="NOTEREF _Ref_Footnote_8 \h \f">
        <w:r>
          <w:rPr>
            <w:vertAlign w:val="superscript"/>
          </w:rPr>
          <w:t>8</w:t>
        </w:r>
      </w:fldSimple>
      <w:r>
        <w:t xml:space="preserve">.</w:t>
      </w:r>
    </w:p>
    <w:bookmarkEnd w:id="87"/>
    <w:bookmarkStart w:id="88" w:name="table-speaker-configuration-matrix"/>
    <w:p>
      <w:pPr>
        <w:pStyle w:val="Heading4"/>
      </w:pPr>
      <w:r>
        <w:t xml:space="preserve">5.4.3 Table: Speaker configuration matrix</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Configuration</w:t>
            </w:r>
          </w:p>
        </w:tc>
        <w:tc>
          <w:tcPr/>
          <w:p>
            <w:pPr>
              <w:pStyle w:val="Compact"/>
              <w:jc w:val="center"/>
            </w:pPr>
            <w:r>
              <w:t xml:space="preserve">Ear-Level</w:t>
            </w:r>
          </w:p>
        </w:tc>
        <w:tc>
          <w:tcPr/>
          <w:p>
            <w:pPr>
              <w:pStyle w:val="Compact"/>
              <w:jc w:val="center"/>
            </w:pPr>
            <w:r>
              <w:t xml:space="preserve">LFE</w:t>
            </w:r>
          </w:p>
        </w:tc>
        <w:tc>
          <w:tcPr/>
          <w:p>
            <w:pPr>
              <w:pStyle w:val="Compact"/>
              <w:jc w:val="center"/>
            </w:pPr>
            <w:r>
              <w:t xml:space="preserve">Height</w:t>
            </w:r>
          </w:p>
        </w:tc>
        <w:tc>
          <w:tcPr/>
          <w:p>
            <w:pPr>
              <w:pStyle w:val="Compact"/>
              <w:jc w:val="center"/>
            </w:pPr>
            <w:r>
              <w:t xml:space="preserve">Total</w:t>
            </w:r>
          </w:p>
        </w:tc>
        <w:tc>
          <w:tcPr/>
          <w:p>
            <w:pPr>
              <w:pStyle w:val="Compact"/>
              <w:jc w:val="left"/>
            </w:pPr>
            <w:r>
              <w:t xml:space="preserve">Object Rendering Behavior</w:t>
            </w:r>
          </w:p>
        </w:tc>
      </w:tr>
      <w:tr>
        <w:tc>
          <w:tcPr/>
          <w:p>
            <w:pPr>
              <w:pStyle w:val="Compact"/>
              <w:jc w:val="left"/>
            </w:pPr>
            <w:r>
              <w:t xml:space="preserve">2.0 (Stereo)</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left"/>
            </w:pPr>
            <w:r>
              <w:t xml:space="preserve">All objects downmixed via Lo/Ro or Lt/Rt matrix; phantom imaging only</w:t>
            </w:r>
          </w:p>
        </w:tc>
      </w:tr>
      <w:tr>
        <w:tc>
          <w:tcPr/>
          <w:p>
            <w:pPr>
              <w:pStyle w:val="Compact"/>
              <w:jc w:val="left"/>
            </w:pPr>
            <w:r>
              <w:t xml:space="preserve">5.1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6</w:t>
            </w:r>
          </w:p>
        </w:tc>
        <w:tc>
          <w:tcPr/>
          <w:p>
            <w:pPr>
              <w:pStyle w:val="Compact"/>
              <w:jc w:val="left"/>
            </w:pPr>
            <w:r>
              <w:t xml:space="preserve">Direct Render or Lo/Ro via 7.1 intermediate; height content folded to front L/R</w:t>
            </w:r>
          </w:p>
        </w:tc>
      </w:tr>
      <w:tr>
        <w:tc>
          <w:tcPr/>
          <w:p>
            <w:pPr>
              <w:pStyle w:val="Compact"/>
              <w:jc w:val="left"/>
            </w:pPr>
            <w:r>
              <w:t xml:space="preserve">7.1</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8</w:t>
            </w:r>
          </w:p>
        </w:tc>
        <w:tc>
          <w:tcPr/>
          <w:p>
            <w:pPr>
              <w:pStyle w:val="Compact"/>
              <w:jc w:val="left"/>
            </w:pPr>
            <w:r>
              <w:t xml:space="preserve">Bed channels map directly; objects use VBAP with ear-level speakers only</w:t>
            </w:r>
          </w:p>
        </w:tc>
      </w:tr>
      <w:tr>
        <w:tc>
          <w:tcPr/>
          <w:p>
            <w:pPr>
              <w:pStyle w:val="Compact"/>
              <w:jc w:val="left"/>
            </w:pPr>
            <w:r>
              <w:t xml:space="preserve">5.1.2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8</w:t>
            </w:r>
          </w:p>
        </w:tc>
        <w:tc>
          <w:tcPr/>
          <w:p>
            <w:pPr>
              <w:pStyle w:val="Compact"/>
              <w:jc w:val="left"/>
            </w:pPr>
            <w:r>
              <w:t xml:space="preserve">Two height speakers enable basic overhead rendering; vertical pans via phantom imaging</w:t>
            </w:r>
          </w:p>
        </w:tc>
      </w:tr>
      <w:tr>
        <w:tc>
          <w:tcPr/>
          <w:p>
            <w:pPr>
              <w:pStyle w:val="Compact"/>
              <w:jc w:val="left"/>
            </w:pPr>
            <w:r>
              <w:t xml:space="preserve">5.1.4</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10</w:t>
            </w:r>
          </w:p>
        </w:tc>
        <w:tc>
          <w:tcPr/>
          <w:p>
            <w:pPr>
              <w:pStyle w:val="Compact"/>
              <w:jc w:val="left"/>
            </w:pPr>
            <w:r>
              <w:t xml:space="preserve">Front/rear height pairs support precise vertical trajectories</w:t>
            </w:r>
          </w:p>
        </w:tc>
      </w:tr>
      <w:tr>
        <w:tc>
          <w:tcPr/>
          <w:p>
            <w:pPr>
              <w:pStyle w:val="Compact"/>
              <w:jc w:val="left"/>
            </w:pPr>
            <w:r>
              <w:t xml:space="preserve">7.1.2</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10</w:t>
            </w:r>
          </w:p>
        </w:tc>
        <w:tc>
          <w:tcPr/>
          <w:p>
            <w:pPr>
              <w:pStyle w:val="Compact"/>
              <w:jc w:val="left"/>
            </w:pPr>
            <w:r>
              <w:t xml:space="preserve">Full</w:t>
            </w:r>
            <w:r>
              <w:t xml:space="preserve"> </w:t>
            </w:r>
            <m:oMath>
              <m:r>
                <m:t>360</m:t>
              </m:r>
              <m:r>
                <m:rPr>
                  <m:sty m:val="p"/>
                </m:rPr>
                <m:t>°</m:t>
              </m:r>
            </m:oMath>
            <w:r>
              <w:t xml:space="preserve"> </w:t>
            </w:r>
            <w:r>
              <w:t xml:space="preserve">horizontal surround; limited vertical resolution</w:t>
            </w:r>
          </w:p>
        </w:tc>
      </w:tr>
      <w:tr>
        <w:tc>
          <w:tcPr/>
          <w:p>
            <w:pPr>
              <w:pStyle w:val="Compact"/>
              <w:jc w:val="left"/>
            </w:pPr>
            <w:r>
              <w:t xml:space="preserve">7.1.4</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12</w:t>
            </w:r>
          </w:p>
        </w:tc>
        <w:tc>
          <w:tcPr/>
          <w:p>
            <w:pPr>
              <w:pStyle w:val="Compact"/>
              <w:jc w:val="left"/>
            </w:pPr>
            <w:r>
              <w:rPr>
                <w:bCs/>
                <w:b/>
              </w:rPr>
              <w:t xml:space="preserve">Recommended reference</w:t>
            </w:r>
            <w:r>
              <w:t xml:space="preserve">: complete horizontal + precise vertical</w:t>
            </w:r>
            <w:r>
              <w:t xml:space="preserve"> </w:t>
            </w:r>
            <w:fldSimple w:instr="NOTEREF _Ref_Footnote_69 \h \f">
              <w:r>
                <w:rPr>
                  <w:vertAlign w:val="superscript"/>
                </w:rPr>
                <w:t>69</w:t>
              </w:r>
            </w:fldSimple>
          </w:p>
        </w:tc>
      </w:tr>
      <w:tr>
        <w:tc>
          <w:tcPr/>
          <w:p>
            <w:pPr>
              <w:pStyle w:val="Compact"/>
              <w:jc w:val="left"/>
            </w:pPr>
            <w:r>
              <w:t xml:space="preserve">9.1.2</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12</w:t>
            </w:r>
          </w:p>
        </w:tc>
        <w:tc>
          <w:tcPr/>
          <w:p>
            <w:pPr>
              <w:pStyle w:val="Compact"/>
              <w:jc w:val="left"/>
            </w:pPr>
            <w:r>
              <w:t xml:space="preserve">Wide speakers fill front-to-surround gap; smoother lateral pans</w:t>
            </w:r>
          </w:p>
        </w:tc>
      </w:tr>
      <w:tr>
        <w:tc>
          <w:tcPr/>
          <w:p>
            <w:pPr>
              <w:pStyle w:val="Compact"/>
              <w:jc w:val="left"/>
            </w:pPr>
            <w:r>
              <w:t xml:space="preserve">9.1.4</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14</w:t>
            </w:r>
          </w:p>
        </w:tc>
        <w:tc>
          <w:tcPr/>
          <w:p>
            <w:pPr>
              <w:pStyle w:val="Compact"/>
              <w:jc w:val="left"/>
            </w:pPr>
            <w:r>
              <w:t xml:space="preserve">Wide speakers + 4 height; high-end AVR ceiling configuration</w:t>
            </w:r>
          </w:p>
        </w:tc>
      </w:tr>
      <w:tr>
        <w:tc>
          <w:tcPr/>
          <w:p>
            <w:pPr>
              <w:pStyle w:val="Compact"/>
              <w:jc w:val="left"/>
            </w:pPr>
            <w:r>
              <w:t xml:space="preserve">9.1.6</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16</w:t>
            </w:r>
          </w:p>
        </w:tc>
        <w:tc>
          <w:tcPr/>
          <w:p>
            <w:pPr>
              <w:pStyle w:val="Compact"/>
              <w:jc w:val="left"/>
            </w:pPr>
            <w:r>
              <w:t xml:space="preserve">Three height pairs; near-cinema vertical precision</w:t>
            </w:r>
          </w:p>
        </w:tc>
      </w:tr>
      <w:tr>
        <w:tc>
          <w:tcPr/>
          <w:p>
            <w:pPr>
              <w:pStyle w:val="Compact"/>
              <w:jc w:val="left"/>
            </w:pPr>
            <w:r>
              <w:t xml:space="preserve">24.1.10</w:t>
            </w:r>
          </w:p>
        </w:tc>
        <w:tc>
          <w:tcPr/>
          <w:p>
            <w:pPr>
              <w:pStyle w:val="Compact"/>
              <w:jc w:val="center"/>
            </w:pPr>
            <w:r>
              <w:t xml:space="preserve">24</w:t>
            </w:r>
          </w:p>
        </w:tc>
        <w:tc>
          <w:tcPr/>
          <w:p>
            <w:pPr>
              <w:pStyle w:val="Compact"/>
              <w:jc w:val="center"/>
            </w:pPr>
            <w:r>
              <w:t xml:space="preserve">1</w:t>
            </w:r>
          </w:p>
        </w:tc>
        <w:tc>
          <w:tcPr/>
          <w:p>
            <w:pPr>
              <w:pStyle w:val="Compact"/>
              <w:jc w:val="center"/>
            </w:pPr>
            <w:r>
              <w:t xml:space="preserve">10</w:t>
            </w:r>
          </w:p>
        </w:tc>
        <w:tc>
          <w:tcPr/>
          <w:p>
            <w:pPr>
              <w:pStyle w:val="Compact"/>
              <w:jc w:val="center"/>
            </w:pPr>
            <w:r>
              <w:t xml:space="preserve">34</w:t>
            </w:r>
          </w:p>
        </w:tc>
        <w:tc>
          <w:tcPr/>
          <w:p>
            <w:pPr>
              <w:pStyle w:val="Compact"/>
              <w:jc w:val="left"/>
            </w:pPr>
            <w:r>
              <w:rPr>
                <w:bCs/>
                <w:b/>
              </w:rPr>
              <w:t xml:space="preserve">Consumer maximum</w:t>
            </w:r>
            <w:r>
              <w:t xml:space="preserve">: minimal phantom imaging; near-point-source reproduction</w:t>
            </w:r>
            <w:r>
              <w:t xml:space="preserve"> </w:t>
            </w:r>
            <w:fldSimple w:instr="NOTEREF _Ref_Footnote_8 \h \f">
              <w:r>
                <w:rPr>
                  <w:vertAlign w:val="superscript"/>
                </w:rPr>
                <w:t>8</w:t>
              </w:r>
            </w:fldSimple>
          </w:p>
        </w:tc>
      </w:tr>
    </w:tbl>
    <w:p>
      <w:pPr>
        <w:pStyle w:val="BodyText"/>
      </w:pPr>
      <w:r>
        <w:t xml:space="preserve">The progression from 2.0 to 24.1.10 follows a clear trajectory: each additional speaker reduces reliance on phantom imaging and increases spatial fidelity. At the 7.1.4 level, the renderer reaches what most engineers consider the</w:t>
      </w:r>
      <w:r>
        <w:t xml:space="preserve"> </w:t>
      </w:r>
      <w:r>
        <w:t xml:space="preserve">“</w:t>
      </w:r>
      <w:r>
        <w:t xml:space="preserve">transparent</w:t>
      </w:r>
      <w:r>
        <w:t xml:space="preserve">”</w:t>
      </w:r>
      <w:r>
        <w:t xml:space="preserve"> </w:t>
      </w:r>
      <w:r>
        <w:t xml:space="preserve">threshold — the speaker grid is dense enough that rendering artifacts of sparse arrays become inaudible for most content. Beyond 7.1.4, improvements are incremental: 9.1.4 adds smoother lateral pans, 9.1.6 improves front-to-back height trajectories, and 24.1.10 approaches theatrical resolution within a domestic space.</w:t>
      </w:r>
    </w:p>
    <w:bookmarkEnd w:id="88"/>
    <w:bookmarkEnd w:id="89"/>
    <w:bookmarkStart w:id="94" w:name="theatrical-rendering-up-to-64-channels"/>
    <w:p>
      <w:pPr>
        <w:pStyle w:val="Heading3"/>
      </w:pPr>
      <w:r>
        <w:t xml:space="preserve">5.5 Theatrical Rendering: Up to 64 Channels</w:t>
      </w:r>
    </w:p>
    <w:bookmarkStart w:id="90" w:name="the-cp950a-cinema-processor"/>
    <w:p>
      <w:pPr>
        <w:pStyle w:val="Heading4"/>
      </w:pPr>
      <w:r>
        <w:t xml:space="preserve">5.5.1 The CP950A cinema processor</w:t>
      </w:r>
    </w:p>
    <w:p>
      <w:pPr>
        <w:pStyle w:val="FirstParagraph"/>
      </w:pPr>
      <w:r>
        <w:t xml:space="preserve">Theatrical Atmos playback uses the</w:t>
      </w:r>
      <w:r>
        <w:t xml:space="preserve"> </w:t>
      </w:r>
      <w:r>
        <w:rPr>
          <w:bCs/>
          <w:b/>
        </w:rPr>
        <w:t xml:space="preserve">CP950A Cinema Processor</w:t>
      </w:r>
      <w:r>
        <w:t xml:space="preserve">, supporting up to 64 independent speaker feeds delivered as eight AES67 (Audio Engineering Society standard 67) streams of eight channels each over RJ45 Ethernet</w:t>
      </w:r>
      <w:r>
        <w:t xml:space="preserve"> </w:t>
      </w:r>
      <w:fldSimple w:instr="NOTEREF _Ref_Footnote_12 \h \f">
        <w:r>
          <w:rPr>
            <w:vertAlign w:val="superscript"/>
          </w:rPr>
          <w:t>12</w:t>
        </w:r>
      </w:fldSimple>
      <w:r>
        <w:t xml:space="preserve">. AES67 provides interoperability with a wide range of cinema amplification systems; BLU Link (Bose digital audio bus) is also supported. Cinema content carries up to 128 simultaneous lossless audio streams — a 9.1 bed plus 118 objects — all rendered in real-time to the auditorium’s speaker array</w:t>
      </w:r>
      <w:r>
        <w:t xml:space="preserve"> </w:t>
      </w:r>
      <w:fldSimple w:instr="NOTEREF _Ref_Footnote_47 \h \f">
        <w:r>
          <w:rPr>
            <w:vertAlign w:val="superscript"/>
          </w:rPr>
          <w:t>47</w:t>
        </w:r>
      </w:fldSimple>
      <w:r>
        <w:t xml:space="preserve">.</w:t>
      </w:r>
    </w:p>
    <w:bookmarkEnd w:id="90"/>
    <w:bookmarkStart w:id="91" w:name="array-based-bed-rendering"/>
    <w:p>
      <w:pPr>
        <w:pStyle w:val="Heading4"/>
      </w:pPr>
      <w:r>
        <w:t xml:space="preserve">5.5.2 Array-based bed rendering</w:t>
      </w:r>
    </w:p>
    <w:p>
      <w:pPr>
        <w:pStyle w:val="FirstParagraph"/>
      </w:pPr>
      <w:r>
        <w:t xml:space="preserve">In theatrical rendering, bed channels and objects follow distinct paths. Bed channels route to</w:t>
      </w:r>
      <w:r>
        <w:t xml:space="preserve"> </w:t>
      </w:r>
      <w:r>
        <w:rPr>
          <w:bCs/>
          <w:b/>
        </w:rPr>
        <w:t xml:space="preserve">speaker arrays</w:t>
      </w:r>
      <w:r>
        <w:t xml:space="preserve"> </w:t>
      </w:r>
      <w:r>
        <w:t xml:space="preserve">— groups of adjacent loudspeakers reproducing the same signal. The left side surround bed channel, for instance, distributes to all left side surround speakers in the auditorium (4–8 speakers per side depending on room size). This ensures consistent coverage across large audiences. Array processing requires per-speaker delay and equalization management for coherent wavefront summation. The CP950A’s AutoEQ measures each speaker and array response, generating compensation filters matched to a flat target (mix stages) or the standard cinema X-curve (exhibition)</w:t>
      </w:r>
      <w:r>
        <w:t xml:space="preserve"> </w:t>
      </w:r>
      <w:fldSimple w:instr="NOTEREF _Ref_Footnote_12 \h \f">
        <w:r>
          <w:rPr>
            <w:vertAlign w:val="superscript"/>
          </w:rPr>
          <w:t>12</w:t>
        </w:r>
      </w:fldSimple>
      <w:r>
        <w:t xml:space="preserve">.</w:t>
      </w:r>
    </w:p>
    <w:bookmarkEnd w:id="91"/>
    <w:bookmarkStart w:id="92" w:name="per-speaker-object-rendering"/>
    <w:p>
      <w:pPr>
        <w:pStyle w:val="Heading4"/>
      </w:pPr>
      <w:r>
        <w:t xml:space="preserve">5.5.3 Per-speaker object rendering</w:t>
      </w:r>
    </w:p>
    <w:p>
      <w:pPr>
        <w:pStyle w:val="FirstParagraph"/>
      </w:pPr>
      <w:r>
        <w:t xml:space="preserve">Objects in theatrical playback render with per-speaker granularity. Each object maps to the single loudspeaker (or small adjacent group) closest to its designated</w:t>
      </w:r>
      <w:r>
        <w:t xml:space="preserve"> </w:t>
      </w:r>
      <m:oMath>
        <m:d>
          <m:dPr>
            <m:begChr m:val="("/>
            <m:endChr m:val=")"/>
            <m:sepChr m:val=""/>
            <m:grow/>
          </m:dPr>
          <m:e>
            <m:r>
              <m:t>x</m:t>
            </m:r>
            <m:r>
              <m:rPr>
                <m:sty m:val="p"/>
              </m:rPr>
              <m:t>,</m:t>
            </m:r>
            <m:r>
              <m:t>y</m:t>
            </m:r>
            <m:r>
              <m:rPr>
                <m:sty m:val="p"/>
              </m:rPr>
              <m:t>,</m:t>
            </m:r>
            <m:r>
              <m:t>z</m:t>
            </m:r>
          </m:e>
        </m:d>
      </m:oMath>
      <w:r>
        <w:t xml:space="preserve"> </w:t>
      </w:r>
      <w:r>
        <w:t xml:space="preserve">position, receiving a unique feed that no other speaker reproduces. When an object requires more SPL than one speaker can deliver, the renderer spreads the signal across adjacent speakers to achieve the required acoustic output</w:t>
      </w:r>
      <w:r>
        <w:t xml:space="preserve"> </w:t>
      </w:r>
      <w:fldSimple w:instr="NOTEREF _Ref_Footnote_53 \h \f">
        <w:r>
          <w:rPr>
            <w:vertAlign w:val="superscript"/>
          </w:rPr>
          <w:t>53</w:t>
        </w:r>
      </w:fldSimple>
      <w:r>
        <w:t xml:space="preserve">. Additional side surround speakers near the screen are reserved exclusively for object rendering and are not used for array-based bed content, ensuring smooth screen-to-surround object transitions without compromising the sidewall array experience</w:t>
      </w:r>
      <w:r>
        <w:t xml:space="preserve"> </w:t>
      </w:r>
      <w:fldSimple w:instr="NOTEREF _Ref_Footnote_53 \h \f">
        <w:r>
          <w:rPr>
            <w:vertAlign w:val="superscript"/>
          </w:rPr>
          <w:t>53</w:t>
        </w:r>
      </w:fldSimple>
      <w:r>
        <w:t xml:space="preserve">.</w:t>
      </w:r>
    </w:p>
    <w:bookmarkEnd w:id="92"/>
    <w:bookmarkStart w:id="93" w:name="Xbb92c1e5289830390252a3ac06697c7f5c24f28"/>
    <w:p>
      <w:pPr>
        <w:pStyle w:val="Heading4"/>
      </w:pPr>
      <w:r>
        <w:t xml:space="preserve">5.5.4 Table: comparison of home vs theatrical rendering architectures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Home Theater</w:t>
            </w:r>
          </w:p>
        </w:tc>
        <w:tc>
          <w:tcPr/>
          <w:p>
            <w:pPr>
              <w:pStyle w:val="Compact"/>
              <w:jc w:val="left"/>
            </w:pPr>
            <w:r>
              <w:t xml:space="preserve">Theatrical Cinema</w:t>
            </w:r>
          </w:p>
        </w:tc>
      </w:tr>
      <w:tr>
        <w:tc>
          <w:tcPr/>
          <w:p>
            <w:pPr>
              <w:pStyle w:val="Compact"/>
              <w:jc w:val="left"/>
            </w:pPr>
            <w:r>
              <w:t xml:space="preserve">Maximum speaker feeds</w:t>
            </w:r>
          </w:p>
        </w:tc>
        <w:tc>
          <w:tcPr/>
          <w:p>
            <w:pPr>
              <w:pStyle w:val="Compact"/>
              <w:jc w:val="left"/>
            </w:pPr>
            <w:r>
              <w:t xml:space="preserve">34 (24.1.10)</w:t>
            </w:r>
            <w:r>
              <w:t xml:space="preserve"> </w:t>
            </w:r>
            <w:fldSimple w:instr="NOTEREF _Ref_Footnote_8 \h \f">
              <w:r>
                <w:rPr>
                  <w:vertAlign w:val="superscript"/>
                </w:rPr>
                <w:t>8</w:t>
              </w:r>
            </w:fldSimple>
          </w:p>
        </w:tc>
        <w:tc>
          <w:tcPr/>
          <w:p>
            <w:pPr>
              <w:pStyle w:val="Compact"/>
              <w:jc w:val="left"/>
            </w:pPr>
            <w:r>
              <w:t xml:space="preserve">64 (CP950A)</w:t>
            </w:r>
            <w:r>
              <w:t xml:space="preserve"> </w:t>
            </w:r>
            <w:fldSimple w:instr="NOTEREF _Ref_Footnote_47 \h \f">
              <w:r>
                <w:rPr>
                  <w:vertAlign w:val="superscript"/>
                </w:rPr>
                <w:t>47</w:t>
              </w:r>
            </w:fldSimple>
          </w:p>
        </w:tc>
      </w:tr>
      <w:tr>
        <w:tc>
          <w:tcPr/>
          <w:p>
            <w:pPr>
              <w:pStyle w:val="Compact"/>
              <w:jc w:val="left"/>
            </w:pPr>
            <w:r>
              <w:t xml:space="preserve">Renderer</w:t>
            </w:r>
          </w:p>
        </w:tc>
        <w:tc>
          <w:tcPr/>
          <w:p>
            <w:pPr>
              <w:pStyle w:val="Compact"/>
              <w:jc w:val="left"/>
            </w:pPr>
            <w:r>
              <w:t xml:space="preserve">Object Audio Renderer (OAR) in AVR</w:t>
            </w:r>
            <w:r>
              <w:t xml:space="preserve"> </w:t>
            </w:r>
            <w:fldSimple w:instr="NOTEREF _Ref_Footnote_52 \h \f">
              <w:r>
                <w:rPr>
                  <w:vertAlign w:val="superscript"/>
                </w:rPr>
                <w:t>52</w:t>
              </w:r>
            </w:fldSimple>
          </w:p>
        </w:tc>
        <w:tc>
          <w:tcPr/>
          <w:p>
            <w:pPr>
              <w:pStyle w:val="Compact"/>
              <w:jc w:val="left"/>
            </w:pPr>
            <w:r>
              <w:t xml:space="preserve">CP950A Cinema Processor</w:t>
            </w:r>
            <w:r>
              <w:t xml:space="preserve"> </w:t>
            </w:r>
            <w:fldSimple w:instr="NOTEREF _Ref_Footnote_12 \h \f">
              <w:r>
                <w:rPr>
                  <w:vertAlign w:val="superscript"/>
                </w:rPr>
                <w:t>12</w:t>
              </w:r>
            </w:fldSimple>
          </w:p>
        </w:tc>
      </w:tr>
      <w:tr>
        <w:tc>
          <w:tcPr/>
          <w:p>
            <w:pPr>
              <w:pStyle w:val="Compact"/>
              <w:jc w:val="left"/>
            </w:pPr>
            <w:r>
              <w:t xml:space="preserve">Bed format</w:t>
            </w:r>
          </w:p>
        </w:tc>
        <w:tc>
          <w:tcPr/>
          <w:p>
            <w:pPr>
              <w:pStyle w:val="Compact"/>
              <w:jc w:val="left"/>
            </w:pPr>
            <w:r>
              <w:t xml:space="preserve">7.1.2 (10 channels)</w:t>
            </w:r>
          </w:p>
        </w:tc>
        <w:tc>
          <w:tcPr/>
          <w:p>
            <w:pPr>
              <w:pStyle w:val="Compact"/>
              <w:jc w:val="left"/>
            </w:pPr>
            <w:r>
              <w:t xml:space="preserve">9.1 (10 channels, includes wides)</w:t>
            </w:r>
            <w:r>
              <w:t xml:space="preserve"> </w:t>
            </w:r>
            <w:fldSimple w:instr="NOTEREF _Ref_Footnote_47 \h \f">
              <w:r>
                <w:rPr>
                  <w:vertAlign w:val="superscript"/>
                </w:rPr>
                <w:t>47</w:t>
              </w:r>
            </w:fldSimple>
          </w:p>
        </w:tc>
      </w:tr>
      <w:tr>
        <w:tc>
          <w:tcPr/>
          <w:p>
            <w:pPr>
              <w:pStyle w:val="Compact"/>
              <w:jc w:val="left"/>
            </w:pPr>
            <w:r>
              <w:t xml:space="preserve">Maximum objects</w:t>
            </w:r>
          </w:p>
        </w:tc>
        <w:tc>
          <w:tcPr/>
          <w:p>
            <w:pPr>
              <w:pStyle w:val="Compact"/>
              <w:jc w:val="left"/>
            </w:pPr>
            <w:r>
              <w:t xml:space="preserve">118</w:t>
            </w:r>
          </w:p>
        </w:tc>
        <w:tc>
          <w:tcPr/>
          <w:p>
            <w:pPr>
              <w:pStyle w:val="Compact"/>
              <w:jc w:val="left"/>
            </w:pPr>
            <w:r>
              <w:t xml:space="preserve">118</w:t>
            </w:r>
            <w:r>
              <w:t xml:space="preserve"> </w:t>
            </w:r>
            <w:fldSimple w:instr="NOTEREF _Ref_Footnote_47 \h \f">
              <w:r>
                <w:rPr>
                  <w:vertAlign w:val="superscript"/>
                </w:rPr>
                <w:t>47</w:t>
              </w:r>
            </w:fldSimple>
          </w:p>
        </w:tc>
      </w:tr>
      <w:tr>
        <w:tc>
          <w:tcPr/>
          <w:p>
            <w:pPr>
              <w:pStyle w:val="Compact"/>
              <w:jc w:val="left"/>
            </w:pPr>
            <w:r>
              <w:t xml:space="preserve">Delivery codec</w:t>
            </w:r>
          </w:p>
        </w:tc>
        <w:tc>
          <w:tcPr/>
          <w:p>
            <w:pPr>
              <w:pStyle w:val="Compact"/>
              <w:jc w:val="left"/>
            </w:pPr>
            <w:r>
              <w:t xml:space="preserve">DD+ JOC (spatial coding to 12–16 elements)</w:t>
            </w:r>
            <w:r>
              <w:t xml:space="preserve"> </w:t>
            </w:r>
            <w:r>
              <w:rPr>
                <w:vertAlign w:val="superscript"/>
              </w:rPr>
              <w:footnoteReference w:id="75"/>
            </w:r>
          </w:p>
        </w:tc>
        <w:tc>
          <w:tcPr/>
          <w:p>
            <w:pPr>
              <w:pStyle w:val="Compact"/>
              <w:jc w:val="left"/>
            </w:pPr>
            <w:r>
              <w:t xml:space="preserve">IAB (SMPTE ST 2098-2), lossless PCM</w:t>
            </w:r>
          </w:p>
        </w:tc>
      </w:tr>
      <w:tr>
        <w:tc>
          <w:tcPr/>
          <w:p>
            <w:pPr>
              <w:pStyle w:val="Compact"/>
              <w:jc w:val="left"/>
            </w:pPr>
            <w:r>
              <w:t xml:space="preserve">Spatial coding</w:t>
            </w:r>
          </w:p>
        </w:tc>
        <w:tc>
          <w:tcPr/>
          <w:p>
            <w:pPr>
              <w:pStyle w:val="Compact"/>
              <w:jc w:val="left"/>
            </w:pPr>
            <w:r>
              <w:t xml:space="preserve">12–16 elements</w:t>
            </w:r>
          </w:p>
        </w:tc>
        <w:tc>
          <w:tcPr/>
          <w:p>
            <w:pPr>
              <w:pStyle w:val="Compact"/>
              <w:jc w:val="left"/>
            </w:pPr>
            <w:r>
              <w:t xml:space="preserve">None (full-resolution)</w:t>
            </w:r>
            <w:r>
              <w:t xml:space="preserve"> </w:t>
            </w:r>
            <w:fldSimple w:instr="NOTEREF _Ref_Footnote_53 \h \f">
              <w:r>
                <w:rPr>
                  <w:vertAlign w:val="superscript"/>
                </w:rPr>
                <w:t>53</w:t>
              </w:r>
            </w:fldSimple>
          </w:p>
        </w:tc>
      </w:tr>
      <w:tr>
        <w:tc>
          <w:tcPr/>
          <w:p>
            <w:pPr>
              <w:pStyle w:val="Compact"/>
              <w:jc w:val="left"/>
            </w:pPr>
            <w:r>
              <w:t xml:space="preserve">Object rendering</w:t>
            </w:r>
          </w:p>
        </w:tc>
        <w:tc>
          <w:tcPr/>
          <w:p>
            <w:pPr>
              <w:pStyle w:val="Compact"/>
              <w:jc w:val="left"/>
            </w:pPr>
            <w:r>
              <w:t xml:space="preserve">To nearest available speakers (VBAP, 2–3 speakers)</w:t>
            </w:r>
          </w:p>
        </w:tc>
        <w:tc>
          <w:tcPr/>
          <w:p>
            <w:pPr>
              <w:pStyle w:val="Compact"/>
              <w:jc w:val="left"/>
            </w:pPr>
            <w:r>
              <w:t xml:space="preserve">Per-speaker unique feed</w:t>
            </w:r>
          </w:p>
        </w:tc>
      </w:tr>
      <w:tr>
        <w:tc>
          <w:tcPr/>
          <w:p>
            <w:pPr>
              <w:pStyle w:val="Compact"/>
              <w:jc w:val="left"/>
            </w:pPr>
            <w:r>
              <w:t xml:space="preserve">Bed rendering</w:t>
            </w:r>
          </w:p>
        </w:tc>
        <w:tc>
          <w:tcPr/>
          <w:p>
            <w:pPr>
              <w:pStyle w:val="Compact"/>
              <w:jc w:val="left"/>
            </w:pPr>
            <w:r>
              <w:t xml:space="preserve">To individual speakers</w:t>
            </w:r>
          </w:p>
        </w:tc>
        <w:tc>
          <w:tcPr/>
          <w:p>
            <w:pPr>
              <w:pStyle w:val="Compact"/>
              <w:jc w:val="left"/>
            </w:pPr>
            <w:r>
              <w:t xml:space="preserve">To speaker arrays</w:t>
            </w:r>
            <w:r>
              <w:t xml:space="preserve"> </w:t>
            </w:r>
            <w:fldSimple w:instr="NOTEREF _Ref_Footnote_53 \h \f">
              <w:r>
                <w:rPr>
                  <w:vertAlign w:val="superscript"/>
                </w:rPr>
                <w:t>53</w:t>
              </w:r>
            </w:fldSimple>
          </w:p>
        </w:tc>
      </w:tr>
      <w:tr>
        <w:tc>
          <w:tcPr/>
          <w:p>
            <w:pPr>
              <w:pStyle w:val="Compact"/>
              <w:jc w:val="left"/>
            </w:pPr>
            <w:r>
              <w:t xml:space="preserve">Speaker discovery</w:t>
            </w:r>
          </w:p>
        </w:tc>
        <w:tc>
          <w:tcPr/>
          <w:p>
            <w:pPr>
              <w:pStyle w:val="Compact"/>
              <w:jc w:val="left"/>
            </w:pPr>
            <w:r>
              <w:t xml:space="preserve">Manual AVR setup</w:t>
            </w:r>
            <w:r>
              <w:t xml:space="preserve"> </w:t>
            </w:r>
            <w:fldSimple w:instr="NOTEREF _Ref_Footnote_52 \h \f">
              <w:r>
                <w:rPr>
                  <w:vertAlign w:val="superscript"/>
                </w:rPr>
                <w:t>52</w:t>
              </w:r>
            </w:fldSimple>
          </w:p>
        </w:tc>
        <w:tc>
          <w:tcPr/>
          <w:p>
            <w:pPr>
              <w:pStyle w:val="Compact"/>
              <w:jc w:val="left"/>
            </w:pPr>
            <w:r>
              <w:t xml:space="preserve">Dolby Atmos Designer + AutoEQ</w:t>
            </w:r>
            <w:r>
              <w:t xml:space="preserve"> </w:t>
            </w:r>
            <w:fldSimple w:instr="NOTEREF _Ref_Footnote_12 \h \f">
              <w:r>
                <w:rPr>
                  <w:vertAlign w:val="superscript"/>
                </w:rPr>
                <w:t>12</w:t>
              </w:r>
            </w:fldSimple>
          </w:p>
        </w:tc>
      </w:tr>
      <w:tr>
        <w:tc>
          <w:tcPr/>
          <w:p>
            <w:pPr>
              <w:pStyle w:val="Compact"/>
              <w:jc w:val="left"/>
            </w:pPr>
            <w:r>
              <w:t xml:space="preserve">Distribution</w:t>
            </w:r>
          </w:p>
        </w:tc>
        <w:tc>
          <w:tcPr/>
          <w:p>
            <w:pPr>
              <w:pStyle w:val="Compact"/>
              <w:jc w:val="left"/>
            </w:pPr>
            <w:r>
              <w:t xml:space="preserve">Streaming (DD+ $</w:t>
            </w:r>
            <m:oMath>
              <m:r>
                <m:t>768</m:t>
              </m:r>
              <m:r>
                <m:t>k</m:t>
              </m:r>
              <m:r>
                <m:t>b</m:t>
              </m:r>
              <m:r>
                <m:t>p</m:t>
              </m:r>
              <m:r>
                <m:t>s</m:t>
              </m:r>
              <m:r>
                <m:rPr>
                  <m:sty m:val="p"/>
                </m:rPr>
                <m:t>)</m:t>
              </m:r>
              <m:r>
                <m:rPr>
                  <m:sty m:val="p"/>
                </m:rPr>
                <m:t>|</m:t>
              </m:r>
              <m:r>
                <m:t>D</m:t>
              </m:r>
              <m:r>
                <m:t>C</m:t>
              </m:r>
              <m:r>
                <m:t>P</m:t>
              </m:r>
              <m:r>
                <m:rPr>
                  <m:sty m:val="p"/>
                </m:rPr>
                <m:t>(</m:t>
              </m:r>
            </m:oMath>
            <w:r>
              <w:t xml:space="preserve">$1–3 Gbps)</w:t>
            </w:r>
            <w:r>
              <w:t xml:space="preserve"> </w:t>
            </w:r>
            <w:fldSimple w:instr="NOTEREF _Ref_Footnote_47 \h \f">
              <w:r>
                <w:rPr>
                  <w:vertAlign w:val="superscript"/>
                </w:rPr>
                <w:t>47</w:t>
              </w:r>
            </w:fldSimple>
          </w:p>
        </w:tc>
        <w:tc>
          <w:tcPr/>
          <w:p>
            <w:pPr>
              <w:pStyle w:val="Compact"/>
            </w:pPr>
          </w:p>
        </w:tc>
      </w:tr>
      <w:tr>
        <w:tc>
          <w:tcPr/>
          <w:p>
            <w:pPr>
              <w:pStyle w:val="Compact"/>
              <w:jc w:val="left"/>
            </w:pPr>
            <w:r>
              <w:t xml:space="preserve">Single inventory</w:t>
            </w:r>
          </w:p>
        </w:tc>
        <w:tc>
          <w:tcPr/>
          <w:p>
            <w:pPr>
              <w:pStyle w:val="Compact"/>
              <w:jc w:val="left"/>
            </w:pPr>
            <w:r>
              <w:t xml:space="preserve">One file per title</w:t>
            </w:r>
          </w:p>
        </w:tc>
        <w:tc>
          <w:tcPr/>
          <w:p>
            <w:pPr>
              <w:pStyle w:val="Compact"/>
              <w:jc w:val="left"/>
            </w:pPr>
            <w:r>
              <w:t xml:space="preserve">One DCP, any theater from 5.1 to 64 ch</w:t>
            </w:r>
            <w:r>
              <w:t xml:space="preserve"> </w:t>
            </w:r>
            <w:fldSimple w:instr="NOTEREF _Ref_Footnote_47 \h \f">
              <w:r>
                <w:rPr>
                  <w:vertAlign w:val="superscript"/>
                </w:rPr>
                <w:t>47</w:t>
              </w:r>
            </w:fldSimple>
          </w:p>
        </w:tc>
      </w:tr>
    </w:tbl>
    <w:p>
      <w:pPr>
        <w:pStyle w:val="BodyText"/>
      </w:pPr>
      <w:r>
        <w:t xml:space="preserve">The comparison reveals two approaches to the same source material. The home pipeline prioritizes bandwidth efficiency: spatial coding reduces 128 channels to 12–16 perceptual elements, enabling streaming delivery at $</w:t>
      </w:r>
      <w:r>
        <w:t xml:space="preserve">$768 kbps</w:t>
      </w:r>
      <w:r>
        <w:t xml:space="preserve"> </w:t>
      </w:r>
      <w:fldSimple w:instr="NOTEREF _Ref_Footnote_75 \h \f">
        <w:r>
          <w:rPr>
            <w:vertAlign w:val="superscript"/>
          </w:rPr>
          <w:t>75</w:t>
        </w:r>
      </w:fldSimple>
      <w:r>
        <w:t xml:space="preserve">. The OAR reconstructs and renders these elements to the user’s specific configuration. This spatial compression is lossy — clustering merges objects at similar positions — but the perceptual model assumes nearby objects activate the same speakers anyway, minimizing audible degradation. The theatrical pipeline preserves full spatial resolution with no spatial coding; the IAB carries all 128 channels at full resolution. The trade-off is bandwidth: theatrical DCP operates at</w:t>
      </w:r>
      <w:r>
        <w:t xml:space="preserve"> </w:t>
      </w:r>
      <m:oMath>
        <m:r>
          <m:t>1</m:t>
        </m:r>
      </m:oMath>
      <w:r>
        <w:t xml:space="preserve">–</w:t>
      </w:r>
      <m:oMath>
        <m:r>
          <m:t>3</m:t>
        </m:r>
        <m:r>
          <m:t> </m:t>
        </m:r>
        <m:r>
          <m:rPr>
            <m:nor/>
            <m:sty m:val="p"/>
          </m:rPr>
          <m:t>Gbps</m:t>
        </m:r>
      </m:oMath>
      <w:r>
        <w:t xml:space="preserve"> </w:t>
      </w:r>
      <w:r>
        <w:t xml:space="preserve">versus under</w:t>
      </w:r>
      <w:r>
        <w:t xml:space="preserve"> </w:t>
      </w:r>
      <m:oMath>
        <m:r>
          <m:t>1</m:t>
        </m:r>
        <m:r>
          <m:t> </m:t>
        </m:r>
        <m:r>
          <m:rPr>
            <m:nor/>
            <m:sty m:val="p"/>
          </m:rPr>
          <m:t>Mbps</m:t>
        </m:r>
      </m:oMath>
      <w:r>
        <w:t xml:space="preserve"> </w:t>
      </w:r>
      <w:r>
        <w:t xml:space="preserve">for the home stream.</w:t>
      </w:r>
    </w:p>
    <w:p>
      <w:pPr>
        <w:pStyle w:val="BodyText"/>
      </w:pPr>
      <w:r>
        <w:t xml:space="preserve">In both domains, the single-inventory model holds. The same master adapts to a 5.1 cinema and a 64-speaker Atmos auditorium, just as the home stream adapts from a stereo soundbar to a 24.1.10 system</w:t>
      </w:r>
      <w:r>
        <w:t xml:space="preserve"> </w:t>
      </w:r>
      <w:fldSimple w:instr="NOTEREF _Ref_Footnote_47 \h \f">
        <w:r>
          <w:rPr>
            <w:vertAlign w:val="superscript"/>
          </w:rPr>
          <w:t>47</w:t>
        </w:r>
      </w:fldSimple>
      <w:r>
        <w:t xml:space="preserve">. The renderer’s adaptability is made possible by the object-based architecture: because positions are stored as</w:t>
      </w:r>
      <w:r>
        <w:t xml:space="preserve"> </w:t>
      </w:r>
      <m:oMath>
        <m:d>
          <m:dPr>
            <m:begChr m:val="("/>
            <m:endChr m:val=")"/>
            <m:sepChr m:val=""/>
            <m:grow/>
          </m:dPr>
          <m:e>
            <m:r>
              <m:t>x</m:t>
            </m:r>
            <m:r>
              <m:rPr>
                <m:sty m:val="p"/>
              </m:rPr>
              <m:t>,</m:t>
            </m:r>
            <m:r>
              <m:t>y</m:t>
            </m:r>
            <m:r>
              <m:rPr>
                <m:sty m:val="p"/>
              </m:rPr>
              <m:t>,</m:t>
            </m:r>
            <m:r>
              <m:t>z</m:t>
            </m:r>
          </m:e>
        </m:d>
      </m:oMath>
      <w:r>
        <w:t xml:space="preserve"> </w:t>
      </w:r>
      <w:r>
        <w:t xml:space="preserve">metadata rather than pre-rendered channel assignments, the engine recalculates optimal speaker gains for every unique layout. More speakers yield more precise reproduction of the mixer’s spatial intent — but the intent itself, encoded in those normalized coordinates, never changes</w:t>
      </w:r>
      <w:r>
        <w:t xml:space="preserve"> </w:t>
      </w:r>
      <w:fldSimple w:instr="NOTEREF _Ref_Footnote_52 \h \f">
        <w:r>
          <w:rPr>
            <w:vertAlign w:val="superscript"/>
          </w:rPr>
          <w:t>52</w:t>
        </w:r>
      </w:fldSimple>
      <w:r>
        <w:t xml:space="preserve">.</w:t>
      </w:r>
    </w:p>
    <w:p>
      <w:r>
        <w:pict>
          <v:rect style="width:0;height:1.5pt" o:hralign="center" o:hrstd="t" o:hr="t"/>
        </w:pict>
      </w:r>
    </w:p>
    <w:bookmarkEnd w:id="93"/>
    <w:bookmarkEnd w:id="94"/>
    <w:bookmarkEnd w:id="95"/>
    <w:bookmarkStart w:id="111" w:name="Xa3d1ac1c947622b6cc38117283415961e5077cc"/>
    <w:p>
      <w:pPr>
        <w:pStyle w:val="Heading2"/>
      </w:pPr>
      <w:r>
        <w:t xml:space="preserve">6. Binaural Rendering and Headphone Playback</w:t>
      </w:r>
    </w:p>
    <w:p>
      <w:pPr>
        <w:pStyle w:val="FirstParagraph"/>
      </w:pPr>
      <w:r>
        <w:t xml:space="preserve">The preceding chapter examined how Atmos renderers map object-based content to physical loudspeaker arrays. This chapter addresses the alternative reproduction path: headphone delivery, where the renderer must synthesize the acoustic cues of a full speaker array within a two-channel stereo signal. The techniques differ markedly across delivery platforms, creating one of the most consequential compatibility divides in the spatial audio ecosystem.</w:t>
      </w:r>
    </w:p>
    <w:bookmarkStart w:id="99" w:name="binaural-synthesis-architecture"/>
    <w:p>
      <w:pPr>
        <w:pStyle w:val="Heading3"/>
      </w:pPr>
      <w:r>
        <w:t xml:space="preserve">6.1 Binaural Synthesis Architecture</w:t>
      </w:r>
    </w:p>
    <w:bookmarkStart w:id="96" w:name="Xae6602cba64453f8c113ceaf44fd620a8e6bab7"/>
    <w:p>
      <w:pPr>
        <w:pStyle w:val="Heading4"/>
      </w:pPr>
      <w:r>
        <w:t xml:space="preserve">6.1.1 HRTF Convolution: Filtering Each Object for Left and Right Ears</w:t>
      </w:r>
    </w:p>
    <w:p>
      <w:pPr>
        <w:pStyle w:val="FirstParagraph"/>
      </w:pPr>
      <w:r>
        <w:t xml:space="preserve">Binaural reproduction through headphones relies on Head-Related Transfer Functions (HRTFs) to encode the acoustic filtering imposed by the listener’s head, torso, and pinnae. Each HRTF represents the frequency-domain transfer function from a free-field point source to the eardrum; its time-domain counterpart, the Head-Related Impulse Response (HRIR), is typically 256–1024 samples at 48 kHz</w:t>
      </w:r>
      <w:r>
        <w:t xml:space="preserve"> </w:t>
      </w:r>
      <w:fldSimple w:instr="NOTEREF _Ref_Footnote_75 \h \f">
        <w:r>
          <w:rPr>
            <w:vertAlign w:val="superscript"/>
          </w:rPr>
          <w:t>75</w:t>
        </w:r>
      </w:fldSimple>
      <w:r>
        <w:t xml:space="preserve">. For a source at coordinates</w:t>
      </w:r>
      <w:r>
        <w:t xml:space="preserve"> </w:t>
      </w:r>
      <m:oMath>
        <m:d>
          <m:dPr>
            <m:begChr m:val="("/>
            <m:endChr m:val=")"/>
            <m:sepChr m:val=""/>
            <m:grow/>
          </m:dPr>
          <m:e>
            <m:r>
              <m:t>θ</m:t>
            </m:r>
            <m:r>
              <m:rPr>
                <m:sty m:val="p"/>
              </m:rPr>
              <m:t>,</m:t>
            </m:r>
            <m:r>
              <m:t>ϕ</m:t>
            </m:r>
          </m:e>
        </m:d>
      </m:oMath>
      <w:r>
        <w:t xml:space="preserve">, a pair of HRTFs</w:t>
      </w:r>
      <w:r>
        <w:t xml:space="preserve"> </w:t>
      </w:r>
      <m:oMath>
        <m:sSub>
          <m:e>
            <m:r>
              <m:t>H</m:t>
            </m:r>
          </m:e>
          <m:sub>
            <m:r>
              <m:t>L</m:t>
            </m:r>
          </m:sub>
        </m:sSub>
        <m:d>
          <m:dPr>
            <m:begChr m:val="("/>
            <m:endChr m:val=")"/>
            <m:sepChr m:val=""/>
            <m:grow/>
          </m:dPr>
          <m:e>
            <m:r>
              <m:t>f</m:t>
            </m:r>
            <m:r>
              <m:rPr>
                <m:sty m:val="p"/>
              </m:rPr>
              <m:t>,</m:t>
            </m:r>
            <m:r>
              <m:t>θ</m:t>
            </m:r>
            <m:r>
              <m:rPr>
                <m:sty m:val="p"/>
              </m:rPr>
              <m:t>,</m:t>
            </m:r>
            <m:r>
              <m:t>ϕ</m:t>
            </m:r>
          </m:e>
        </m:d>
      </m:oMath>
      <w:r>
        <w:t xml:space="preserve"> </w:t>
      </w:r>
      <w:r>
        <w:t xml:space="preserve">and</w:t>
      </w:r>
      <w:r>
        <w:t xml:space="preserve"> </w:t>
      </w:r>
      <m:oMath>
        <m:sSub>
          <m:e>
            <m:r>
              <m:t>H</m:t>
            </m:r>
          </m:e>
          <m:sub>
            <m:r>
              <m:t>R</m:t>
            </m:r>
          </m:sub>
        </m:sSub>
        <m:d>
          <m:dPr>
            <m:begChr m:val="("/>
            <m:endChr m:val=")"/>
            <m:sepChr m:val=""/>
            <m:grow/>
          </m:dPr>
          <m:e>
            <m:r>
              <m:t>f</m:t>
            </m:r>
            <m:r>
              <m:rPr>
                <m:sty m:val="p"/>
              </m:rPr>
              <m:t>,</m:t>
            </m:r>
            <m:r>
              <m:t>θ</m:t>
            </m:r>
            <m:r>
              <m:rPr>
                <m:sty m:val="p"/>
              </m:rPr>
              <m:t>,</m:t>
            </m:r>
            <m:r>
              <m:t>ϕ</m:t>
            </m:r>
          </m:e>
        </m:d>
      </m:oMath>
      <w:r>
        <w:t xml:space="preserve"> </w:t>
      </w:r>
      <w:r>
        <w:t xml:space="preserve">defines left- and right-ear filtering</w:t>
      </w:r>
      <w:r>
        <w:t xml:space="preserve"> </w:t>
      </w:r>
      <w:r>
        <w:rPr>
          <w:vertAlign w:val="superscript"/>
        </w:rPr>
        <w:footnoteReference w:id="76"/>
      </w:r>
      <w:r>
        <w:t xml:space="preserve">. The HRTF encodes three spatial cue classes: Interaural Time Differences (ITDs) below ~1.5 kHz (maximum ~660 microseconds for an adult head), Interaural Level Differences (ILDs) above ~1.5 kHz from head shadowing, and spectral cues (pinna notches between 5–12 kHz) that enable elevation and front-back disambiguation</w:t>
      </w:r>
      <w:r>
        <w:t xml:space="preserve"> </w:t>
      </w:r>
      <w:r>
        <w:rPr>
          <w:vertAlign w:val="superscript"/>
        </w:rPr>
        <w:footnoteReference w:id="77"/>
      </w:r>
      <w:r>
        <w:t xml:space="preserve">,</w:t>
      </w:r>
      <w:r>
        <w:t xml:space="preserve"> </w:t>
      </w:r>
      <w:fldSimple w:instr="NOTEREF _Ref_Footnote_75 \h \f">
        <w:r>
          <w:rPr>
            <w:vertAlign w:val="superscript"/>
          </w:rPr>
          <w:t>75</w:t>
        </w:r>
      </w:fldSimple>
      <w:r>
        <w:t xml:space="preserve">. The standard binaural renderer convolves each audio object with HRIRs selected from a measurement database (stored in AES69-2015 SOFA format</w:t>
      </w:r>
      <w:r>
        <w:t xml:space="preserve"> </w:t>
      </w:r>
      <w:fldSimple w:instr="NOTEREF _Ref_Footnote_27 \h \f">
        <w:r>
          <w:rPr>
            <w:vertAlign w:val="superscript"/>
          </w:rPr>
          <w:t>27</w:t>
        </w:r>
      </w:fldSimple>
      <w:r>
        <w:t xml:space="preserve">) and sums all outputs to produce stereo. Real-time implementations use overlap-add or overlap-save fast convolution.</w:t>
      </w:r>
    </w:p>
    <w:bookmarkEnd w:id="96"/>
    <w:bookmarkStart w:id="97" w:name="X1fa67b0c0c086da15b761e2d364a0f6d5721348"/>
    <w:p>
      <w:pPr>
        <w:pStyle w:val="Heading4"/>
      </w:pPr>
      <w:r>
        <w:t xml:space="preserve">6.1.2 Dolby’s Approach: Approximately 85% Amplitude Panning + 15% HRTF Convolution</w:t>
      </w:r>
    </w:p>
    <w:p>
      <w:pPr>
        <w:pStyle w:val="FirstParagraph"/>
      </w:pPr>
      <w:r>
        <w:t xml:space="preserve">Independent reverse-engineering research by Grathwohl (January 2026) revealed a striking finding: Dolby Atmos binaural rendering consists of approximately</w:t>
      </w:r>
      <w:r>
        <w:t xml:space="preserve"> </w:t>
      </w:r>
      <w:r>
        <w:rPr>
          <w:bCs/>
          <w:b/>
        </w:rPr>
        <w:t xml:space="preserve">85% amplitude panning and only ~15% HRTF convolution</w:t>
      </w:r>
      <w:r>
        <w:t xml:space="preserve"> </w:t>
      </w:r>
      <w:fldSimple w:instr="NOTEREF _Ref_Footnote_75 \h \f">
        <w:r>
          <w:rPr>
            <w:vertAlign w:val="superscript"/>
          </w:rPr>
          <w:t>75</w:t>
        </w:r>
      </w:fldSimple>
      <w:r>
        <w:t xml:space="preserve">. Two independent ADM-BWF renderers (a JavaScript prototype and a Rust/Steam Audio implementation) were systematically compared against Dolby’s official binaural output. Full HRTF processing produced consistent 10–15 dB spectral dips at 6.5 kHz and 9–10 kHz; a blend of 0.15 reproduced Dolby’s output to within ~1 dB RMS across all tested material</w:t>
      </w:r>
      <w:r>
        <w:t xml:space="preserve"> </w:t>
      </w:r>
      <w:fldSimple w:instr="NOTEREF _Ref_Footnote_75 \h \f">
        <w:r>
          <w:rPr>
            <w:vertAlign w:val="superscript"/>
          </w:rPr>
          <w:t>75</w:t>
        </w:r>
      </w:fldSimple>
      <w:r>
        <w:t xml:space="preserve">:</w:t>
      </w:r>
    </w:p>
    <w:p>
      <w:pPr>
        <w:pStyle w:val="BodyText"/>
      </w:pPr>
      <m:oMathPara>
        <m:oMathParaPr>
          <m:jc m:val="center"/>
        </m:oMathParaPr>
        <m:oMath>
          <m:r>
            <m:rPr>
              <m:nor/>
              <m:sty m:val="p"/>
            </m:rPr>
            <m:t>output</m:t>
          </m:r>
          <m:r>
            <m:rPr>
              <m:sty m:val="p"/>
            </m:rPr>
            <m:t>=</m:t>
          </m:r>
          <m:r>
            <m:t>0.85</m:t>
          </m:r>
          <m:r>
            <m:rPr>
              <m:sty m:val="p"/>
            </m:rPr>
            <m:t>⋅</m:t>
          </m:r>
          <m:r>
            <m:rPr>
              <m:nor/>
              <m:sty m:val="p"/>
            </m:rPr>
            <m:t>panning</m:t>
          </m:r>
          <m:d>
            <m:dPr>
              <m:begChr m:val="("/>
              <m:endChr m:val=")"/>
              <m:sepChr m:val=""/>
              <m:grow/>
            </m:dPr>
            <m:e>
              <m:r>
                <m:t>o</m:t>
              </m:r>
            </m:e>
          </m:d>
          <m:r>
            <m:rPr>
              <m:sty m:val="p"/>
            </m:rPr>
            <m:t>+</m:t>
          </m:r>
          <m:r>
            <m:t>0.15</m:t>
          </m:r>
          <m:r>
            <m:rPr>
              <m:sty m:val="p"/>
            </m:rPr>
            <m:t>⋅</m:t>
          </m:r>
          <m:r>
            <m:rPr>
              <m:nor/>
              <m:sty m:val="p"/>
            </m:rPr>
            <m:t>HRTF</m:t>
          </m:r>
          <m:d>
            <m:dPr>
              <m:begChr m:val="("/>
              <m:endChr m:val=")"/>
              <m:sepChr m:val=""/>
              <m:grow/>
            </m:dPr>
            <m:e>
              <m:r>
                <m:t>o</m:t>
              </m:r>
            </m:e>
          </m:d>
        </m:oMath>
      </m:oMathPara>
    </w:p>
    <w:p>
      <w:pPr>
        <w:pStyle w:val="FirstParagraph"/>
      </w:pPr>
      <w:r>
        <w:t xml:space="preserve">The panning algorithm is Dolby’s patented Center of Mass Amplitude Panning (CMAP), which solves a quadratic optimization to find speaker gains</w:t>
      </w:r>
      <w:r>
        <w:t xml:space="preserve"> </w:t>
      </w:r>
      <m:oMath>
        <m:r>
          <m:t>g</m:t>
        </m:r>
      </m:oMath>
      <w:r>
        <w:t xml:space="preserve"> </w:t>
      </w:r>
      <w:r>
        <w:t xml:space="preserve">that minimize a cost function combining directional alignment and proximity penalties</w:t>
      </w:r>
      <w:r>
        <w:t xml:space="preserve"> </w:t>
      </w:r>
      <w:fldSimple w:instr="NOTEREF _Ref_Footnote_75 \h \f">
        <w:r>
          <w:rPr>
            <w:vertAlign w:val="superscript"/>
          </w:rPr>
          <w:t>75</w:t>
        </w:r>
      </w:fldSimple>
      <w:r>
        <w:t xml:space="preserve">. This limited HRTF blend is an intentional tradeoff: full per-object convolution of 20–30 simultaneous objects causes cumulative pinna notches that darken the mix. At 15% blend, HRTF personalization yields at most</w:t>
      </w:r>
      <w:r>
        <w:t xml:space="preserve"> </w:t>
      </w:r>
      <m:oMath>
        <m:r>
          <m:t>6</m:t>
        </m:r>
        <m:r>
          <m:t> </m:t>
        </m:r>
        <m:r>
          <m:rPr>
            <m:nor/>
            <m:sty m:val="p"/>
          </m:rPr>
          <m:t>dB</m:t>
        </m:r>
        <m:r>
          <m:rPr>
            <m:sty m:val="p"/>
          </m:rPr>
          <m:t>×</m:t>
        </m:r>
        <m:r>
          <m:t>0.15</m:t>
        </m:r>
        <m:r>
          <m:rPr>
            <m:sty m:val="p"/>
          </m:rPr>
          <m:t>=</m:t>
        </m:r>
        <m:r>
          <m:t>0.9</m:t>
        </m:r>
        <m:r>
          <m:t> </m:t>
        </m:r>
        <m:r>
          <m:rPr>
            <m:nor/>
            <m:sty m:val="p"/>
          </m:rPr>
          <m:t>dB</m:t>
        </m:r>
      </m:oMath>
      <w:r>
        <w:t xml:space="preserve"> </w:t>
      </w:r>
      <w:r>
        <w:t xml:space="preserve">improvement — below the ~1 dB just-noticeable difference — explaining Dolby’s July 2025 discontinuation of consumer HRTF personalization</w:t>
      </w:r>
      <w:r>
        <w:t xml:space="preserve"> </w:t>
      </w:r>
      <w:fldSimple w:instr="NOTEREF _Ref_Footnote_75 \h \f">
        <w:r>
          <w:rPr>
            <w:vertAlign w:val="superscript"/>
          </w:rPr>
          <w:t>75</w:t>
        </w:r>
      </w:fldSimple>
      <w:r>
        <w:t xml:space="preserve">. Critically, bed channels render via amplitude panning regardless of HRTF settings; only objects receive HRTF spatialization</w:t>
      </w:r>
      <w:r>
        <w:t xml:space="preserve"> </w:t>
      </w:r>
      <w:fldSimple w:instr="NOTEREF _Ref_Footnote_75 \h \f">
        <w:r>
          <w:rPr>
            <w:vertAlign w:val="superscript"/>
          </w:rPr>
          <w:t>75</w:t>
        </w:r>
      </w:fldSimple>
      <w:r>
        <w:t xml:space="preserve">.</w:t>
      </w:r>
    </w:p>
    <w:bookmarkEnd w:id="97"/>
    <w:bookmarkStart w:id="98" w:name="X2d295f1bdb06afdbf41357ed2a029682644b73b"/>
    <w:p>
      <w:pPr>
        <w:pStyle w:val="Heading4"/>
      </w:pPr>
      <w:r>
        <w:t xml:space="preserve">6.1.3 Apple’s Approach: Full Personalized HRTF with Real-Time Head Tracking</w:t>
      </w:r>
    </w:p>
    <w:p>
      <w:pPr>
        <w:pStyle w:val="FirstParagraph"/>
      </w:pPr>
      <w:r>
        <w:t xml:space="preserve">Apple’s Spatial Audio uses a fundamentally different architecture. Apple Music delivers a DD+ JOC bitstream to the device, where Apple’s on-device renderer performs binaural processing</w:t>
      </w:r>
      <w:r>
        <w:t xml:space="preserve"> </w:t>
      </w:r>
      <w:fldSimple w:instr="NOTEREF _Ref_Footnote_11 \h \f">
        <w:r>
          <w:rPr>
            <w:vertAlign w:val="superscript"/>
          </w:rPr>
          <w:t>11</w:t>
        </w:r>
      </w:fldSimple>
      <w:r>
        <w:t xml:space="preserve">,</w:t>
      </w:r>
      <w:r>
        <w:t xml:space="preserve"> </w:t>
      </w:r>
      <w:r>
        <w:rPr>
          <w:vertAlign w:val="superscript"/>
        </w:rPr>
        <w:footnoteReference w:id="78"/>
      </w:r>
      <w:r>
        <w:t xml:space="preserve">,</w:t>
      </w:r>
      <w:r>
        <w:t xml:space="preserve"> </w:t>
      </w:r>
      <w:fldSimple w:instr="NOTEREF _Ref_Footnote_54 \h \f">
        <w:r>
          <w:rPr>
            <w:vertAlign w:val="superscript"/>
          </w:rPr>
          <w:t>54</w:t>
        </w:r>
      </w:fldSimple>
      <w:r>
        <w:t xml:space="preserve">. Head tracking creates the impression of a fixed external sound field: AirPods Pro/Max transmit IMU sensor data, and the renderer updates the sound field approximately 100 times per second with ~17 ms end-to-end latency</w:t>
      </w:r>
      <w:r>
        <w:t xml:space="preserve"> </w:t>
      </w:r>
      <w:r>
        <w:rPr>
          <w:vertAlign w:val="superscript"/>
        </w:rPr>
        <w:footnoteReference w:id="79"/>
      </w:r>
      <w:r>
        <w:t xml:space="preserve">. iOS 16 added Personalized Spatial Audio, using the iPhone’s TrueDepth camera to photogrammetrically capture head and ear geometry, processed entirely on-device</w:t>
      </w:r>
      <w:r>
        <w:t xml:space="preserve"> </w:t>
      </w:r>
      <w:r>
        <w:rPr>
          <w:vertAlign w:val="superscript"/>
        </w:rPr>
        <w:footnoteReference w:id="80"/>
      </w:r>
      <w:r>
        <w:t xml:space="preserve">. This targets full HRTF personalization — in contrast to Dolby’s discontinued system, which captured up to 50,000 surface points yet delivered sub-JND improvement due to the 15% blend</w:t>
      </w:r>
      <w:r>
        <w:t xml:space="preserve"> </w:t>
      </w:r>
      <w:fldSimple w:instr="NOTEREF _Ref_Footnote_34 \h \f">
        <w:r>
          <w:rPr>
            <w:vertAlign w:val="superscript"/>
          </w:rPr>
          <w:t>34</w:t>
        </w:r>
      </w:fldSimple>
      <w:r>
        <w:t xml:space="preserve">.</w:t>
      </w:r>
    </w:p>
    <w:bookmarkEnd w:id="98"/>
    <w:bookmarkEnd w:id="99"/>
    <w:bookmarkStart w:id="102" w:name="binaural-render-modes"/>
    <w:p>
      <w:pPr>
        <w:pStyle w:val="Heading3"/>
      </w:pPr>
      <w:r>
        <w:t xml:space="preserve">6.2 Binaural Render Modes</w:t>
      </w:r>
    </w:p>
    <w:bookmarkStart w:id="100" w:name="X8fa1aee2d5332bdd45e0e8013d7d51d02226f2e"/>
    <w:p>
      <w:pPr>
        <w:pStyle w:val="Heading4"/>
      </w:pPr>
      <w:r>
        <w:t xml:space="preserve">6.2.1 Near/Mid/Far Distance Modes and Per-Object Metadata</w:t>
      </w:r>
    </w:p>
    <w:p>
      <w:pPr>
        <w:pStyle w:val="FirstParagraph"/>
      </w:pPr>
      <w:r>
        <w:t xml:space="preserve">The Dolby Atmos Renderer embeds per-object metadata assigning each source one of four distance settings</w:t>
      </w:r>
      <w:r>
        <w:t xml:space="preserve"> </w:t>
      </w:r>
      <w:fldSimple w:instr="NOTEREF _Ref_Footnote_70 \h \f">
        <w:r>
          <w:rPr>
            <w:vertAlign w:val="superscript"/>
          </w:rPr>
          <w:t>70</w:t>
        </w:r>
      </w:fldSimple>
      <w:r>
        <w:t xml:space="preserve">,</w:t>
      </w:r>
      <w:r>
        <w:t xml:space="preserve"> </w:t>
      </w:r>
      <w:r>
        <w:rPr>
          <w:vertAlign w:val="superscript"/>
        </w:rPr>
        <w:footnoteReference w:id="81"/>
      </w:r>
      <w:r>
        <w:t xml:space="preserve">,</w:t>
      </w:r>
      <w:r>
        <w:t xml:space="preserve"> </w:t>
      </w:r>
      <w:fldSimple w:instr="NOTEREF _Ref_Footnote_55 \h \f">
        <w:r>
          <w:rPr>
            <w:vertAlign w:val="superscript"/>
          </w:rPr>
          <w:t>55</w:t>
        </w:r>
      </w:fldSimple>
      <w:r>
        <w:t xml:space="preserve">. Mixers set these through the Dolby Atmos Binaural Settings plug-in (AAX, AU, VST3)</w:t>
      </w:r>
      <w:r>
        <w:t xml:space="preserve"> </w:t>
      </w:r>
      <w:fldSimple w:instr="NOTEREF _Ref_Footnote_57 \h \f">
        <w:r>
          <w:rPr>
            <w:vertAlign w:val="superscript"/>
          </w:rPr>
          <w:t>57</w:t>
        </w:r>
      </w:fldSimple>
      <w:r>
        <w:t xml:space="preserve">,</w:t>
      </w:r>
      <w:r>
        <w:t xml:space="preserve"> </w:t>
      </w:r>
      <w:fldSimple w:instr="NOTEREF _Ref_Footnote_73 \h \f">
        <w:r>
          <w:rPr>
            <w:vertAlign w:val="superscript"/>
          </w:rPr>
          <w:t>73</w:t>
        </w:r>
      </w:fldSimple>
      <w:r>
        <w:t xml:space="preserve">:</w:t>
      </w:r>
    </w:p>
    <w:tbl>
      <w:tblPr>
        <w:tblStyle w:val="Table"/>
        <w:tblW w:type="pct" w:w="5000"/>
        <w:tblLook w:firstRow="1" w:lastRow="0" w:firstColumn="0" w:lastColumn="0" w:noHBand="0" w:noVBand="0" w:val="0020"/>
      </w:tblPr>
      <w:tblGrid>
        <w:gridCol w:w="1080"/>
        <w:gridCol w:w="3420"/>
        <w:gridCol w:w="3420"/>
      </w:tblGrid>
      <w:tr>
        <w:trPr>
          <w:tblHeader w:val="true"/>
        </w:trPr>
        <w:tc>
          <w:tcPr/>
          <w:p>
            <w:pPr>
              <w:pStyle w:val="Compact"/>
              <w:jc w:val="left"/>
            </w:pPr>
            <w:r>
              <w:t xml:space="preserve">Mode</w:t>
            </w:r>
          </w:p>
        </w:tc>
        <w:tc>
          <w:tcPr/>
          <w:p>
            <w:pPr>
              <w:pStyle w:val="Compact"/>
              <w:jc w:val="left"/>
            </w:pPr>
            <w:r>
              <w:t xml:space="preserve">Perceived Distance</w:t>
            </w:r>
          </w:p>
        </w:tc>
        <w:tc>
          <w:tcPr/>
          <w:p>
            <w:pPr>
              <w:pStyle w:val="Compact"/>
              <w:jc w:val="left"/>
            </w:pPr>
            <w:r>
              <w:t xml:space="preserve">Technical Behavior</w:t>
            </w:r>
          </w:p>
        </w:tc>
      </w:tr>
      <w:tr>
        <w:tc>
          <w:tcPr/>
          <w:p>
            <w:pPr>
              <w:pStyle w:val="Compact"/>
              <w:jc w:val="left"/>
            </w:pPr>
            <w:r>
              <w:rPr>
                <w:bCs/>
                <w:b/>
              </w:rPr>
              <w:t xml:space="preserve">Off</w:t>
            </w:r>
          </w:p>
        </w:tc>
        <w:tc>
          <w:tcPr/>
          <w:p>
            <w:pPr>
              <w:pStyle w:val="Compact"/>
              <w:jc w:val="left"/>
            </w:pPr>
            <w:r>
              <w:t xml:space="preserve">No distance modeling</w:t>
            </w:r>
          </w:p>
        </w:tc>
        <w:tc>
          <w:tcPr/>
          <w:p>
            <w:pPr>
              <w:pStyle w:val="Compact"/>
              <w:jc w:val="left"/>
            </w:pPr>
            <w:r>
              <w:t xml:space="preserve">Object centered, no spatialization; universal use fails QC</w:t>
            </w:r>
          </w:p>
        </w:tc>
      </w:tr>
      <w:tr>
        <w:tc>
          <w:tcPr/>
          <w:p>
            <w:pPr>
              <w:pStyle w:val="Compact"/>
              <w:jc w:val="left"/>
            </w:pPr>
            <w:r>
              <w:rPr>
                <w:bCs/>
                <w:b/>
              </w:rPr>
              <w:t xml:space="preserve">Near</w:t>
            </w:r>
          </w:p>
        </w:tc>
        <w:tc>
          <w:tcPr/>
          <w:p>
            <w:pPr>
              <w:pStyle w:val="Compact"/>
              <w:jc w:val="left"/>
            </w:pPr>
            <w:r>
              <w:t xml:space="preserve">~20 cm from head</w:t>
            </w:r>
          </w:p>
        </w:tc>
        <w:tc>
          <w:tcPr/>
          <w:p>
            <w:pPr>
              <w:pStyle w:val="Compact"/>
              <w:jc w:val="left"/>
            </w:pPr>
            <w:r>
              <w:t xml:space="preserve">Short reverb, dry signal, high direct-to-reverb ratio; RT &lt; 100 ms</w:t>
            </w:r>
            <w:r>
              <w:t xml:space="preserve"> </w:t>
            </w:r>
            <w:r>
              <w:rPr>
                <w:vertAlign w:val="superscript"/>
              </w:rPr>
              <w:footnoteReference w:id="82"/>
            </w:r>
          </w:p>
        </w:tc>
      </w:tr>
      <w:tr>
        <w:tc>
          <w:tcPr/>
          <w:p>
            <w:pPr>
              <w:pStyle w:val="Compact"/>
              <w:jc w:val="left"/>
            </w:pPr>
            <w:r>
              <w:rPr>
                <w:bCs/>
                <w:b/>
              </w:rPr>
              <w:t xml:space="preserve">Mid</w:t>
            </w:r>
          </w:p>
        </w:tc>
        <w:tc>
          <w:tcPr/>
          <w:p>
            <w:pPr>
              <w:pStyle w:val="Compact"/>
              <w:jc w:val="left"/>
            </w:pPr>
            <w:r>
              <w:t xml:space="preserve">~2 meters</w:t>
            </w:r>
          </w:p>
        </w:tc>
        <w:tc>
          <w:tcPr/>
          <w:p>
            <w:pPr>
              <w:pStyle w:val="Compact"/>
              <w:jc w:val="left"/>
            </w:pPr>
            <w:r>
              <w:t xml:space="preserve">Moderate room reverb; RT 150–250 ms</w:t>
            </w:r>
            <w:r>
              <w:t xml:space="preserve"> </w:t>
            </w:r>
            <w:fldSimple w:instr="NOTEREF _Ref_Footnote_82 \h \f">
              <w:r>
                <w:rPr>
                  <w:vertAlign w:val="superscript"/>
                </w:rPr>
                <w:t>82</w:t>
              </w:r>
            </w:fldSimple>
          </w:p>
        </w:tc>
      </w:tr>
      <w:tr>
        <w:tc>
          <w:tcPr/>
          <w:p>
            <w:pPr>
              <w:pStyle w:val="Compact"/>
              <w:jc w:val="left"/>
            </w:pPr>
            <w:r>
              <w:rPr>
                <w:bCs/>
                <w:b/>
              </w:rPr>
              <w:t xml:space="preserve">Far</w:t>
            </w:r>
          </w:p>
        </w:tc>
        <w:tc>
          <w:tcPr/>
          <w:p>
            <w:pPr>
              <w:pStyle w:val="Compact"/>
              <w:jc w:val="left"/>
            </w:pPr>
            <w:r>
              <w:t xml:space="preserve">~6 meters</w:t>
            </w:r>
          </w:p>
        </w:tc>
        <w:tc>
          <w:tcPr/>
          <w:p>
            <w:pPr>
              <w:pStyle w:val="Compact"/>
              <w:jc w:val="left"/>
            </w:pPr>
            <w:r>
              <w:t xml:space="preserve">Long reverb tail, greater delay, more air absorption; RT &gt; 300 ms</w:t>
            </w:r>
            <w:r>
              <w:t xml:space="preserve"> </w:t>
            </w:r>
            <w:fldSimple w:instr="NOTEREF _Ref_Footnote_82 \h \f">
              <w:r>
                <w:rPr>
                  <w:vertAlign w:val="superscript"/>
                </w:rPr>
                <w:t>82</w:t>
              </w:r>
            </w:fldSimple>
          </w:p>
        </w:tc>
      </w:tr>
    </w:tbl>
    <w:p>
      <w:pPr>
        <w:pStyle w:val="BodyText"/>
      </w:pPr>
      <w:r>
        <w:t xml:space="preserve">The setting is</w:t>
      </w:r>
      <w:r>
        <w:t xml:space="preserve"> </w:t>
      </w:r>
      <w:r>
        <w:rPr>
          <w:bCs/>
          <w:b/>
        </w:rPr>
        <w:t xml:space="preserve">not automatable</w:t>
      </w:r>
      <w:r>
        <w:t xml:space="preserve"> </w:t>
      </w:r>
      <w:r>
        <w:t xml:space="preserve">and remains fixed throughout the session; the LFE channel is always Off</w:t>
      </w:r>
      <w:r>
        <w:t xml:space="preserve"> </w:t>
      </w:r>
      <w:fldSimple w:instr="NOTEREF _Ref_Footnote_70 \h \f">
        <w:r>
          <w:rPr>
            <w:vertAlign w:val="superscript"/>
          </w:rPr>
          <w:t>70</w:t>
        </w:r>
      </w:fldSimple>
      <w:r>
        <w:t xml:space="preserve">.</w:t>
      </w:r>
    </w:p>
    <w:bookmarkEnd w:id="100"/>
    <w:bookmarkStart w:id="101" w:name="X63671498fbab1f38cc0c2fe207dfee42efea5dc"/>
    <w:p>
      <w:pPr>
        <w:pStyle w:val="Heading4"/>
      </w:pPr>
      <w:r>
        <w:t xml:space="preserve">6.2.2 Perceptual Basis: Reverb Control Rather Than HRTF Intensity</w:t>
      </w:r>
    </w:p>
    <w:p>
      <w:pPr>
        <w:pStyle w:val="FirstParagraph"/>
      </w:pPr>
      <w:r>
        <w:t xml:space="preserve">Recent research suggests Near/Mid/Far modes</w:t>
      </w:r>
      <w:r>
        <w:t xml:space="preserve"> </w:t>
      </w:r>
      <w:r>
        <w:rPr>
          <w:bCs/>
          <w:b/>
        </w:rPr>
        <w:t xml:space="preserve">do not control HRTF processing intensity</w:t>
      </w:r>
      <w:r>
        <w:t xml:space="preserve"> </w:t>
      </w:r>
      <w:r>
        <w:t xml:space="preserve">but instead control room reverb presets, because the global HRTF blend remains fixed at ~15% regardless of mode settings</w:t>
      </w:r>
      <w:r>
        <w:t xml:space="preserve"> </w:t>
      </w:r>
      <w:fldSimple w:instr="NOTEREF _Ref_Footnote_75 \h \f">
        <w:r>
          <w:rPr>
            <w:vertAlign w:val="superscript"/>
          </w:rPr>
          <w:t>75</w:t>
        </w:r>
      </w:fldSimple>
      <w:r>
        <w:t xml:space="preserve">. Near mode applies a shorter reverb tail simulating close proximity; Far mode applies a longer tail with greater arrival delay and air absorption modeled as</w:t>
      </w:r>
      <w:r>
        <w:t xml:space="preserve"> </w:t>
      </w:r>
      <m:oMath>
        <m:sSup>
          <m:e>
            <m:r>
              <m:t>e</m:t>
            </m:r>
          </m:e>
          <m:sup>
            <m:r>
              <m:rPr>
                <m:sty m:val="p"/>
              </m:rPr>
              <m:t>−</m:t>
            </m:r>
            <m:r>
              <m:t>k</m:t>
            </m:r>
            <m:d>
              <m:dPr>
                <m:begChr m:val="("/>
                <m:endChr m:val=")"/>
                <m:sepChr m:val=""/>
                <m:grow/>
              </m:dPr>
              <m:e>
                <m:r>
                  <m:t>d</m:t>
                </m:r>
                <m:r>
                  <m:rPr>
                    <m:sty m:val="p"/>
                  </m:rPr>
                  <m:t>−</m:t>
                </m:r>
                <m:sSub>
                  <m:e>
                    <m:r>
                      <m:t>d</m:t>
                    </m:r>
                  </m:e>
                  <m:sub>
                    <m:r>
                      <m:rPr>
                        <m:nor/>
                        <m:sty m:val="p"/>
                      </m:rPr>
                      <m:t>ref</m:t>
                    </m:r>
                  </m:sub>
                </m:sSub>
              </m:e>
            </m:d>
          </m:sup>
        </m:sSup>
      </m:oMath>
      <w:r>
        <w:t xml:space="preserve"> </w:t>
      </w:r>
      <w:r>
        <w:t xml:space="preserve">with</w:t>
      </w:r>
      <w:r>
        <w:t xml:space="preserve"> </w:t>
      </w:r>
      <m:oMath>
        <m:r>
          <m:t>k</m:t>
        </m:r>
        <m:r>
          <m:rPr>
            <m:sty m:val="p"/>
          </m:rPr>
          <m:t>≈</m:t>
        </m:r>
        <m:r>
          <m:t>0.05</m:t>
        </m:r>
        <m:r>
          <m:t> </m:t>
        </m:r>
        <m:sSup>
          <m:e>
            <m:r>
              <m:rPr>
                <m:nor/>
                <m:sty m:val="p"/>
              </m:rPr>
              <m:t>m</m:t>
            </m:r>
          </m:e>
          <m:sup>
            <m:r>
              <m:rPr>
                <m:sty m:val="p"/>
              </m:rPr>
              <m:t>−</m:t>
            </m:r>
            <m:r>
              <m:t>1</m:t>
            </m:r>
          </m:sup>
        </m:sSup>
      </m:oMath>
      <w:r>
        <w:t xml:space="preserve"> </w:t>
      </w:r>
      <w:fldSimple w:instr="NOTEREF _Ref_Footnote_75 \h \f">
        <w:r>
          <w:rPr>
            <w:vertAlign w:val="superscript"/>
          </w:rPr>
          <w:t>75</w:t>
        </w:r>
      </w:fldSimple>
      <w:r>
        <w:t xml:space="preserve">,</w:t>
      </w:r>
      <w:r>
        <w:t xml:space="preserve"> </w:t>
      </w:r>
      <w:fldSimple w:instr="NOTEREF _Ref_Footnote_55 \h \f">
        <w:r>
          <w:rPr>
            <w:vertAlign w:val="superscript"/>
          </w:rPr>
          <w:t>55</w:t>
        </w:r>
      </w:fldSimple>
      <w:r>
        <w:t xml:space="preserve">. Each mode additionally modifies the direct-to-reverberant energy ratio and early reflection patterns to replicate how sounds are physically perceived at different distances in an acoustic space</w:t>
      </w:r>
      <w:r>
        <w:t xml:space="preserve"> </w:t>
      </w:r>
      <w:fldSimple w:instr="NOTEREF _Ref_Footnote_55 \h \f">
        <w:r>
          <w:rPr>
            <w:vertAlign w:val="superscript"/>
          </w:rPr>
          <w:t>55</w:t>
        </w:r>
      </w:fldSimple>
      <w:r>
        <w:t xml:space="preserve">.</w:t>
      </w:r>
    </w:p>
    <w:bookmarkEnd w:id="101"/>
    <w:bookmarkEnd w:id="102"/>
    <w:bookmarkStart w:id="106" w:name="speaker-virtualization"/>
    <w:p>
      <w:pPr>
        <w:pStyle w:val="Heading3"/>
      </w:pPr>
      <w:r>
        <w:t xml:space="preserve">6.3 Speaker Virtualization</w:t>
      </w:r>
    </w:p>
    <w:bookmarkStart w:id="103" w:name="X1b6a9df1e497ff94b2f19d206296e6b089d145e"/>
    <w:p>
      <w:pPr>
        <w:pStyle w:val="Heading4"/>
      </w:pPr>
      <w:r>
        <w:t xml:space="preserve">6.3.1 Virtualizing 7.1.4 Through Stereo Soundbars: HRTF Plus Crosstalk Cancellation</w:t>
      </w:r>
    </w:p>
    <w:p>
      <w:pPr>
        <w:pStyle w:val="FirstParagraph"/>
      </w:pPr>
      <w:r>
        <w:t xml:space="preserve">Dolby provides technical guidance for sound bar manufacturers, supporting configurations from 2.0.2 to full 7.1.4 arrays</w:t>
      </w:r>
      <w:r>
        <w:t xml:space="preserve"> </w:t>
      </w:r>
      <w:fldSimple w:instr="NOTEREF _Ref_Footnote_62 \h \f">
        <w:r>
          <w:rPr>
            <w:vertAlign w:val="superscript"/>
          </w:rPr>
          <w:t>62</w:t>
        </w:r>
      </w:fldSimple>
      <w:r>
        <w:t xml:space="preserve">,</w:t>
      </w:r>
      <w:r>
        <w:t xml:space="preserve"> </w:t>
      </w:r>
      <w:r>
        <w:rPr>
          <w:vertAlign w:val="superscript"/>
        </w:rPr>
        <w:footnoteReference w:id="83"/>
      </w:r>
      <w:r>
        <w:t xml:space="preserve">,</w:t>
      </w:r>
      <w:r>
        <w:t xml:space="preserve"> </w:t>
      </w:r>
      <w:fldSimple w:instr="NOTEREF _Ref_Footnote_32 \h \f">
        <w:r>
          <w:rPr>
            <w:vertAlign w:val="superscript"/>
          </w:rPr>
          <w:t>32</w:t>
        </w:r>
      </w:fldSimple>
      <w:r>
        <w:t xml:space="preserve">. The virtualization pipeline combines HRTF-based binaural synthesis with crosstalk cancellation to decouple left and right channels at the listener’s ears. The Dolby Surround Virtualizer uses HRTFs plus crosstalk cancellation so listeners perceive sound from virtual surround speakers rather than the physical sound bar</w:t>
      </w:r>
      <w:r>
        <w:t xml:space="preserve"> </w:t>
      </w:r>
      <w:fldSimple w:instr="NOTEREF _Ref_Footnote_62 \h \f">
        <w:r>
          <w:rPr>
            <w:vertAlign w:val="superscript"/>
          </w:rPr>
          <w:t>62</w:t>
        </w:r>
      </w:fldSimple>
      <w:r>
        <w:t xml:space="preserve">,</w:t>
      </w:r>
      <w:r>
        <w:t xml:space="preserve"> </w:t>
      </w:r>
      <w:fldSimple w:instr="NOTEREF _Ref_Footnote_83 \h \f">
        <w:r>
          <w:rPr>
            <w:vertAlign w:val="superscript"/>
          </w:rPr>
          <w:t>83</w:t>
        </w:r>
      </w:fldSimple>
      <w:r>
        <w:t xml:space="preserve">.</w:t>
      </w:r>
    </w:p>
    <w:bookmarkEnd w:id="103"/>
    <w:bookmarkStart w:id="104" w:name="Xcbfa841beb20374636346be780a9309c2cbe337"/>
    <w:p>
      <w:pPr>
        <w:pStyle w:val="Heading4"/>
      </w:pPr>
      <w:r>
        <w:t xml:space="preserve">6.3.2 Crosstalk Cancellation: 20–30 dB at Optimal Frequencies</w:t>
      </w:r>
    </w:p>
    <w:p>
      <w:pPr>
        <w:pStyle w:val="FirstParagraph"/>
      </w:pPr>
      <w:r>
        <w:t xml:space="preserve">Practical crosstalk cancellation achieves</w:t>
      </w:r>
      <w:r>
        <w:t xml:space="preserve"> </w:t>
      </w:r>
      <w:r>
        <w:rPr>
          <w:bCs/>
          <w:b/>
        </w:rPr>
        <w:t xml:space="preserve">20–30 dB of cancellation</w:t>
      </w:r>
      <w:r>
        <w:t xml:space="preserve"> </w:t>
      </w:r>
      <w:r>
        <w:t xml:space="preserve">at optimal frequencies at the design sweet spot</w:t>
      </w:r>
      <w:r>
        <w:t xml:space="preserve"> </w:t>
      </w:r>
      <w:r>
        <w:rPr>
          <w:vertAlign w:val="superscript"/>
        </w:rPr>
        <w:footnoteReference w:id="84"/>
      </w:r>
      <w:r>
        <w:t xml:space="preserve">. Performance degrades rapidly with listener movement, particularly lateral shifts that disrupt the precise phase relationships required for channel separation. When the listener’s HRTF differs from the calibration HRTF used to design the cancellation filters, average cancellation degrades to approximately 17 dB — enough to preserve some spatial impression but insufficient for precise virtual source placement</w:t>
      </w:r>
      <w:r>
        <w:t xml:space="preserve"> </w:t>
      </w:r>
      <w:fldSimple w:instr="NOTEREF _Ref_Footnote_84 \h \f">
        <w:r>
          <w:rPr>
            <w:vertAlign w:val="superscript"/>
          </w:rPr>
          <w:t>84</w:t>
        </w:r>
      </w:fldSimple>
      <w:r>
        <w:t xml:space="preserve">.</w:t>
      </w:r>
    </w:p>
    <w:bookmarkEnd w:id="104"/>
    <w:bookmarkStart w:id="105" w:name="X9239a2983040635cd89200a9ef5ade22e1e91a8"/>
    <w:p>
      <w:pPr>
        <w:pStyle w:val="Heading4"/>
      </w:pPr>
      <w:r>
        <w:t xml:space="preserve">6.3.3 Height Virtualization: Simulating Overhead From Ear-Level Speakers</w:t>
      </w:r>
    </w:p>
    <w:p>
      <w:pPr>
        <w:pStyle w:val="FirstParagraph"/>
      </w:pPr>
      <w:r>
        <w:t xml:space="preserve">For sound bars without upward-firing drivers, Dolby Atmos Height Virtualization applies height-cue filters to overhead audio components before mixing them into listener-level speakers</w:t>
      </w:r>
      <w:r>
        <w:t xml:space="preserve"> </w:t>
      </w:r>
      <w:fldSimple w:instr="NOTEREF _Ref_Footnote_32 \h \f">
        <w:r>
          <w:rPr>
            <w:vertAlign w:val="superscript"/>
          </w:rPr>
          <w:t>32</w:t>
        </w:r>
      </w:fldSimple>
      <w:r>
        <w:t xml:space="preserve">,</w:t>
      </w:r>
      <w:r>
        <w:t xml:space="preserve"> </w:t>
      </w:r>
      <w:r>
        <w:rPr>
          <w:vertAlign w:val="superscript"/>
        </w:rPr>
        <w:footnoteReference w:id="85"/>
      </w:r>
      <w:r>
        <w:t xml:space="preserve">. These filters simulate the natural spectral cues the pinna imparts to elevated sounds — primarily a characteristic high-frequency shaping distinct from ear-level arrivals. Dolby supports height virtualization across 2 to 7 listener-level channels to create the sensation of either 2 or 4 overhead speakers. The Dolby Surround upmixer operates in the frequency domain, processing perceptually-spaced bands for fine-grained virtual source steering</w:t>
      </w:r>
      <w:r>
        <w:t xml:space="preserve"> </w:t>
      </w:r>
      <w:fldSimple w:instr="NOTEREF _Ref_Footnote_62 \h \f">
        <w:r>
          <w:rPr>
            <w:vertAlign w:val="superscript"/>
          </w:rPr>
          <w:t>62</w:t>
        </w:r>
      </w:fldSimple>
      <w:r>
        <w:t xml:space="preserve">,</w:t>
      </w:r>
      <w:r>
        <w:t xml:space="preserve"> </w:t>
      </w:r>
      <w:fldSimple w:instr="NOTEREF _Ref_Footnote_83 \h \f">
        <w:r>
          <w:rPr>
            <w:vertAlign w:val="superscript"/>
          </w:rPr>
          <w:t>83</w:t>
        </w:r>
      </w:fldSimple>
      <w:r>
        <w:t xml:space="preserve">.</w:t>
      </w:r>
    </w:p>
    <w:bookmarkEnd w:id="105"/>
    <w:bookmarkEnd w:id="106"/>
    <w:bookmarkStart w:id="110" w:name="codec-delivery-paths"/>
    <w:p>
      <w:pPr>
        <w:pStyle w:val="Heading3"/>
      </w:pPr>
      <w:r>
        <w:t xml:space="preserve">6.4 Codec Delivery Paths</w:t>
      </w:r>
    </w:p>
    <w:bookmarkStart w:id="107" w:name="Xd153316b39c0edb0aa01b3e654d0a2de236a571"/>
    <w:p>
      <w:pPr>
        <w:pStyle w:val="Heading4"/>
      </w:pPr>
      <w:r>
        <w:t xml:space="preserve">6.4.1 AC-4 IMS (Tidal/Amazon): Preserves Binaural Metadata, Static Output</w:t>
      </w:r>
    </w:p>
    <w:p>
      <w:pPr>
        <w:pStyle w:val="FirstParagraph"/>
      </w:pPr>
      <w:r>
        <w:t xml:space="preserve">Dolby AC-4 (ETSI TS 103 190) provides Immersive Stereo (IMS), a binaural rendering mode encoding immersive audio as two channels plus spatial control data</w:t>
      </w:r>
      <w:r>
        <w:t xml:space="preserve"> </w:t>
      </w:r>
      <w:r>
        <w:rPr>
          <w:vertAlign w:val="superscript"/>
        </w:rPr>
        <w:footnoteReference w:id="86"/>
      </w:r>
      <w:r>
        <w:t xml:space="preserve">,</w:t>
      </w:r>
      <w:r>
        <w:t xml:space="preserve"> </w:t>
      </w:r>
      <w:r>
        <w:rPr>
          <w:vertAlign w:val="superscript"/>
        </w:rPr>
        <w:footnoteReference w:id="87"/>
      </w:r>
      <w:r>
        <w:t xml:space="preserve">,</w:t>
      </w:r>
      <w:r>
        <w:t xml:space="preserve"> </w:t>
      </w:r>
      <w:r>
        <w:rPr>
          <w:vertAlign w:val="superscript"/>
        </w:rPr>
        <w:footnoteReference w:id="88"/>
      </w:r>
      <w:r>
        <w:t xml:space="preserve">. IMS achieves near-transparent quality at 256 kbps with 3–4× lower playback complexity than full object-based decoding</w:t>
      </w:r>
      <w:r>
        <w:t xml:space="preserve"> </w:t>
      </w:r>
      <w:fldSimple w:instr="NOTEREF _Ref_Footnote_86 \h \f">
        <w:r>
          <w:rPr>
            <w:vertAlign w:val="superscript"/>
          </w:rPr>
          <w:t>86</w:t>
        </w:r>
      </w:fldSimple>
      <w:r>
        <w:t xml:space="preserve">.</w:t>
      </w:r>
      <w:r>
        <w:t xml:space="preserve"> </w:t>
      </w:r>
      <w:r>
        <w:rPr>
          <w:bCs/>
          <w:b/>
        </w:rPr>
        <w:t xml:space="preserve">AC-4 IMS preserves Near/Mid/Far binaural render mode metadata</w:t>
      </w:r>
      <w:r>
        <w:t xml:space="preserve"> </w:t>
      </w:r>
      <w:r>
        <w:t xml:space="preserve">set by mixers</w:t>
      </w:r>
      <w:r>
        <w:t xml:space="preserve"> </w:t>
      </w:r>
      <w:r>
        <w:rPr>
          <w:vertAlign w:val="superscript"/>
        </w:rPr>
        <w:footnoteReference w:id="89"/>
      </w:r>
      <w:r>
        <w:t xml:space="preserve">,</w:t>
      </w:r>
      <w:r>
        <w:t xml:space="preserve"> </w:t>
      </w:r>
      <w:fldSimple w:instr="NOTEREF _Ref_Footnote_61 \h \f">
        <w:r>
          <w:rPr>
            <w:vertAlign w:val="superscript"/>
          </w:rPr>
          <w:t>61</w:t>
        </w:r>
      </w:fldSimple>
      <w:r>
        <w:t xml:space="preserve">. AC-4 Level 4 additionally supports head tracking</w:t>
      </w:r>
      <w:r>
        <w:t xml:space="preserve"> </w:t>
      </w:r>
      <w:r>
        <w:rPr>
          <w:vertAlign w:val="superscript"/>
        </w:rPr>
        <w:footnoteReference w:id="90"/>
      </w:r>
      <w:r>
        <w:t xml:space="preserve">.</w:t>
      </w:r>
    </w:p>
    <w:bookmarkEnd w:id="107"/>
    <w:bookmarkStart w:id="108" w:name="X2524112cca235f66385c60e3cb8a3aae3fc15c0"/>
    <w:p>
      <w:pPr>
        <w:pStyle w:val="Heading4"/>
      </w:pPr>
      <w:r>
        <w:t xml:space="preserve">6.4.2 DD+ JOC (Apple Music): Full Head Tracking, Discards Binaural Metadata</w:t>
      </w:r>
    </w:p>
    <w:p>
      <w:pPr>
        <w:pStyle w:val="FirstParagraph"/>
      </w:pPr>
      <w:r>
        <w:t xml:space="preserve">Apple Music uses DD+ JOC, in which spatial coding reduces 128 channels to 12 or 16 elements, encoded at 384–768 kbps</w:t>
      </w:r>
      <w:r>
        <w:t xml:space="preserve"> </w:t>
      </w:r>
      <w:fldSimple w:instr="NOTEREF _Ref_Footnote_41 \h \f">
        <w:r>
          <w:rPr>
            <w:vertAlign w:val="superscript"/>
          </w:rPr>
          <w:t>41</w:t>
        </w:r>
      </w:fldSimple>
      <w:r>
        <w:t xml:space="preserve">,</w:t>
      </w:r>
      <w:r>
        <w:t xml:space="preserve"> </w:t>
      </w:r>
      <w:fldSimple w:instr="NOTEREF _Ref_Footnote_68 \h \f">
        <w:r>
          <w:rPr>
            <w:vertAlign w:val="superscript"/>
          </w:rPr>
          <w:t>68</w:t>
        </w:r>
      </w:fldSimple>
      <w:r>
        <w:t xml:space="preserve">,</w:t>
      </w:r>
      <w:r>
        <w:t xml:space="preserve"> </w:t>
      </w:r>
      <w:r>
        <w:rPr>
          <w:vertAlign w:val="superscript"/>
        </w:rPr>
        <w:footnoteReference w:id="91"/>
      </w:r>
      <w:r>
        <w:t xml:space="preserve">. The Apple device decodes and renders binaural output using Apple’s engine</w:t>
      </w:r>
      <w:r>
        <w:t xml:space="preserve"> </w:t>
      </w:r>
      <w:fldSimple w:instr="NOTEREF _Ref_Footnote_54 \h \f">
        <w:r>
          <w:rPr>
            <w:vertAlign w:val="superscript"/>
          </w:rPr>
          <w:t>54</w:t>
        </w:r>
      </w:fldSimple>
      <w:r>
        <w:t xml:space="preserve">,</w:t>
      </w:r>
      <w:r>
        <w:t xml:space="preserve"> </w:t>
      </w:r>
      <w:fldSimple w:instr="NOTEREF _Ref_Footnote_11 \h \f">
        <w:r>
          <w:rPr>
            <w:vertAlign w:val="superscript"/>
          </w:rPr>
          <w:t>11</w:t>
        </w:r>
      </w:fldSimple>
      <w:r>
        <w:t xml:space="preserve">. The critical consequence:</w:t>
      </w:r>
      <w:r>
        <w:t xml:space="preserve"> </w:t>
      </w:r>
      <w:r>
        <w:rPr>
          <w:bCs/>
          <w:b/>
        </w:rPr>
        <w:t xml:space="preserve">Apple’s pipeline discards binaural render mode metadata</w:t>
      </w:r>
      <w:r>
        <w:t xml:space="preserve"> </w:t>
      </w:r>
      <w:r>
        <w:t xml:space="preserve">(Near/Mid/Far)</w:t>
      </w:r>
      <w:r>
        <w:t xml:space="preserve"> </w:t>
      </w:r>
      <w:fldSimple w:instr="NOTEREF _Ref_Footnote_61 \h \f">
        <w:r>
          <w:rPr>
            <w:vertAlign w:val="superscript"/>
          </w:rPr>
          <w:t>61</w:t>
        </w:r>
      </w:fldSimple>
      <w:r>
        <w:t xml:space="preserve">. Apple’s renderer makes its own spatial interpretation, so engineers cannot control the headphone presentation. No Apple Spatial Audio emulation exists during mixing; engineers must export an MP4, transfer to an iPhone, and audition through AirPods for every revision</w:t>
      </w:r>
      <w:r>
        <w:t xml:space="preserve"> </w:t>
      </w:r>
      <w:fldSimple w:instr="NOTEREF _Ref_Footnote_61 \h \f">
        <w:r>
          <w:rPr>
            <w:vertAlign w:val="superscript"/>
          </w:rPr>
          <w:t>61</w:t>
        </w:r>
      </w:fldSimple>
      <w:r>
        <w:t xml:space="preserve">.</w:t>
      </w:r>
    </w:p>
    <w:bookmarkEnd w:id="108"/>
    <w:bookmarkStart w:id="109" w:name="X457370046d3f6fffe39ff3f7912b9d7af7f9390"/>
    <w:p>
      <w:pPr>
        <w:pStyle w:val="Heading4"/>
      </w:pPr>
      <w:r>
        <w:t xml:space="preserve">6.4.3 Binaural Rendering Approaches Across Delivery Platforms</w:t>
      </w:r>
    </w:p>
    <w:p>
      <w:pPr>
        <w:pStyle w:val="FirstParagraph"/>
      </w:pPr>
      <w:r>
        <w:t xml:space="preserve">Parameter</w:t>
      </w:r>
    </w:p>
    <w:p>
      <w:pPr>
        <w:pStyle w:val="BodyText"/>
      </w:pPr>
      <w:r>
        <w:t xml:space="preserve">Dolby Renderer (Studio/AC-4 IMS)</w:t>
      </w:r>
    </w:p>
    <w:p>
      <w:pPr>
        <w:pStyle w:val="BodyText"/>
      </w:pPr>
      <w:r>
        <w:t xml:space="preserve">Apple Spatial Audio (DD+ JOC)</w:t>
      </w:r>
    </w:p>
    <w:p>
      <w:pPr>
        <w:pStyle w:val="BodyText"/>
      </w:pPr>
      <w:r>
        <w:t xml:space="preserve">Speaker Virtualization (Sound Bars)</w:t>
      </w:r>
    </w:p>
    <w:p>
      <w:pPr>
        <w:pStyle w:val="BodyText"/>
      </w:pPr>
      <w:r>
        <w:t xml:space="preserve">Binaural method</w:t>
      </w:r>
    </w:p>
    <w:p>
      <w:pPr>
        <w:pStyle w:val="BodyText"/>
      </w:pPr>
      <w:r>
        <w:t xml:space="preserve">~15% HRTF + 85% CMAP panning</w:t>
      </w:r>
      <w:r>
        <w:t xml:space="preserve"> </w:t>
      </w:r>
      <w:fldSimple w:instr="NOTEREF _Ref_Footnote_75 \h \f">
        <w:r>
          <w:rPr>
            <w:vertAlign w:val="superscript"/>
          </w:rPr>
          <w:t>75</w:t>
        </w:r>
      </w:fldSimple>
    </w:p>
    <w:p>
      <w:pPr>
        <w:pStyle w:val="BodyText"/>
      </w:pPr>
      <w:r>
        <w:t xml:space="preserve">Full HRTF with personalized profile</w:t>
      </w:r>
      <w:r>
        <w:t xml:space="preserve"> </w:t>
      </w:r>
      <w:fldSimple w:instr="NOTEREF _Ref_Footnote_80 \h \f">
        <w:r>
          <w:rPr>
            <w:vertAlign w:val="superscript"/>
          </w:rPr>
          <w:t>80</w:t>
        </w:r>
      </w:fldSimple>
    </w:p>
    <w:p>
      <w:pPr>
        <w:pStyle w:val="BodyText"/>
      </w:pPr>
      <w:r>
        <w:t xml:space="preserve">HRTF synthesis + crosstalk cancellation</w:t>
      </w:r>
      <w:r>
        <w:t xml:space="preserve"> </w:t>
      </w:r>
      <w:fldSimple w:instr="NOTEREF _Ref_Footnote_62 \h \f">
        <w:r>
          <w:rPr>
            <w:vertAlign w:val="superscript"/>
          </w:rPr>
          <w:t>62</w:t>
        </w:r>
      </w:fldSimple>
    </w:p>
    <w:p>
      <w:pPr>
        <w:pStyle w:val="BodyText"/>
      </w:pPr>
      <w:r>
        <w:t xml:space="preserve">Head tracking</w:t>
      </w:r>
    </w:p>
    <w:p>
      <w:pPr>
        <w:pStyle w:val="BodyText"/>
      </w:pPr>
      <w:r>
        <w:t xml:space="preserve">Not supported (static)</w:t>
      </w:r>
    </w:p>
    <w:p>
      <w:pPr>
        <w:pStyle w:val="BodyText"/>
      </w:pPr>
      <w:r>
        <w:t xml:space="preserve">~100 Hz update rate</w:t>
      </w:r>
      <w:r>
        <w:t xml:space="preserve"> </w:t>
      </w:r>
      <w:fldSimple w:instr="NOTEREF _Ref_Footnote_79 \h \f">
        <w:r>
          <w:rPr>
            <w:vertAlign w:val="superscript"/>
          </w:rPr>
          <w:t>79</w:t>
        </w:r>
      </w:fldSimple>
    </w:p>
    <w:p>
      <w:pPr>
        <w:pStyle w:val="BodyText"/>
      </w:pPr>
      <w:r>
        <w:t xml:space="preserve">Not supported</w:t>
      </w:r>
    </w:p>
    <w:p>
      <w:pPr>
        <w:pStyle w:val="BodyText"/>
      </w:pPr>
      <w:r>
        <w:t xml:space="preserve">Personalized HRTF</w:t>
      </w:r>
    </w:p>
    <w:p>
      <w:pPr>
        <w:pStyle w:val="BodyText"/>
      </w:pPr>
      <w:r>
        <w:t xml:space="preserve">Discontinued (July 2025)</w:t>
      </w:r>
      <w:r>
        <w:t xml:space="preserve"> </w:t>
      </w:r>
      <w:fldSimple w:instr="NOTEREF _Ref_Footnote_34 \h \f">
        <w:r>
          <w:rPr>
            <w:vertAlign w:val="superscript"/>
          </w:rPr>
          <w:t>34</w:t>
        </w:r>
      </w:fldSimple>
    </w:p>
    <w:p>
      <w:pPr>
        <w:pStyle w:val="BodyText"/>
      </w:pPr>
      <w:r>
        <w:t xml:space="preserve">TrueDepth camera scan</w:t>
      </w:r>
      <w:r>
        <w:t xml:space="preserve"> </w:t>
      </w:r>
      <w:fldSimple w:instr="NOTEREF _Ref_Footnote_80 \h \f">
        <w:r>
          <w:rPr>
            <w:vertAlign w:val="superscript"/>
          </w:rPr>
          <w:t>80</w:t>
        </w:r>
      </w:fldSimple>
    </w:p>
    <w:p>
      <w:pPr>
        <w:pStyle w:val="BodyText"/>
      </w:pPr>
      <w:r>
        <w:t xml:space="preserve">Generic only</w:t>
      </w:r>
    </w:p>
    <w:p>
      <w:pPr>
        <w:pStyle w:val="BodyText"/>
      </w:pPr>
      <w:r>
        <w:t xml:space="preserve">Binaural metadata</w:t>
      </w:r>
    </w:p>
    <w:p>
      <w:pPr>
        <w:pStyle w:val="BodyText"/>
      </w:pPr>
      <w:r>
        <w:t xml:space="preserve">Preserved</w:t>
      </w:r>
      <w:r>
        <w:t xml:space="preserve"> </w:t>
      </w:r>
      <w:fldSimple w:instr="NOTEREF _Ref_Footnote_89 \h \f">
        <w:r>
          <w:rPr>
            <w:vertAlign w:val="superscript"/>
          </w:rPr>
          <w:t>89</w:t>
        </w:r>
      </w:fldSimple>
    </w:p>
    <w:p>
      <w:pPr>
        <w:pStyle w:val="BodyText"/>
      </w:pPr>
      <w:r>
        <w:t xml:space="preserve">Discarded</w:t>
      </w:r>
      <w:r>
        <w:t xml:space="preserve"> </w:t>
      </w:r>
      <w:fldSimple w:instr="NOTEREF _Ref_Footnote_61 \h \f">
        <w:r>
          <w:rPr>
            <w:vertAlign w:val="superscript"/>
          </w:rPr>
          <w:t>61</w:t>
        </w:r>
      </w:fldSimple>
    </w:p>
    <w:p>
      <w:pPr>
        <w:pStyle w:val="BodyText"/>
      </w:pPr>
      <w:r>
        <w:t xml:space="preserve">N/A</w:t>
      </w:r>
    </w:p>
    <w:p>
      <w:pPr>
        <w:pStyle w:val="BodyText"/>
      </w:pPr>
      <w:r>
        <w:t xml:space="preserve">Bed rendering</w:t>
      </w:r>
    </w:p>
    <w:p>
      <w:pPr>
        <w:pStyle w:val="BodyText"/>
      </w:pPr>
      <w:r>
        <w:t xml:space="preserve">Amplitude panning to stereo</w:t>
      </w:r>
      <w:r>
        <w:t xml:space="preserve"> </w:t>
      </w:r>
      <w:fldSimple w:instr="NOTEREF _Ref_Footnote_75 \h \f">
        <w:r>
          <w:rPr>
            <w:vertAlign w:val="superscript"/>
          </w:rPr>
          <w:t>75</w:t>
        </w:r>
      </w:fldSimple>
    </w:p>
    <w:p>
      <w:pPr>
        <w:pStyle w:val="BodyText"/>
      </w:pPr>
      <w:r>
        <w:t xml:space="preserve">Virtual speaker downmix</w:t>
      </w:r>
      <w:r>
        <w:t xml:space="preserve"> </w:t>
      </w:r>
      <w:fldSimple w:instr="NOTEREF _Ref_Footnote_78 \h \f">
        <w:r>
          <w:rPr>
            <w:vertAlign w:val="superscript"/>
          </w:rPr>
          <w:t>78</w:t>
        </w:r>
      </w:fldSimple>
    </w:p>
    <w:p>
      <w:pPr>
        <w:pStyle w:val="BodyText"/>
      </w:pPr>
      <w:r>
        <w:t xml:space="preserve">Physical/virtual hybrid</w:t>
      </w:r>
    </w:p>
    <w:p>
      <w:pPr>
        <w:pStyle w:val="BodyText"/>
      </w:pPr>
      <w:r>
        <w:t xml:space="preserve">Codec/bitrate</w:t>
      </w:r>
    </w:p>
    <w:p>
      <w:pPr>
        <w:pStyle w:val="BodyText"/>
      </w:pPr>
      <w:r>
        <w:t xml:space="preserve">AC-4 IMS (64–256 kbps)</w:t>
      </w:r>
      <w:r>
        <w:t xml:space="preserve"> </w:t>
      </w:r>
      <w:fldSimple w:instr="NOTEREF _Ref_Footnote_86 \h \f">
        <w:r>
          <w:rPr>
            <w:vertAlign w:val="superscript"/>
          </w:rPr>
          <w:t>86</w:t>
        </w:r>
      </w:fldSimple>
    </w:p>
    <w:p>
      <w:pPr>
        <w:pStyle w:val="BodyText"/>
      </w:pPr>
      <w:r>
        <w:t xml:space="preserve">DD+ JOC (384–768 kbps)</w:t>
      </w:r>
      <w:r>
        <w:t xml:space="preserve"> </w:t>
      </w:r>
      <w:fldSimple w:instr="NOTEREF _Ref_Footnote_68 \h \f">
        <w:r>
          <w:rPr>
            <w:vertAlign w:val="superscript"/>
          </w:rPr>
          <w:t>68</w:t>
        </w:r>
      </w:fldSimple>
    </w:p>
    <w:p>
      <w:pPr>
        <w:pStyle w:val="BodyText"/>
      </w:pPr>
      <w:r>
        <w:t xml:space="preserve">DD+ JOC or AC-4</w:t>
      </w:r>
    </w:p>
    <w:p>
      <w:pPr>
        <w:pStyle w:val="BodyText"/>
      </w:pPr>
      <w:r>
        <w:t xml:space="preserve">Mixer control</w:t>
      </w:r>
    </w:p>
    <w:p>
      <w:pPr>
        <w:pStyle w:val="BodyText"/>
      </w:pPr>
      <w:r>
        <w:t xml:space="preserve">Yes (metadata respected)</w:t>
      </w:r>
    </w:p>
    <w:p>
      <w:pPr>
        <w:pStyle w:val="BodyText"/>
      </w:pPr>
      <w:r>
        <w:t xml:space="preserve">No (renderer overrides)</w:t>
      </w:r>
    </w:p>
    <w:p>
      <w:pPr>
        <w:pStyle w:val="BodyText"/>
      </w:pPr>
      <w:r>
        <w:t xml:space="preserve">Limited</w:t>
      </w:r>
    </w:p>
    <w:p>
      <w:pPr>
        <w:pStyle w:val="BodyText"/>
      </w:pPr>
      <w:r>
        <w:t xml:space="preserve">Representative services</w:t>
      </w:r>
    </w:p>
    <w:p>
      <w:pPr>
        <w:pStyle w:val="BodyText"/>
      </w:pPr>
      <w:r>
        <w:t xml:space="preserve">Tidal, Amazon Music</w:t>
      </w:r>
    </w:p>
    <w:p>
      <w:pPr>
        <w:pStyle w:val="BodyText"/>
      </w:pPr>
      <w:r>
        <w:t xml:space="preserve">Apple Music</w:t>
      </w:r>
    </w:p>
    <w:p>
      <w:pPr>
        <w:pStyle w:val="BodyText"/>
      </w:pPr>
      <w:r>
        <w:t xml:space="preserve">Netflix via Atmos sound bars</w:t>
      </w:r>
    </w:p>
    <w:p>
      <w:pPr>
        <w:pStyle w:val="BodyText"/>
      </w:pPr>
      <w:r>
        <w:t xml:space="preserve">The divergence between these paths creates a fundamental compatibility challenge. The Dolby renderer preserves binaural metadata but offers no head tracking and uses a minimal HRTF blend that approaches a sophisticated stereo panner. Apple Spatial Audio delivers the most technically advanced headphone experience — full personalized HRTF with real-time head tracking — but discards the mixer’s distance settings, making the headphone presentation unpredictable from the studio. Speaker virtualization occupies a middle ground using HRTF synthesis plus crosstalk cancellation, though its 20–30 dB cancellation performance is highly position-dependent</w:t>
      </w:r>
      <w:r>
        <w:t xml:space="preserve"> </w:t>
      </w:r>
      <w:fldSimple w:instr="NOTEREF _Ref_Footnote_84 \h \f">
        <w:r>
          <w:rPr>
            <w:vertAlign w:val="superscript"/>
          </w:rPr>
          <w:t>84</w:t>
        </w:r>
      </w:fldSimple>
      <w:r>
        <w:t xml:space="preserve">. Industry sources report that</w:t>
      </w:r>
      <w:r>
        <w:t xml:space="preserve"> </w:t>
      </w:r>
      <w:r>
        <w:t xml:space="preserve">“</w:t>
      </w:r>
      <w:r>
        <w:t xml:space="preserve">the Apple Spatial and Dolby Binaural renderers sound very different,</w:t>
      </w:r>
      <w:r>
        <w:t xml:space="preserve">”</w:t>
      </w:r>
      <w:r>
        <w:t xml:space="preserve"> </w:t>
      </w:r>
      <w:r>
        <w:t xml:space="preserve">making cross-platform mix translation a persistent challenge</w:t>
      </w:r>
      <w:r>
        <w:t xml:space="preserve"> </w:t>
      </w:r>
      <w:fldSimple w:instr="NOTEREF _Ref_Footnote_78 \h \f">
        <w:r>
          <w:rPr>
            <w:vertAlign w:val="superscript"/>
          </w:rPr>
          <w:t>78</w:t>
        </w:r>
      </w:fldSimple>
      <w:r>
        <w:t xml:space="preserve">,</w:t>
      </w:r>
      <w:r>
        <w:t xml:space="preserve"> </w:t>
      </w:r>
      <w:fldSimple w:instr="NOTEREF _Ref_Footnote_61 \h \f">
        <w:r>
          <w:rPr>
            <w:vertAlign w:val="superscript"/>
          </w:rPr>
          <w:t>61</w:t>
        </w:r>
      </w:fldSimple>
      <w:r>
        <w:t xml:space="preserve">. The Apple renderer tends to emphasize reverb tails and ambient elements compared to the Dolby renderer’s drier presentation</w:t>
      </w:r>
      <w:r>
        <w:t xml:space="preserve"> </w:t>
      </w:r>
      <w:r>
        <w:rPr>
          <w:vertAlign w:val="superscript"/>
        </w:rPr>
        <w:footnoteReference w:id="92"/>
      </w:r>
      <w:r>
        <w:t xml:space="preserve">. For engineers, practical headphone monitoring must span multiple renderers to achieve acceptable translation across the delivery ecosystem.</w:t>
      </w:r>
    </w:p>
    <w:p>
      <w:r>
        <w:pict>
          <v:rect style="width:0;height:1.5pt" o:hralign="center" o:hrstd="t" o:hr="t"/>
        </w:pict>
      </w:r>
    </w:p>
    <w:bookmarkEnd w:id="109"/>
    <w:bookmarkEnd w:id="110"/>
    <w:bookmarkEnd w:id="111"/>
    <w:bookmarkStart w:id="144" w:name="Xfeffc63d148c0eac2abc58bc5b89f0fafe063bf"/>
    <w:p>
      <w:pPr>
        <w:pStyle w:val="Heading2"/>
      </w:pPr>
      <w:r>
        <w:t xml:space="preserve">7. The Sonic Sphere Renderer: Full-Sphere Extension</w:t>
      </w:r>
    </w:p>
    <w:p>
      <w:pPr>
        <w:pStyle w:val="FirstParagraph"/>
      </w:pPr>
      <w:r>
        <w:t xml:space="preserve">The preceding chapters examined Dolby Atmos as it exists: a hemispherical system in which every bed channel, object, and loudspeaker resides at or above the listener’s horizontal plane. This chapter proposes the Sonic Sphere renderer — a theoretical extension enabling full-sphere audio reproduction using the same object-based architecture. The technical barriers are neither algorithmic (VBAP naturally supports below-horizon triplets) nor representational (HOA encodes the full sphere natively), but architectural: the Atmos specification defines no speakers below the floor.</w:t>
      </w:r>
    </w:p>
    <w:bookmarkStart w:id="115" w:name="the-hemispherical-limitation-of-atmos"/>
    <w:p>
      <w:pPr>
        <w:pStyle w:val="Heading3"/>
      </w:pPr>
      <w:r>
        <w:t xml:space="preserve">7.1 The Hemispherical Limitation of Atmos</w:t>
      </w:r>
    </w:p>
    <w:bookmarkStart w:id="112" w:name="elevation-constraint-z-0"/>
    <w:p>
      <w:pPr>
        <w:pStyle w:val="Heading4"/>
      </w:pPr>
      <w:r>
        <w:t xml:space="preserve">7.1.1 Elevation Constraint: Z ≥ 0</w:t>
      </w:r>
    </w:p>
    <w:p>
      <w:pPr>
        <w:pStyle w:val="FirstParagraph"/>
      </w:pPr>
      <w:r>
        <w:t xml:space="preserve">Dolby Atmos restricts all bed channels and object positions to the upper hemisphere. The standard bed is 7.1.2 (seven listener-level channels, one LFE, two height channels), and even the most expansive consumer layout (24.1.10) adds only more overhead speakers, never below-horizon channels</w:t>
      </w:r>
      <w:r>
        <w:t xml:space="preserve"> </w:t>
      </w:r>
      <w:fldSimple w:instr="NOTEREF _Ref_Footnote_42 \h \f">
        <w:r>
          <w:rPr>
            <w:vertAlign w:val="superscript"/>
          </w:rPr>
          <w:t>42</w:t>
        </w:r>
      </w:fldSimple>
      <w:r>
        <w:t xml:space="preserve">. Object positions use normalized Cartesian coordinates where Z = 0 is the listener plane and Z = 1 is directly overhead; Z is never negative in practice because no reproduction infrastructure exists for it</w:t>
      </w:r>
      <w:r>
        <w:t xml:space="preserve"> </w:t>
      </w:r>
      <w:fldSimple w:instr="NOTEREF _Ref_Footnote_45 \h \f">
        <w:r>
          <w:rPr>
            <w:vertAlign w:val="superscript"/>
          </w:rPr>
          <w:t>45</w:t>
        </w:r>
      </w:fldSimple>
      <w:r>
        <w:t xml:space="preserve">. SMPTE ST 2098-1 codifies this: while the coordinate cube theoretically permits Z &lt; 0, the minimum rendering requirement spans only from the Z-axis midpoint to the top of the cube</w:t>
      </w:r>
      <w:r>
        <w:t xml:space="preserve"> </w:t>
      </w:r>
      <w:r>
        <w:rPr>
          <w:vertAlign w:val="superscript"/>
        </w:rPr>
        <w:footnoteReference w:id="93"/>
      </w:r>
      <w:r>
        <w:t xml:space="preserve">.</w:t>
      </w:r>
    </w:p>
    <w:bookmarkEnd w:id="112"/>
    <w:bookmarkStart w:id="113" w:name="X5df02c44648ceaf17c0b8b298e3d6958e57f879"/>
    <w:p>
      <w:pPr>
        <w:pStyle w:val="Heading4"/>
      </w:pPr>
      <w:r>
        <w:t xml:space="preserve">7.1.2 Root Cause: No Standardized Below-Horizon Speakers</w:t>
      </w:r>
    </w:p>
    <w:p>
      <w:pPr>
        <w:pStyle w:val="FirstParagraph"/>
      </w:pPr>
      <w:r>
        <w:t xml:space="preserve">The constraint is configurational, not mathematical. No Atmos specification — home theater, cinema, or professional — includes a loudspeaker below the horizontal plane. Home theater guidelines specify overhead speakers at +45° elevation (adjustable +30° to +55°)</w:t>
      </w:r>
      <w:r>
        <w:t xml:space="preserve"> </w:t>
      </w:r>
      <w:fldSimple w:instr="NOTEREF _Ref_Footnote_42 \h \f">
        <w:r>
          <w:rPr>
            <w:vertAlign w:val="superscript"/>
          </w:rPr>
          <w:t>42</w:t>
        </w:r>
      </w:fldSimple>
      <w:r>
        <w:t xml:space="preserve">; cinema top surrounds must be at ≥ 45° + (E ÷ 2)</w:t>
      </w:r>
      <w:r>
        <w:t xml:space="preserve"> </w:t>
      </w:r>
      <w:fldSimple w:instr="NOTEREF _Ref_Footnote_43 \h \f">
        <w:r>
          <w:rPr>
            <w:vertAlign w:val="superscript"/>
          </w:rPr>
          <w:t>43</w:t>
        </w:r>
      </w:fldSimple>
      <w:r>
        <w:t xml:space="preserve">. Without physical transducers in the lower half-space, the renderer has no destination for below-horizon content.</w:t>
      </w:r>
    </w:p>
    <w:p>
      <w:pPr>
        <w:pStyle w:val="BodyText"/>
      </w:pPr>
      <w:r>
        <w:t xml:space="preserve">This contrasts sharply with ITU-R BS.2051 System H (the NHK 22.2 multichannel system), which defines three bottom-layer channels — BtFL, BtFC, BtFR — at −15° to −30° elevation, positioned explicitly below the listener’s ear height</w:t>
      </w:r>
      <w:r>
        <w:t xml:space="preserve"> </w:t>
      </w:r>
      <w:fldSimple w:instr="NOTEREF _Ref_Footnote_53 \h \f">
        <w:r>
          <w:rPr>
            <w:vertAlign w:val="superscript"/>
          </w:rPr>
          <w:t>53</w:t>
        </w:r>
      </w:fldSimple>
      <w:r>
        <w:t xml:space="preserve"> </w:t>
      </w:r>
      <w:r>
        <w:rPr>
          <w:vertAlign w:val="superscript"/>
        </w:rPr>
        <w:footnoteReference w:id="94"/>
      </w:r>
      <w:r>
        <w:t xml:space="preserve">. NHK 22.2 was deployed for 8K Super Hi-Vision broadcasts of the 2012 London Olympics, establishing that full-sphere audio is production-proven</w:t>
      </w:r>
      <w:r>
        <w:t xml:space="preserve"> </w:t>
      </w:r>
      <w:fldSimple w:instr="NOTEREF _Ref_Footnote_71 \h \f">
        <w:r>
          <w:rPr>
            <w:vertAlign w:val="superscript"/>
          </w:rPr>
          <w:t>71</w:t>
        </w:r>
      </w:fldSimple>
      <w:r>
        <w:t xml:space="preserve">.</w:t>
      </w:r>
    </w:p>
    <w:bookmarkEnd w:id="113"/>
    <w:bookmarkStart w:id="114" w:name="the-perceptual-asymmetry-of-the-pinna"/>
    <w:p>
      <w:pPr>
        <w:pStyle w:val="Heading4"/>
      </w:pPr>
      <w:r>
        <w:t xml:space="preserve">7.1.3 The Perceptual Asymmetry of the Pinna</w:t>
      </w:r>
    </w:p>
    <w:p>
      <w:pPr>
        <w:pStyle w:val="FirstParagraph"/>
      </w:pPr>
      <w:r>
        <w:t xml:space="preserve">The elevation gap coincides with a genuine perceptual asymmetry. Human elevation localization depends on spectral cues introduced by the pinna (outer ear), which creates direction-dependent notches and peaks above approximately 4–7 kHz</w:t>
      </w:r>
      <w:r>
        <w:t xml:space="preserve"> </w:t>
      </w:r>
      <w:fldSimple w:instr="NOTEREF _Ref_Footnote_57 \h \f">
        <w:r>
          <w:rPr>
            <w:vertAlign w:val="superscript"/>
          </w:rPr>
          <w:t>57</w:t>
        </w:r>
      </w:fldSimple>
      <w:r>
        <w:t xml:space="preserve">. These pinna spectral notches are effective for the upper hemisphere but substantially weaker below the horizontal plane. Research by Middlebrooks (1992) established that below-horizon localization accuracy degrades significantly, with front-back confusion rates reaching 50% or higher for sources on the cone of confusion — the conical region where identical ITDs and ILDs render azimuth ambiguous</w:t>
      </w:r>
      <w:r>
        <w:t xml:space="preserve"> </w:t>
      </w:r>
      <w:fldSimple w:instr="NOTEREF _Ref_Footnote_75 \h \f">
        <w:r>
          <w:rPr>
            <w:vertAlign w:val="superscript"/>
          </w:rPr>
          <w:t>75</w:t>
        </w:r>
      </w:fldSimple>
      <w:r>
        <w:t xml:space="preserve"> </w:t>
      </w:r>
      <w:fldSimple w:instr="NOTEREF _Ref_Footnote_37 \h \f">
        <w:r>
          <w:rPr>
            <w:vertAlign w:val="superscript"/>
          </w:rPr>
          <w:t>37</w:t>
        </w:r>
      </w:fldSimple>
      <w:r>
        <w:t xml:space="preserve">. Below the horizon, the pinna’s filtering becomes symmetric with its above-horizon counterpart: a source at −30° produces spectral cues similar to one at +30°, and discrimination requires head movement</w:t>
      </w:r>
      <w:r>
        <w:t xml:space="preserve"> </w:t>
      </w:r>
      <w:fldSimple w:instr="NOTEREF _Ref_Footnote_57 \h \f">
        <w:r>
          <w:rPr>
            <w:vertAlign w:val="superscript"/>
          </w:rPr>
          <w:t>57</w:t>
        </w:r>
      </w:fldSimple>
      <w:r>
        <w:t xml:space="preserve">. This limitation defines the appropriate content strategy for floor channels rather than invalidating them.</w:t>
      </w:r>
    </w:p>
    <w:bookmarkEnd w:id="114"/>
    <w:bookmarkEnd w:id="115"/>
    <w:bookmarkStart w:id="119" w:name="X502ee9bde45f6e1654d4f39f08c067252d8a80d"/>
    <w:p>
      <w:pPr>
        <w:pStyle w:val="Heading3"/>
      </w:pPr>
      <w:r>
        <w:t xml:space="preserve">7.2 Extending the Object Model to Negative Elevation</w:t>
      </w:r>
    </w:p>
    <w:bookmarkStart w:id="116" w:name="Xf2005e328563a5b695e26a6bf59ca9e6a04c424"/>
    <w:p>
      <w:pPr>
        <w:pStyle w:val="Heading4"/>
      </w:pPr>
      <w:r>
        <w:t xml:space="preserve">7.2.1 Coordinate System Extension: Z from [0, 1] to [−1, 1]</w:t>
      </w:r>
    </w:p>
    <w:p>
      <w:pPr>
        <w:pStyle w:val="FirstParagraph"/>
      </w:pPr>
      <w:r>
        <w:t xml:space="preserve">The Sonic Sphere extension requires a single coordinate change: allowing Z to range from −1 to +1. In the extended frame, Z = +1 is zenith (directly overhead), Z = 0 is the listener-level horizontal plane, and Z = −1 is nadir (directly below). X and Y remain unchanged at [−1, 1]. The spherical coordinate mapping follows the ISO Ambisonics convention: azimuth θ = 0° at front, increasing counterclockwise; elevation φ = 0° at the horizontal plane, +90° at zenith, −90° at nadir</w:t>
      </w:r>
      <w:r>
        <w:t xml:space="preserve"> </w:t>
      </w:r>
      <w:r>
        <w:rPr>
          <w:vertAlign w:val="superscript"/>
        </w:rPr>
        <w:footnoteReference w:id="95"/>
      </w:r>
      <w:r>
        <w:t xml:space="preserve">. Cartesian-to-spherical conversion follows:</w:t>
      </w:r>
    </w:p>
    <w:p>
      <w:pPr>
        <w:pStyle w:val="BodyText"/>
      </w:pPr>
      <m:oMathPara>
        <m:oMathParaPr>
          <m:jc m:val="center"/>
        </m:oMathParaPr>
        <m:oMath>
          <m:r>
            <m:t>θ</m:t>
          </m:r>
          <m:r>
            <m:rPr>
              <m:sty m:val="p"/>
            </m:rPr>
            <m:t>=</m:t>
          </m:r>
          <m:r>
            <m:rPr>
              <m:sty m:val="p"/>
            </m:rPr>
            <m:t>arctan</m:t>
          </m:r>
          <m:r>
            <m:t>2</m:t>
          </m:r>
          <m:d>
            <m:dPr>
              <m:begChr m:val="("/>
              <m:endChr m:val=")"/>
              <m:sepChr m:val=""/>
              <m:grow/>
            </m:dPr>
            <m:e>
              <m:r>
                <m:t>Y</m:t>
              </m:r>
              <m:r>
                <m:rPr>
                  <m:sty m:val="p"/>
                </m:rPr>
                <m:t>,</m:t>
              </m:r>
              <m:r>
                <m:t>X</m:t>
              </m:r>
            </m:e>
          </m:d>
          <m:r>
            <m:rPr>
              <m:sty m:val="p"/>
            </m:rPr>
            <m:t>,</m:t>
          </m:r>
          <m:r>
            <m:t> </m:t>
          </m:r>
          <m:r>
            <m:t>ϕ</m:t>
          </m:r>
          <m:r>
            <m:rPr>
              <m:sty m:val="p"/>
            </m:rPr>
            <m:t>=</m:t>
          </m:r>
          <m:r>
            <m:rPr>
              <m:sty m:val="p"/>
            </m:rPr>
            <m:t>arcsin</m:t>
          </m:r>
          <m:d>
            <m:dPr>
              <m:begChr m:val="("/>
              <m:endChr m:val=")"/>
              <m:sepChr m:val=""/>
              <m:grow/>
            </m:dPr>
            <m:e>
              <m:r>
                <m:t>Z</m:t>
              </m:r>
              <m:r>
                <m:rPr>
                  <m:sty m:val="p"/>
                </m:rPr>
                <m:t>/</m:t>
              </m:r>
              <m:r>
                <m:t>r</m:t>
              </m:r>
            </m:e>
          </m:d>
          <m:r>
            <m:t> </m:t>
          </m:r>
          <m:r>
            <m:rPr>
              <m:nor/>
              <m:sty m:val="p"/>
            </m:rPr>
            <m:t>where</m:t>
          </m:r>
          <m:r>
            <m:t> </m:t>
          </m:r>
          <m:r>
            <m:t>r</m:t>
          </m:r>
          <m:r>
            <m:rPr>
              <m:sty m:val="p"/>
            </m:rPr>
            <m:t>=</m:t>
          </m:r>
          <m:rad>
            <m:radPr>
              <m:degHide m:val="1"/>
            </m:radPr>
            <m:deg/>
            <m:e>
              <m:sSup>
                <m:e>
                  <m:r>
                    <m:t>X</m:t>
                  </m:r>
                </m:e>
                <m:sup>
                  <m:r>
                    <m:t>2</m:t>
                  </m:r>
                </m:sup>
              </m:sSup>
              <m:r>
                <m:rPr>
                  <m:sty m:val="p"/>
                </m:rPr>
                <m:t>+</m:t>
              </m:r>
              <m:sSup>
                <m:e>
                  <m:r>
                    <m:t>Y</m:t>
                  </m:r>
                </m:e>
                <m:sup>
                  <m:r>
                    <m:t>2</m:t>
                  </m:r>
                </m:sup>
              </m:sSup>
              <m:r>
                <m:rPr>
                  <m:sty m:val="p"/>
                </m:rPr>
                <m:t>+</m:t>
              </m:r>
              <m:sSup>
                <m:e>
                  <m:r>
                    <m:t>Z</m:t>
                  </m:r>
                </m:e>
                <m:sup>
                  <m:r>
                    <m:t>2</m:t>
                  </m:r>
                </m:sup>
              </m:sSup>
            </m:e>
          </m:rad>
        </m:oMath>
      </m:oMathPara>
    </w:p>
    <w:bookmarkEnd w:id="116"/>
    <w:bookmarkStart w:id="117" w:name="oamd-metadata-modification"/>
    <w:p>
      <w:pPr>
        <w:pStyle w:val="Heading4"/>
      </w:pPr>
      <w:r>
        <w:t xml:space="preserve">7.2.2 OAMD Metadata Modification</w:t>
      </w:r>
    </w:p>
    <w:p>
      <w:pPr>
        <w:pStyle w:val="FirstParagraph"/>
      </w:pPr>
      <w:r>
        <w:t xml:space="preserve">Object Audio Metadata in SMPTE ST 2098-1 stores positional data as normalized Cartesian triplets. The Sonic Sphere extension requires no structural bitstream change — only a semantic expansion of the Z-field interpretation. Content with Z ≥ 0 renders identically on both legacy Atmos and Sonic Sphere systems</w:t>
      </w:r>
      <w:r>
        <w:t xml:space="preserve"> </w:t>
      </w:r>
      <w:fldSimple w:instr="NOTEREF _Ref_Footnote_13 \h \f">
        <w:r>
          <w:rPr>
            <w:vertAlign w:val="superscript"/>
          </w:rPr>
          <w:t>13</w:t>
        </w:r>
      </w:fldSimple>
      <w:r>
        <w:t xml:space="preserve">. On legacy systems, Z &lt; 0 content is handled via horizon-clipping (mapping Z &lt; 0 to Z = 0) or energy redistribution to the horizontal plane. ITU-R BS.2076-3 already supports this range natively: its position metadata accepts elevation from −90° to +90°</w:t>
      </w:r>
      <w:r>
        <w:t xml:space="preserve"> </w:t>
      </w:r>
      <w:r>
        <w:rPr>
          <w:vertAlign w:val="superscript"/>
        </w:rPr>
        <w:footnoteReference w:id="96"/>
      </w:r>
      <w:r>
        <w:t xml:space="preserve">.</w:t>
      </w:r>
    </w:p>
    <w:bookmarkEnd w:id="117"/>
    <w:bookmarkStart w:id="118" w:name="Xf4ff714129b302cc04f046f282ea764e024997c"/>
    <w:p>
      <w:pPr>
        <w:pStyle w:val="Heading4"/>
      </w:pPr>
      <w:r>
        <w:t xml:space="preserve">7.2.3 Rendering Implication: VBAP Works Unchanged</w:t>
      </w:r>
    </w:p>
    <w:p>
      <w:pPr>
        <w:pStyle w:val="FirstParagraph"/>
      </w:pPr>
      <w:r>
        <w:t xml:space="preserve">The critical insight, developed in Section 7.4, is that the VBAP gain calculation</w:t>
      </w:r>
      <w:r>
        <w:t xml:space="preserve"> </w:t>
      </w:r>
      <m:oMath>
        <m:r>
          <m:rPr>
            <m:sty m:val="b"/>
          </m:rPr>
          <m:t>g</m:t>
        </m:r>
        <m:r>
          <m:rPr>
            <m:sty m:val="p"/>
          </m:rPr>
          <m:t>=</m:t>
        </m:r>
        <m:sSup>
          <m:e>
            <m:r>
              <m:rPr>
                <m:sty m:val="b"/>
              </m:rPr>
              <m:t>L</m:t>
            </m:r>
          </m:e>
          <m:sup>
            <m:r>
              <m:rPr>
                <m:sty m:val="p"/>
              </m:rPr>
              <m:t>−</m:t>
            </m:r>
            <m:r>
              <m:t>1</m:t>
            </m:r>
          </m:sup>
        </m:sSup>
        <m:r>
          <m:rPr>
            <m:sty m:val="p"/>
          </m:rPr>
          <m:t>⋅</m:t>
        </m:r>
        <m:r>
          <m:rPr>
            <m:sty m:val="b"/>
          </m:rPr>
          <m:t>p</m:t>
        </m:r>
      </m:oMath>
      <w:r>
        <w:t xml:space="preserve"> </w:t>
      </w:r>
      <w:r>
        <w:t xml:space="preserve">is direction-agnostic. It finds the three closest loudspeakers to any direction vector — including below the horizon — and computes barycentric gains. When floor speakers exist, triplet selection naturally includes them.</w:t>
      </w:r>
    </w:p>
    <w:bookmarkEnd w:id="118"/>
    <w:bookmarkEnd w:id="119"/>
    <w:bookmarkStart w:id="124" w:name="full-sphere-speaker-array-geometries"/>
    <w:p>
      <w:pPr>
        <w:pStyle w:val="Heading3"/>
      </w:pPr>
      <w:r>
        <w:t xml:space="preserve">7.3 Full-Sphere Speaker Array Geometries</w:t>
      </w:r>
    </w:p>
    <w:bookmarkStart w:id="120" w:name="platonic-solids-as-ideal-arrays"/>
    <w:p>
      <w:pPr>
        <w:pStyle w:val="Heading4"/>
      </w:pPr>
      <w:r>
        <w:t xml:space="preserve">7.3.1 Platonic Solids as Ideal Arrays</w:t>
      </w:r>
    </w:p>
    <w:p>
      <w:pPr>
        <w:pStyle w:val="FirstParagraph"/>
      </w:pPr>
      <w:r>
        <w:t xml:space="preserve">The five Platonic solids provide the only perfectly regular point arrangements on a sphere, making them theoretically ideal for full-sphere Ambisonics decoding</w:t>
      </w:r>
      <w:r>
        <w:t xml:space="preserve"> </w:t>
      </w:r>
      <w:fldSimple w:instr="NOTEREF _Ref_Footnote_9 \h \f">
        <w:r>
          <w:rPr>
            <w:vertAlign w:val="superscript"/>
          </w:rPr>
          <w:t>9</w:t>
        </w:r>
      </w:fldSimple>
      <w:r>
        <w:t xml:space="preserve">:</w:t>
      </w:r>
    </w:p>
    <w:tbl>
      <w:tblPr>
        <w:tblStyle w:val="Table"/>
        <w:tblW w:type="pct" w:w="5000"/>
        <w:tblLook w:firstRow="1" w:lastRow="0" w:firstColumn="0" w:lastColumn="0" w:noHBand="0" w:noVBand="0" w:val="0020"/>
      </w:tblPr>
      <w:tblGrid>
        <w:gridCol w:w="2084"/>
        <w:gridCol w:w="2084"/>
        <w:gridCol w:w="2084"/>
        <w:gridCol w:w="1667"/>
      </w:tblGrid>
      <w:tr>
        <w:trPr>
          <w:tblHeader w:val="true"/>
        </w:trPr>
        <w:tc>
          <w:tcPr/>
          <w:p>
            <w:pPr>
              <w:pStyle w:val="Compact"/>
              <w:jc w:val="center"/>
            </w:pPr>
            <w:r>
              <w:t xml:space="preserve">Polyhedron</w:t>
            </w:r>
          </w:p>
        </w:tc>
        <w:tc>
          <w:tcPr/>
          <w:p>
            <w:pPr>
              <w:pStyle w:val="Compact"/>
              <w:jc w:val="center"/>
            </w:pPr>
            <w:r>
              <w:t xml:space="preserve">Speakers</w:t>
            </w:r>
          </w:p>
        </w:tc>
        <w:tc>
          <w:tcPr/>
          <w:p>
            <w:pPr>
              <w:pStyle w:val="Compact"/>
              <w:jc w:val="center"/>
            </w:pPr>
            <w:r>
              <w:t xml:space="preserve">Max HOA Order</w:t>
            </w:r>
          </w:p>
        </w:tc>
        <w:tc>
          <w:tcPr/>
          <w:p>
            <w:pPr>
              <w:pStyle w:val="Compact"/>
              <w:jc w:val="left"/>
            </w:pPr>
            <w:r>
              <w:t xml:space="preserve">Properties</w:t>
            </w:r>
          </w:p>
        </w:tc>
      </w:tr>
      <w:tr>
        <w:tc>
          <w:tcPr/>
          <w:p>
            <w:pPr>
              <w:pStyle w:val="Compact"/>
              <w:jc w:val="center"/>
            </w:pPr>
            <w:r>
              <w:t xml:space="preserve">Tetrahedron</w:t>
            </w:r>
          </w:p>
        </w:tc>
        <w:tc>
          <w:tcPr/>
          <w:p>
            <w:pPr>
              <w:pStyle w:val="Compact"/>
              <w:jc w:val="center"/>
            </w:pPr>
            <w:r>
              <w:t xml:space="preserve">4</w:t>
            </w:r>
          </w:p>
        </w:tc>
        <w:tc>
          <w:tcPr/>
          <w:p>
            <w:pPr>
              <w:pStyle w:val="Compact"/>
              <w:jc w:val="center"/>
            </w:pPr>
            <w:r>
              <w:t xml:space="preserve">1st</w:t>
            </w:r>
          </w:p>
        </w:tc>
        <w:tc>
          <w:tcPr/>
          <w:p>
            <w:pPr>
              <w:pStyle w:val="Compact"/>
              <w:jc w:val="left"/>
            </w:pPr>
            <w:r>
              <w:t xml:space="preserve">Minimal viable full-sphere array</w:t>
            </w:r>
          </w:p>
        </w:tc>
      </w:tr>
      <w:tr>
        <w:tc>
          <w:tcPr/>
          <w:p>
            <w:pPr>
              <w:pStyle w:val="Compact"/>
              <w:jc w:val="center"/>
            </w:pPr>
            <w:r>
              <w:t xml:space="preserve">Octahedron</w:t>
            </w:r>
          </w:p>
        </w:tc>
        <w:tc>
          <w:tcPr/>
          <w:p>
            <w:pPr>
              <w:pStyle w:val="Compact"/>
              <w:jc w:val="center"/>
            </w:pPr>
            <w:r>
              <w:t xml:space="preserve">6</w:t>
            </w:r>
          </w:p>
        </w:tc>
        <w:tc>
          <w:tcPr/>
          <w:p>
            <w:pPr>
              <w:pStyle w:val="Compact"/>
              <w:jc w:val="center"/>
            </w:pPr>
            <w:r>
              <w:t xml:space="preserve">1st</w:t>
            </w:r>
          </w:p>
        </w:tc>
        <w:tc>
          <w:tcPr/>
          <w:p>
            <w:pPr>
              <w:pStyle w:val="Compact"/>
              <w:jc w:val="left"/>
            </w:pPr>
            <w:r>
              <w:t xml:space="preserve">Best 1st-order symmetry; natural XYZ alignment</w:t>
            </w:r>
          </w:p>
        </w:tc>
      </w:tr>
      <w:tr>
        <w:tc>
          <w:tcPr/>
          <w:p>
            <w:pPr>
              <w:pStyle w:val="Compact"/>
              <w:jc w:val="center"/>
            </w:pPr>
            <w:r>
              <w:t xml:space="preserve">Dodecahedron</w:t>
            </w:r>
          </w:p>
        </w:tc>
        <w:tc>
          <w:tcPr/>
          <w:p>
            <w:pPr>
              <w:pStyle w:val="Compact"/>
              <w:jc w:val="center"/>
            </w:pPr>
            <w:r>
              <w:t xml:space="preserve">12</w:t>
            </w:r>
          </w:p>
        </w:tc>
        <w:tc>
          <w:tcPr/>
          <w:p>
            <w:pPr>
              <w:pStyle w:val="Compact"/>
              <w:jc w:val="center"/>
            </w:pPr>
            <w:r>
              <w:t xml:space="preserve">2nd</w:t>
            </w:r>
          </w:p>
        </w:tc>
        <w:tc>
          <w:tcPr/>
          <w:p>
            <w:pPr>
              <w:pStyle w:val="Compact"/>
              <w:jc w:val="left"/>
            </w:pPr>
            <w:r>
              <w:t xml:space="preserve">Balanced surface area per speaker</w:t>
            </w:r>
          </w:p>
        </w:tc>
      </w:tr>
      <w:tr>
        <w:tc>
          <w:tcPr/>
          <w:p>
            <w:pPr>
              <w:pStyle w:val="Compact"/>
              <w:jc w:val="center"/>
            </w:pPr>
            <w:r>
              <w:t xml:space="preserve">Icosahedron</w:t>
            </w:r>
          </w:p>
        </w:tc>
        <w:tc>
          <w:tcPr/>
          <w:p>
            <w:pPr>
              <w:pStyle w:val="Compact"/>
              <w:jc w:val="center"/>
            </w:pPr>
            <w:r>
              <w:t xml:space="preserve">20</w:t>
            </w:r>
          </w:p>
        </w:tc>
        <w:tc>
          <w:tcPr/>
          <w:p>
            <w:pPr>
              <w:pStyle w:val="Compact"/>
              <w:jc w:val="center"/>
            </w:pPr>
            <w:r>
              <w:t xml:space="preserve">3rd</w:t>
            </w:r>
          </w:p>
        </w:tc>
        <w:tc>
          <w:tcPr/>
          <w:p>
            <w:pPr>
              <w:pStyle w:val="Compact"/>
              <w:jc w:val="left"/>
            </w:pPr>
            <w:r>
              <w:t xml:space="preserve">Highest regular resolution for moderate channel count</w:t>
            </w:r>
          </w:p>
        </w:tc>
      </w:tr>
    </w:tbl>
    <w:p>
      <w:pPr>
        <w:pStyle w:val="BodyText"/>
      </w:pPr>
      <w:r>
        <w:t xml:space="preserve">The octahedron’s six vertices correspond to the ±X, ±Y, ±Z cardinal directions — the natural reference geometry for full-sphere audio. The IEM at Graz constructed an icosahedral array with 20 independent drivers for spherical harmonic reproduction</w:t>
      </w:r>
      <w:r>
        <w:t xml:space="preserve"> </w:t>
      </w:r>
      <w:fldSimple w:instr="NOTEREF _Ref_Footnote_47 \h \f">
        <w:r>
          <w:rPr>
            <w:vertAlign w:val="superscript"/>
          </w:rPr>
          <w:t>47</w:t>
        </w:r>
      </w:fldSimple>
      <w:r>
        <w:t xml:space="preserve">; Meyer Sound Laboratories built a 120-element geodesic sphere capable of HOA up to order 8</w:t>
      </w:r>
      <w:r>
        <w:t xml:space="preserve"> </w:t>
      </w:r>
      <w:fldSimple w:instr="NOTEREF _Ref_Footnote_12 \h \f">
        <w:r>
          <w:rPr>
            <w:vertAlign w:val="superscript"/>
          </w:rPr>
          <w:t>12</w:t>
        </w:r>
      </w:fldSimple>
      <w:r>
        <w:t xml:space="preserve">. Recent research (the</w:t>
      </w:r>
      <w:r>
        <w:t xml:space="preserve"> </w:t>
      </w:r>
      <w:r>
        <w:t xml:space="preserve">“</w:t>
      </w:r>
      <w:r>
        <w:t xml:space="preserve">AudioDome</w:t>
      </w:r>
      <w:r>
        <w:t xml:space="preserve">”</w:t>
      </w:r>
      <w:r>
        <w:t xml:space="preserve"> </w:t>
      </w:r>
      <w:r>
        <w:t xml:space="preserve">at Western University) achieved ninth-order Ambisonic panning with 91 loudspeakers — spatial resolution at or above human perceptual limits</w:t>
      </w:r>
      <w:r>
        <w:t xml:space="preserve"> </w:t>
      </w:r>
      <w:r>
        <w:rPr>
          <w:vertAlign w:val="superscript"/>
        </w:rPr>
        <w:footnoteReference w:id="97"/>
      </w:r>
      <w:r>
        <w:t xml:space="preserve">.</w:t>
      </w:r>
    </w:p>
    <w:bookmarkEnd w:id="120"/>
    <w:bookmarkStart w:id="121" w:name="X1bdf81d1f01c8759702be7e1dd74fcc5fbdc9e5"/>
    <w:p>
      <w:pPr>
        <w:pStyle w:val="Heading4"/>
      </w:pPr>
      <w:r>
        <w:t xml:space="preserve">7.3.2 The NHK 22.2 Precedent: ITU-R BS.2051 System H</w:t>
      </w:r>
    </w:p>
    <w:p>
      <w:pPr>
        <w:pStyle w:val="FirstParagraph"/>
      </w:pPr>
      <w:r>
        <w:t xml:space="preserve">NHK 22.2 (ITU-R BS.2051 System H, configuration 9+10+3) is the only internationally standardized format with dedicated below-horizon speakers</w:t>
      </w:r>
      <w:r>
        <w:t xml:space="preserve"> </w:t>
      </w:r>
      <w:fldSimple w:instr="NOTEREF _Ref_Footnote_53 \h \f">
        <w:r>
          <w:rPr>
            <w:vertAlign w:val="superscript"/>
          </w:rPr>
          <w:t>53</w:t>
        </w:r>
      </w:fldSimple>
      <w:r>
        <w:t xml:space="preserve"> </w:t>
      </w:r>
      <w:r>
        <w:rPr>
          <w:vertAlign w:val="superscript"/>
        </w:rPr>
        <w:footnoteReference w:id="98"/>
      </w:r>
      <w:r>
        <w:t xml:space="preserve">. Its 24 channels are arranged in three layers: 9 top channels at +30° to +45° elevation (overhead ambience and reverberation), 10 middle channels at 0° to +15° (primary imaging and sound field formation), and 3 bottom channels at −15° to −30° (BtFL, BtFC, BtFR for floor-level effects), plus 2 LFE channels</w:t>
      </w:r>
      <w:r>
        <w:t xml:space="preserve"> </w:t>
      </w:r>
      <w:fldSimple w:instr="NOTEREF _Ref_Footnote_94 \h \f">
        <w:r>
          <w:rPr>
            <w:vertAlign w:val="superscript"/>
          </w:rPr>
          <w:t>94</w:t>
        </w:r>
      </w:fldSimple>
      <w:r>
        <w:t xml:space="preserve"> </w:t>
      </w:r>
      <w:r>
        <w:rPr>
          <w:vertAlign w:val="superscript"/>
        </w:rPr>
        <w:footnoteReference w:id="99"/>
      </w:r>
      <w:r>
        <w:t xml:space="preserve">. NHK’s research found that the three-layer structure provides superior sound field reproduction compared to conventional systems because it more accurately models natural three-dimensional sound propagation — sound in real environments approaches the listener from above and below as well as from the sides</w:t>
      </w:r>
      <w:r>
        <w:t xml:space="preserve"> </w:t>
      </w:r>
      <w:fldSimple w:instr="NOTEREF _Ref_Footnote_94 \h \f">
        <w:r>
          <w:rPr>
            <w:vertAlign w:val="superscript"/>
          </w:rPr>
          <w:t>94</w:t>
        </w:r>
      </w:fldSimple>
      <w:r>
        <w:t xml:space="preserve">. The bottom layer specifically reproduces sounds of water, ground-level scenes, and structural vibrations that contribute to environmental immersion. The IAMF specification (Samsung/Google, Alliance for Open Media) already includes Bottom-3ch (BtFL/BtFC/BtFR) and Bottom-4ch (BtFL/BtFR/BtBL/BtBR) layouts referencing ITU-R BS.2051-3</w:t>
      </w:r>
      <w:r>
        <w:t xml:space="preserve"> </w:t>
      </w:r>
      <w:fldSimple w:instr="NOTEREF _Ref_Footnote_74 \h \f">
        <w:r>
          <w:rPr>
            <w:vertAlign w:val="superscript"/>
          </w:rPr>
          <w:t>74</w:t>
        </w:r>
      </w:fldSimple>
      <w:r>
        <w:t xml:space="preserve">.</w:t>
      </w:r>
    </w:p>
    <w:bookmarkEnd w:id="121"/>
    <w:bookmarkStart w:id="122" w:name="practical-sonic-sphere-layout-7.1.4.4"/>
    <w:p>
      <w:pPr>
        <w:pStyle w:val="Heading4"/>
      </w:pPr>
      <w:r>
        <w:t xml:space="preserve">7.3.3 Practical Sonic Sphere Layout: 7.1.4.4</w:t>
      </w:r>
    </w:p>
    <w:p>
      <w:pPr>
        <w:pStyle w:val="FirstParagraph"/>
      </w:pPr>
      <w:r>
        <w:t xml:space="preserve">For consumer applications, the Sonic Sphere proposes a</w:t>
      </w:r>
      <w:r>
        <w:t xml:space="preserve"> </w:t>
      </w:r>
      <w:r>
        <w:rPr>
          <w:bCs/>
          <w:b/>
        </w:rPr>
        <w:t xml:space="preserve">7.1.4.4</w:t>
      </w:r>
      <w:r>
        <w:t xml:space="preserve"> </w:t>
      </w:r>
      <w:r>
        <w:t xml:space="preserve">bed extending the Atmos 7.1.4 reference: 7 listener-level channels (L, R, C, Ls, Rs, Lb, Rb), 1 LFE, 4 height channels (Ltf, Rtf, Ltr, Rtr at +45°), and 4 floor channels (Lbf, Rbf, Lbr, Rbr at −30° to −45°). This yields 16 main channels plus LFE — four additional channels over 7.1.4 that achieve vertical completeness. Floor channels follow the ITU-R BS.2051</w:t>
      </w:r>
      <w:r>
        <w:t xml:space="preserve"> </w:t>
      </w:r>
      <w:r>
        <w:rPr>
          <w:bCs/>
          <w:b/>
        </w:rPr>
        <w:t xml:space="preserve">B</w:t>
      </w:r>
      <w:r>
        <w:t xml:space="preserve"> </w:t>
      </w:r>
      <w:r>
        <w:t xml:space="preserve">(Bottom) prefix convention</w:t>
      </w:r>
      <w:r>
        <w:t xml:space="preserve"> </w:t>
      </w:r>
      <w:fldSimple w:instr="NOTEREF _Ref_Footnote_53 \h \f">
        <w:r>
          <w:rPr>
            <w:vertAlign w:val="superscript"/>
          </w:rPr>
          <w:t>53</w:t>
        </w:r>
      </w:fldSimple>
      <w:r>
        <w:t xml:space="preserve">.</w:t>
      </w:r>
    </w:p>
    <w:bookmarkEnd w:id="122"/>
    <w:bookmarkStart w:id="123" w:name="proposed-sonic-sphere-speaker-layouts"/>
    <w:p>
      <w:pPr>
        <w:pStyle w:val="Heading4"/>
      </w:pPr>
      <w:r>
        <w:t xml:space="preserve">7.3.4 Proposed Sonic Sphere Speaker Layouts</w:t>
      </w:r>
    </w:p>
    <w:tbl>
      <w:tblPr>
        <w:tblStyle w:val="Table"/>
        <w:tblW w:type="pct" w:w="5000"/>
        <w:tblLook w:firstRow="1" w:lastRow="0" w:firstColumn="0" w:lastColumn="0" w:noHBand="0" w:noVBand="0" w:val="0020"/>
      </w:tblPr>
      <w:tblGrid>
        <w:gridCol w:w="2200"/>
        <w:gridCol w:w="2200"/>
        <w:gridCol w:w="1760"/>
        <w:gridCol w:w="1760"/>
      </w:tblGrid>
      <w:tr>
        <w:trPr>
          <w:tblHeader w:val="true"/>
        </w:trPr>
        <w:tc>
          <w:tcPr/>
          <w:p>
            <w:pPr>
              <w:pStyle w:val="Compact"/>
              <w:jc w:val="center"/>
            </w:pPr>
            <w:r>
              <w:t xml:space="preserve">Layout Name</w:t>
            </w:r>
          </w:p>
        </w:tc>
        <w:tc>
          <w:tcPr/>
          <w:p>
            <w:pPr>
              <w:pStyle w:val="Compact"/>
              <w:jc w:val="center"/>
            </w:pPr>
            <w:r>
              <w:t xml:space="preserve">Speakers</w:t>
            </w:r>
          </w:p>
        </w:tc>
        <w:tc>
          <w:tcPr/>
          <w:p>
            <w:pPr>
              <w:pStyle w:val="Compact"/>
              <w:jc w:val="left"/>
            </w:pPr>
            <w:r>
              <w:t xml:space="preserve">Configuration</w:t>
            </w:r>
          </w:p>
        </w:tc>
        <w:tc>
          <w:tcPr/>
          <w:p>
            <w:pPr>
              <w:pStyle w:val="Compact"/>
              <w:jc w:val="left"/>
            </w:pPr>
            <w:r>
              <w:t xml:space="preserve">Use Case</w:t>
            </w:r>
          </w:p>
        </w:tc>
      </w:tr>
      <w:tr>
        <w:tc>
          <w:tcPr/>
          <w:p>
            <w:pPr>
              <w:pStyle w:val="Compact"/>
              <w:jc w:val="center"/>
            </w:pPr>
            <w:r>
              <w:t xml:space="preserve">Tetrahedral 4.0</w:t>
            </w:r>
          </w:p>
        </w:tc>
        <w:tc>
          <w:tcPr/>
          <w:p>
            <w:pPr>
              <w:pStyle w:val="Compact"/>
              <w:jc w:val="center"/>
            </w:pPr>
            <w:r>
              <w:t xml:space="preserve">4</w:t>
            </w:r>
          </w:p>
        </w:tc>
        <w:tc>
          <w:tcPr/>
          <w:p>
            <w:pPr>
              <w:pStyle w:val="Compact"/>
              <w:jc w:val="left"/>
            </w:pPr>
            <w:r>
              <w:t xml:space="preserve">4.0.0 (tetrahedral vertices)</w:t>
            </w:r>
          </w:p>
        </w:tc>
        <w:tc>
          <w:tcPr/>
          <w:p>
            <w:pPr>
              <w:pStyle w:val="Compact"/>
              <w:jc w:val="left"/>
            </w:pPr>
            <w:r>
              <w:t xml:space="preserve">Research, minimal full-sphere</w:t>
            </w:r>
          </w:p>
        </w:tc>
      </w:tr>
      <w:tr>
        <w:tc>
          <w:tcPr/>
          <w:p>
            <w:pPr>
              <w:pStyle w:val="Compact"/>
              <w:jc w:val="center"/>
            </w:pPr>
            <w:r>
              <w:t xml:space="preserve">Compact 8.0</w:t>
            </w:r>
          </w:p>
        </w:tc>
        <w:tc>
          <w:tcPr/>
          <w:p>
            <w:pPr>
              <w:pStyle w:val="Compact"/>
              <w:jc w:val="center"/>
            </w:pPr>
            <w:r>
              <w:t xml:space="preserve">8</w:t>
            </w:r>
          </w:p>
        </w:tc>
        <w:tc>
          <w:tcPr/>
          <w:p>
            <w:pPr>
              <w:pStyle w:val="Compact"/>
              <w:jc w:val="left"/>
            </w:pPr>
            <w:r>
              <w:t xml:space="preserve">4.0.4 (horizontal ring + floor quad)</w:t>
            </w:r>
          </w:p>
        </w:tc>
        <w:tc>
          <w:tcPr/>
          <w:p>
            <w:pPr>
              <w:pStyle w:val="Compact"/>
              <w:jc w:val="left"/>
            </w:pPr>
            <w:r>
              <w:t xml:space="preserve">Small-room consumer install</w:t>
            </w:r>
          </w:p>
        </w:tc>
      </w:tr>
      <w:tr>
        <w:tc>
          <w:tcPr/>
          <w:p>
            <w:pPr>
              <w:pStyle w:val="Compact"/>
              <w:jc w:val="center"/>
            </w:pPr>
            <w:r>
              <w:t xml:space="preserve">Sonic Sphere 12.1</w:t>
            </w:r>
          </w:p>
        </w:tc>
        <w:tc>
          <w:tcPr/>
          <w:p>
            <w:pPr>
              <w:pStyle w:val="Compact"/>
              <w:jc w:val="center"/>
            </w:pPr>
            <w:r>
              <w:t xml:space="preserve">13</w:t>
            </w:r>
          </w:p>
        </w:tc>
        <w:tc>
          <w:tcPr/>
          <w:p>
            <w:pPr>
              <w:pStyle w:val="Compact"/>
              <w:jc w:val="left"/>
            </w:pPr>
            <w:r>
              <w:t xml:space="preserve">5.1.4.4 (5 ear + 1 LFE + 4 height + 4 floor)</w:t>
            </w:r>
          </w:p>
        </w:tc>
        <w:tc>
          <w:tcPr/>
          <w:p>
            <w:pPr>
              <w:pStyle w:val="Compact"/>
              <w:jc w:val="left"/>
            </w:pPr>
            <w:r>
              <w:t xml:space="preserve">Entry-level home theater</w:t>
            </w:r>
          </w:p>
        </w:tc>
      </w:tr>
      <w:tr>
        <w:tc>
          <w:tcPr/>
          <w:p>
            <w:pPr>
              <w:pStyle w:val="Compact"/>
              <w:jc w:val="center"/>
            </w:pPr>
            <w:r>
              <w:rPr>
                <w:bCs/>
                <w:b/>
              </w:rPr>
              <w:t xml:space="preserve">Sonic Sphere 16.1</w:t>
            </w:r>
          </w:p>
        </w:tc>
        <w:tc>
          <w:tcPr/>
          <w:p>
            <w:pPr>
              <w:pStyle w:val="Compact"/>
              <w:jc w:val="center"/>
            </w:pPr>
            <w:r>
              <w:rPr>
                <w:bCs/>
                <w:b/>
              </w:rPr>
              <w:t xml:space="preserve">17</w:t>
            </w:r>
          </w:p>
        </w:tc>
        <w:tc>
          <w:tcPr/>
          <w:p>
            <w:pPr>
              <w:pStyle w:val="Compact"/>
              <w:jc w:val="left"/>
            </w:pPr>
            <w:r>
              <w:rPr>
                <w:bCs/>
                <w:b/>
              </w:rPr>
              <w:t xml:space="preserve">7.1.4.4 (7 ear + 1 LFE + 4 height + 4 floor)</w:t>
            </w:r>
          </w:p>
        </w:tc>
        <w:tc>
          <w:tcPr/>
          <w:p>
            <w:pPr>
              <w:pStyle w:val="Compact"/>
              <w:jc w:val="left"/>
            </w:pPr>
            <w:r>
              <w:rPr>
                <w:bCs/>
                <w:b/>
              </w:rPr>
              <w:t xml:space="preserve">Reference consumer layout</w:t>
            </w:r>
          </w:p>
        </w:tc>
      </w:tr>
      <w:tr>
        <w:tc>
          <w:tcPr/>
          <w:p>
            <w:pPr>
              <w:pStyle w:val="Compact"/>
              <w:jc w:val="center"/>
            </w:pPr>
            <w:r>
              <w:t xml:space="preserve">NHK 22.2</w:t>
            </w:r>
          </w:p>
        </w:tc>
        <w:tc>
          <w:tcPr/>
          <w:p>
            <w:pPr>
              <w:pStyle w:val="Compact"/>
              <w:jc w:val="center"/>
            </w:pPr>
            <w:r>
              <w:t xml:space="preserve">24</w:t>
            </w:r>
          </w:p>
        </w:tc>
        <w:tc>
          <w:tcPr/>
          <w:p>
            <w:pPr>
              <w:pStyle w:val="Compact"/>
              <w:jc w:val="left"/>
            </w:pPr>
            <w:r>
              <w:t xml:space="preserve">9.10.3 (ITU-R BS.2051 System H)</w:t>
            </w:r>
          </w:p>
        </w:tc>
        <w:tc>
          <w:tcPr/>
          <w:p>
            <w:pPr>
              <w:pStyle w:val="Compact"/>
              <w:jc w:val="left"/>
            </w:pPr>
            <w:r>
              <w:t xml:space="preserve">Professional broadcast</w:t>
            </w:r>
          </w:p>
        </w:tc>
      </w:tr>
      <w:tr>
        <w:tc>
          <w:tcPr/>
          <w:p>
            <w:pPr>
              <w:pStyle w:val="Compact"/>
              <w:jc w:val="center"/>
            </w:pPr>
            <w:r>
              <w:t xml:space="preserve">Icosahedral 20.0</w:t>
            </w:r>
          </w:p>
        </w:tc>
        <w:tc>
          <w:tcPr/>
          <w:p>
            <w:pPr>
              <w:pStyle w:val="Compact"/>
              <w:jc w:val="center"/>
            </w:pPr>
            <w:r>
              <w:t xml:space="preserve">20</w:t>
            </w:r>
          </w:p>
        </w:tc>
        <w:tc>
          <w:tcPr/>
          <w:p>
            <w:pPr>
              <w:pStyle w:val="Compact"/>
              <w:jc w:val="left"/>
            </w:pPr>
            <w:r>
              <w:t xml:space="preserve">20.0.0 (icosahedron vertices)</w:t>
            </w:r>
          </w:p>
        </w:tc>
        <w:tc>
          <w:tcPr/>
          <w:p>
            <w:pPr>
              <w:pStyle w:val="Compact"/>
              <w:jc w:val="left"/>
            </w:pPr>
            <w:r>
              <w:t xml:space="preserve">Research, HOA to 3rd order</w:t>
            </w:r>
          </w:p>
        </w:tc>
      </w:tr>
    </w:tbl>
    <w:p>
      <w:pPr>
        <w:pStyle w:val="BodyText"/>
      </w:pPr>
      <w:r>
        <w:t xml:space="preserve">This progression demonstrates that full-sphere audio does not require massive channel counts. The Compact 8.0 layout achieves below-horizon reproduction with only 8 speakers — fewer than an Atmos 7.1.4 installation (12 speakers). The critical difference is placement, not count: replacing two overhead speakers with two floor speakers converts a hemispherical array into a full-sphere array, provided the renderer supports negative elevation.</w:t>
      </w:r>
    </w:p>
    <w:bookmarkEnd w:id="123"/>
    <w:bookmarkEnd w:id="124"/>
    <w:bookmarkStart w:id="129" w:name="extending-vbap-for-full-sphere-panning"/>
    <w:p>
      <w:pPr>
        <w:pStyle w:val="Heading3"/>
      </w:pPr>
      <w:r>
        <w:t xml:space="preserve">7.4 Extending VBAP for Full-Sphere Panning</w:t>
      </w:r>
    </w:p>
    <w:bookmarkStart w:id="125" w:name="no-algorithm-change-required"/>
    <w:p>
      <w:pPr>
        <w:pStyle w:val="Heading4"/>
      </w:pPr>
      <w:r>
        <w:t xml:space="preserve">7.4.1 No Algorithm Change Required</w:t>
      </w:r>
    </w:p>
    <w:p>
      <w:pPr>
        <w:pStyle w:val="FirstParagraph"/>
      </w:pPr>
      <w:r>
        <w:t xml:space="preserve">VBAP computes loudspeaker gain factors via matrix inversion (Chapter 4):</w:t>
      </w:r>
    </w:p>
    <w:p>
      <w:pPr>
        <w:pStyle w:val="BodyText"/>
      </w:pPr>
      <m:oMathPara>
        <m:oMathParaPr>
          <m:jc m:val="center"/>
        </m:oMathParaPr>
        <m:oMath>
          <m:r>
            <m:rPr>
              <m:sty m:val="b"/>
            </m:rPr>
            <m:t>g</m:t>
          </m:r>
          <m:r>
            <m:rPr>
              <m:sty m:val="p"/>
            </m:rPr>
            <m:t>=</m:t>
          </m:r>
          <m:sSup>
            <m:e>
              <m:d>
                <m:dPr>
                  <m:begChr m:val="["/>
                  <m:endChr m:val="]"/>
                  <m:sepChr m:val=""/>
                  <m:grow/>
                </m:dPr>
                <m:e>
                  <m:sSub>
                    <m:e>
                      <m:r>
                        <m:t>g</m:t>
                      </m:r>
                    </m:e>
                    <m:sub>
                      <m:r>
                        <m:t>1</m:t>
                      </m:r>
                    </m:sub>
                  </m:sSub>
                  <m:r>
                    <m:rPr>
                      <m:sty m:val="p"/>
                    </m:rPr>
                    <m:t>,</m:t>
                  </m:r>
                  <m:sSub>
                    <m:e>
                      <m:r>
                        <m:t>g</m:t>
                      </m:r>
                    </m:e>
                    <m:sub>
                      <m:r>
                        <m:t>2</m:t>
                      </m:r>
                    </m:sub>
                  </m:sSub>
                  <m:r>
                    <m:rPr>
                      <m:sty m:val="p"/>
                    </m:rPr>
                    <m:t>,</m:t>
                  </m:r>
                  <m:sSub>
                    <m:e>
                      <m:r>
                        <m:t>g</m:t>
                      </m:r>
                    </m:e>
                    <m:sub>
                      <m:r>
                        <m:t>3</m:t>
                      </m:r>
                    </m:sub>
                  </m:sSub>
                </m:e>
              </m:d>
            </m:e>
            <m:sup>
              <m:r>
                <m:t>T</m:t>
              </m:r>
            </m:sup>
          </m:sSup>
          <m:r>
            <m:rPr>
              <m:sty m:val="p"/>
            </m:rPr>
            <m:t>=</m:t>
          </m:r>
          <m:sSup>
            <m:e>
              <m:r>
                <m:rPr>
                  <m:sty m:val="b"/>
                </m:rPr>
                <m:t>L</m:t>
              </m:r>
            </m:e>
            <m:sup>
              <m:r>
                <m:rPr>
                  <m:sty m:val="p"/>
                </m:rPr>
                <m:t>−</m:t>
              </m:r>
              <m:r>
                <m:t>1</m:t>
              </m:r>
            </m:sup>
          </m:sSup>
          <m:r>
            <m:rPr>
              <m:sty m:val="p"/>
            </m:rPr>
            <m:t>⋅</m:t>
          </m:r>
          <m:r>
            <m:rPr>
              <m:sty m:val="b"/>
            </m:rPr>
            <m:t>p</m:t>
          </m:r>
        </m:oMath>
      </m:oMathPara>
    </w:p>
    <w:p>
      <w:pPr>
        <w:pStyle w:val="FirstParagraph"/>
      </w:pPr>
      <w:r>
        <w:t xml:space="preserve">where</w:t>
      </w:r>
      <w:r>
        <w:t xml:space="preserve"> </w:t>
      </w:r>
      <m:oMath>
        <m:r>
          <m:rPr>
            <m:sty m:val="b"/>
          </m:rPr>
          <m:t>L</m:t>
        </m:r>
        <m:r>
          <m:rPr>
            <m:sty m:val="p"/>
          </m:rPr>
          <m:t>=</m:t>
        </m:r>
        <m:d>
          <m:dPr>
            <m:begChr m:val="["/>
            <m:endChr m:val="]"/>
            <m:sepChr m:val=""/>
            <m:grow/>
          </m:dPr>
          <m:e>
            <m:sSub>
              <m:e>
                <m:r>
                  <m:rPr>
                    <m:sty m:val="b"/>
                  </m:rPr>
                  <m:t>l</m:t>
                </m:r>
              </m:e>
              <m:sub>
                <m:r>
                  <m:t>1</m:t>
                </m:r>
              </m:sub>
            </m:sSub>
            <m:r>
              <m:t> </m:t>
            </m:r>
            <m:sSub>
              <m:e>
                <m:r>
                  <m:rPr>
                    <m:sty m:val="b"/>
                  </m:rPr>
                  <m:t>l</m:t>
                </m:r>
              </m:e>
              <m:sub>
                <m:r>
                  <m:t>2</m:t>
                </m:r>
              </m:sub>
            </m:sSub>
            <m:r>
              <m:t> </m:t>
            </m:r>
            <m:sSub>
              <m:e>
                <m:r>
                  <m:rPr>
                    <m:sty m:val="b"/>
                  </m:rPr>
                  <m:t>l</m:t>
                </m:r>
              </m:e>
              <m:sub>
                <m:r>
                  <m:t>3</m:t>
                </m:r>
              </m:sub>
            </m:sSub>
          </m:e>
        </m:d>
      </m:oMath>
      <w:r>
        <w:t xml:space="preserve"> </w:t>
      </w:r>
      <w:r>
        <w:t xml:space="preserve">is the 3×3 loudspeaker direction matrix and</w:t>
      </w:r>
      <w:r>
        <w:t xml:space="preserve"> </w:t>
      </w:r>
      <m:oMath>
        <m:r>
          <m:rPr>
            <m:sty m:val="b"/>
          </m:rPr>
          <m:t>p</m:t>
        </m:r>
      </m:oMath>
      <w:r>
        <w:t xml:space="preserve"> </w:t>
      </w:r>
      <w:r>
        <w:t xml:space="preserve">is the unit-length virtual source direction</w:t>
      </w:r>
      <w:r>
        <w:t xml:space="preserve"> </w:t>
      </w:r>
      <w:fldSimple w:instr="NOTEREF _Ref_Footnote_14 \h \f">
        <w:r>
          <w:rPr>
            <w:vertAlign w:val="superscript"/>
          </w:rPr>
          <w:t>14</w:t>
        </w:r>
      </w:fldSimple>
      <w:r>
        <w:t xml:space="preserve">. This formulation is entirely direction-agnostic: it operates on Cartesian coordinates without any hemisphere assumption. When floor speakers are present, convex hull triangulation automatically produces lower-hemisphere triangles, and the standard selection criterion — choose the triplet with all-positive gains (</w:t>
      </w:r>
      <m:oMath>
        <m:sSub>
          <m:e>
            <m:r>
              <m:t>g</m:t>
            </m:r>
          </m:e>
          <m:sub>
            <m:r>
              <m:t>i</m:t>
            </m:r>
          </m:sub>
        </m:sSub>
        <m:r>
          <m:rPr>
            <m:sty m:val="p"/>
          </m:rPr>
          <m:t>≥</m:t>
        </m:r>
        <m:r>
          <m:t>0</m:t>
        </m:r>
      </m:oMath>
      <w:r>
        <w:t xml:space="preserve">) — naturally routes below-horizon sources to floor triplets</w:t>
      </w:r>
      <w:r>
        <w:t xml:space="preserve"> </w:t>
      </w:r>
      <w:fldSimple w:instr="NOTEREF _Ref_Footnote_16 \h \f">
        <w:r>
          <w:rPr>
            <w:vertAlign w:val="superscript"/>
          </w:rPr>
          <w:t>16</w:t>
        </w:r>
      </w:fldSimple>
      <w:r>
        <w:t xml:space="preserve">.</w:t>
      </w:r>
    </w:p>
    <w:p>
      <w:pPr>
        <w:pStyle w:val="BodyText"/>
      </w:pPr>
      <w:r>
        <w:t xml:space="preserve">The proof is immediate: for</w:t>
      </w:r>
      <w:r>
        <w:t xml:space="preserve"> </w:t>
      </w:r>
      <m:oMath>
        <m:r>
          <m:rPr>
            <m:sty m:val="b"/>
          </m:rPr>
          <m:t>p</m:t>
        </m:r>
        <m:r>
          <m:rPr>
            <m:sty m:val="p"/>
          </m:rPr>
          <m:t>=</m:t>
        </m:r>
        <m:sSup>
          <m:e>
            <m:d>
              <m:dPr>
                <m:begChr m:val="["/>
                <m:endChr m:val="]"/>
                <m:sepChr m:val=""/>
                <m:grow/>
              </m:dPr>
              <m:e>
                <m:sSub>
                  <m:e>
                    <m:r>
                      <m:t>p</m:t>
                    </m:r>
                  </m:e>
                  <m:sub>
                    <m:r>
                      <m:t>x</m:t>
                    </m:r>
                  </m:sub>
                </m:sSub>
                <m:r>
                  <m:rPr>
                    <m:sty m:val="p"/>
                  </m:rPr>
                  <m:t>,</m:t>
                </m:r>
                <m:sSub>
                  <m:e>
                    <m:r>
                      <m:t>p</m:t>
                    </m:r>
                  </m:e>
                  <m:sub>
                    <m:r>
                      <m:t>y</m:t>
                    </m:r>
                  </m:sub>
                </m:sSub>
                <m:r>
                  <m:rPr>
                    <m:sty m:val="p"/>
                  </m:rPr>
                  <m:t>,</m:t>
                </m:r>
                <m:sSub>
                  <m:e>
                    <m:r>
                      <m:t>p</m:t>
                    </m:r>
                  </m:e>
                  <m:sub>
                    <m:r>
                      <m:t>z</m:t>
                    </m:r>
                  </m:sub>
                </m:sSub>
              </m:e>
            </m:d>
          </m:e>
          <m:sup>
            <m:r>
              <m:t>T</m:t>
            </m:r>
          </m:sup>
        </m:sSup>
      </m:oMath>
      <w:r>
        <w:t xml:space="preserve"> </w:t>
      </w:r>
      <w:r>
        <w:t xml:space="preserve">with</w:t>
      </w:r>
      <w:r>
        <w:t xml:space="preserve"> </w:t>
      </w:r>
      <m:oMath>
        <m:sSub>
          <m:e>
            <m:r>
              <m:t>p</m:t>
            </m:r>
          </m:e>
          <m:sub>
            <m:r>
              <m:t>z</m:t>
            </m:r>
          </m:sub>
        </m:sSub>
        <m:r>
          <m:rPr>
            <m:sty m:val="p"/>
          </m:rPr>
          <m:t>&lt;</m:t>
        </m:r>
        <m:r>
          <m:t>0</m:t>
        </m:r>
      </m:oMath>
      <w:r>
        <w:t xml:space="preserve">, the algorithm searches all convex hull triplets. If a triplet contains speakers with negative Z-coordinates, the barycentric coordinates</w:t>
      </w:r>
      <w:r>
        <w:t xml:space="preserve"> </w:t>
      </w:r>
      <m:oMath>
        <m:r>
          <m:rPr>
            <m:sty m:val="b"/>
          </m:rPr>
          <m:t>g</m:t>
        </m:r>
        <m:r>
          <m:rPr>
            <m:sty m:val="p"/>
          </m:rPr>
          <m:t>=</m:t>
        </m:r>
        <m:sSup>
          <m:e>
            <m:r>
              <m:rPr>
                <m:sty m:val="b"/>
              </m:rPr>
              <m:t>L</m:t>
            </m:r>
          </m:e>
          <m:sup>
            <m:r>
              <m:rPr>
                <m:sty m:val="p"/>
              </m:rPr>
              <m:t>−</m:t>
            </m:r>
            <m:r>
              <m:t>1</m:t>
            </m:r>
          </m:sup>
        </m:sSup>
        <m:r>
          <m:rPr>
            <m:sty m:val="p"/>
          </m:rPr>
          <m:t>⋅</m:t>
        </m:r>
        <m:r>
          <m:rPr>
            <m:sty m:val="b"/>
          </m:rPr>
          <m:t>p</m:t>
        </m:r>
      </m:oMath>
      <w:r>
        <w:t xml:space="preserve"> </w:t>
      </w:r>
      <w:r>
        <w:t xml:space="preserve">are all-positive precisely when</w:t>
      </w:r>
      <w:r>
        <w:t xml:space="preserve"> </w:t>
      </w:r>
      <m:oMath>
        <m:r>
          <m:rPr>
            <m:sty m:val="b"/>
          </m:rPr>
          <m:t>p</m:t>
        </m:r>
      </m:oMath>
      <w:r>
        <w:t xml:space="preserve"> </w:t>
      </w:r>
      <w:r>
        <w:t xml:space="preserve">lies within the spherical triangle defined by those three speakers. No</w:t>
      </w:r>
      <w:r>
        <w:t xml:space="preserve"> </w:t>
      </w:r>
      <w:r>
        <w:t xml:space="preserve">“</w:t>
      </w:r>
      <w:r>
        <w:t xml:space="preserve">below-horizon special case</w:t>
      </w:r>
      <w:r>
        <w:t xml:space="preserve">”</w:t>
      </w:r>
      <w:r>
        <w:t xml:space="preserve"> </w:t>
      </w:r>
      <w:r>
        <w:t xml:space="preserve">is required — the general triplet search handles all directions uniformly.</w:t>
      </w:r>
    </w:p>
    <w:bookmarkEnd w:id="125"/>
    <w:bookmarkStart w:id="126" w:name="convex-hull-reconstruction"/>
    <w:p>
      <w:pPr>
        <w:pStyle w:val="Heading4"/>
      </w:pPr>
      <w:r>
        <w:t xml:space="preserve">7.4.2 Convex Hull Reconstruction</w:t>
      </w:r>
    </w:p>
    <w:p>
      <w:pPr>
        <w:pStyle w:val="FirstParagraph"/>
      </w:pPr>
      <w:r>
        <w:t xml:space="preserve">Adding floor speakers extends the point set into the lower hemisphere; the Delaunay triangulation of the augmented set produces a complete spherical mesh covering both upper and lower hemispheres</w:t>
      </w:r>
      <w:r>
        <w:t xml:space="preserve"> </w:t>
      </w:r>
      <w:fldSimple w:instr="NOTEREF _Ref_Footnote_33 \h \f">
        <w:r>
          <w:rPr>
            <w:vertAlign w:val="superscript"/>
          </w:rPr>
          <w:t>33</w:t>
        </w:r>
      </w:fldSimple>
      <w:r>
        <w:t xml:space="preserve">. For the 7.1.4.4 layout (15 non-collinear points on the unit sphere, excluding LFE), the convex hull yields approximately 26 triangular facets by Euler’s formula (</w:t>
      </w:r>
      <m:oMath>
        <m:r>
          <m:t>F</m:t>
        </m:r>
        <m:r>
          <m:rPr>
            <m:sty m:val="p"/>
          </m:rPr>
          <m:t>=</m:t>
        </m:r>
        <m:r>
          <m:t>2</m:t>
        </m:r>
        <m:r>
          <m:t>V</m:t>
        </m:r>
        <m:r>
          <m:rPr>
            <m:sty m:val="p"/>
          </m:rPr>
          <m:t>−</m:t>
        </m:r>
        <m:r>
          <m:t>4</m:t>
        </m:r>
      </m:oMath>
      <w:r>
        <w:t xml:space="preserve"> </w:t>
      </w:r>
      <w:r>
        <w:t xml:space="preserve">for</w:t>
      </w:r>
      <w:r>
        <w:t xml:space="preserve"> </w:t>
      </w:r>
      <m:oMath>
        <m:r>
          <m:t>V</m:t>
        </m:r>
      </m:oMath>
      <w:r>
        <w:t xml:space="preserve"> </w:t>
      </w:r>
      <w:r>
        <w:t xml:space="preserve">vertices in general position). Each facet defines one valid loudspeaker triplet with a precomputed inverse matrix</w:t>
      </w:r>
      <w:r>
        <w:t xml:space="preserve"> </w:t>
      </w:r>
      <m:oMath>
        <m:sSup>
          <m:e>
            <m:r>
              <m:rPr>
                <m:sty m:val="b"/>
              </m:rPr>
              <m:t>L</m:t>
            </m:r>
          </m:e>
          <m:sup>
            <m:r>
              <m:rPr>
                <m:sty m:val="p"/>
              </m:rPr>
              <m:t>−</m:t>
            </m:r>
            <m:r>
              <m:t>1</m:t>
            </m:r>
          </m:sup>
        </m:sSup>
      </m:oMath>
      <w:r>
        <w:t xml:space="preserve">, making runtime triplet selection a matter of testing which facet contains the virtual source direction — a computation involving only dot products and comparisons that remains trivially inexpensive for real-time operation even with hundreds of simultaneously active objects</w:t>
      </w:r>
      <w:r>
        <w:t xml:space="preserve"> </w:t>
      </w:r>
      <w:fldSimple w:instr="NOTEREF _Ref_Footnote_42 \h \f">
        <w:r>
          <w:rPr>
            <w:vertAlign w:val="superscript"/>
          </w:rPr>
          <w:t>42</w:t>
        </w:r>
      </w:fldSimple>
      <w:r>
        <w:t xml:space="preserve">.</w:t>
      </w:r>
    </w:p>
    <w:bookmarkEnd w:id="126"/>
    <w:bookmarkStart w:id="127" w:name="virtual-nadir-loudspeaker"/>
    <w:p>
      <w:pPr>
        <w:pStyle w:val="Heading4"/>
      </w:pPr>
      <w:r>
        <w:t xml:space="preserve">7.4.3 Virtual Nadir Loudspeaker</w:t>
      </w:r>
    </w:p>
    <w:p>
      <w:pPr>
        <w:pStyle w:val="FirstParagraph"/>
      </w:pPr>
      <w:r>
        <w:t xml:space="preserve">For arrays without physical floor speakers — all existing Atmos installations — below-horizon content can be handled via Zotter and Frank’s virtual nadir approach: insert a virtual speaker at</w:t>
      </w:r>
      <w:r>
        <w:t xml:space="preserve"> </w:t>
      </w:r>
      <m:oMath>
        <m:r>
          <m:rPr>
            <m:sty m:val="b"/>
          </m:rPr>
          <m:t>p</m:t>
        </m:r>
        <m:r>
          <m:rPr>
            <m:sty m:val="p"/>
          </m:rPr>
          <m:t>=</m:t>
        </m:r>
        <m:sSup>
          <m:e>
            <m:d>
              <m:dPr>
                <m:begChr m:val="["/>
                <m:endChr m:val="]"/>
                <m:sepChr m:val=""/>
                <m:grow/>
              </m:dPr>
              <m:e>
                <m:r>
                  <m:t>0</m:t>
                </m:r>
                <m:r>
                  <m:rPr>
                    <m:sty m:val="p"/>
                  </m:rPr>
                  <m:t>,</m:t>
                </m:r>
                <m:r>
                  <m:t>0</m:t>
                </m:r>
                <m:r>
                  <m:rPr>
                    <m:sty m:val="p"/>
                  </m:rPr>
                  <m:t>,</m:t>
                </m:r>
                <m:r>
                  <m:rPr>
                    <m:sty m:val="p"/>
                  </m:rPr>
                  <m:t>−</m:t>
                </m:r>
                <m:r>
                  <m:t>1</m:t>
                </m:r>
              </m:e>
            </m:d>
          </m:e>
          <m:sup>
            <m:r>
              <m:t>T</m:t>
            </m:r>
          </m:sup>
        </m:sSup>
      </m:oMath>
      <w:r>
        <w:t xml:space="preserve">, then dismiss its signal (yielding audio at the closest horizontal speaker pair) or downmix to neighbors</w:t>
      </w:r>
      <w:r>
        <w:t xml:space="preserve"> </w:t>
      </w:r>
      <w:fldSimple w:instr="NOTEREF _Ref_Footnote_70 \h \f">
        <w:r>
          <w:rPr>
            <w:vertAlign w:val="superscript"/>
          </w:rPr>
          <w:t>70</w:t>
        </w:r>
      </w:fldSimple>
      <w:r>
        <w:t xml:space="preserve">. The IEM VBAP plugin implements this with a dim-factor of 0.5, fading below-horizon audio toward the horizon</w:t>
      </w:r>
      <w:r>
        <w:t xml:space="preserve"> </w:t>
      </w:r>
      <w:fldSimple w:instr="NOTEREF _Ref_Footnote_69 \h \f">
        <w:r>
          <w:rPr>
            <w:vertAlign w:val="superscript"/>
          </w:rPr>
          <w:t>69</w:t>
        </w:r>
      </w:fldSimple>
      <w:r>
        <w:t xml:space="preserve">. This is a perceptual compromise — the virtual speaker cannot reproduce the physical floor coupling of a real transducer.</w:t>
      </w:r>
    </w:p>
    <w:bookmarkEnd w:id="127"/>
    <w:bookmarkStart w:id="128" w:name="gain-normalization-across-the-horizon"/>
    <w:p>
      <w:pPr>
        <w:pStyle w:val="Heading4"/>
      </w:pPr>
      <w:r>
        <w:t xml:space="preserve">7.4.4 Gain Normalization Across the Horizon</w:t>
      </w:r>
    </w:p>
    <w:p>
      <w:pPr>
        <w:pStyle w:val="FirstParagraph"/>
      </w:pPr>
      <w:r>
        <w:t xml:space="preserve">When a source crosses the horizontal plane, it switches from an upper-hemisphere triplet to a lower-hemisphere triplet, changing the number and angular spread of active speakers. AllRAD decoding exhibits loudness fluctuations of approximately 1 dB for such panning</w:t>
      </w:r>
      <w:r>
        <w:t xml:space="preserve"> </w:t>
      </w:r>
      <w:fldSimple w:instr="NOTEREF _Ref_Footnote_70 \h \f">
        <w:r>
          <w:rPr>
            <w:vertAlign w:val="superscript"/>
          </w:rPr>
          <w:t>70</w:t>
        </w:r>
      </w:fldSimple>
      <w:r>
        <w:t xml:space="preserve">; EPAD reduces this to ~0.3 dB</w:t>
      </w:r>
      <w:r>
        <w:t xml:space="preserve"> </w:t>
      </w:r>
      <w:fldSimple w:instr="NOTEREF _Ref_Footnote_70 \h \f">
        <w:r>
          <w:rPr>
            <w:vertAlign w:val="superscript"/>
          </w:rPr>
          <w:t>70</w:t>
        </w:r>
      </w:fldSimple>
      <w:r>
        <w:t xml:space="preserve">. Sonic Sphere mitigates this via matched-distance placement (floor and ceiling speakers equidistant from the listener) and compensating gain scaling derived from each triplet’s subtended solid angle.</w:t>
      </w:r>
    </w:p>
    <w:bookmarkEnd w:id="128"/>
    <w:bookmarkEnd w:id="129"/>
    <w:bookmarkStart w:id="134" w:name="X0db420532facfd6ba3743d1d739070a7f47354d"/>
    <w:p>
      <w:pPr>
        <w:pStyle w:val="Heading3"/>
      </w:pPr>
      <w:r>
        <w:t xml:space="preserve">7.5 Ambisonics as Intermediate Representation</w:t>
      </w:r>
    </w:p>
    <w:bookmarkStart w:id="130" w:name="hoa-encoding"/>
    <w:p>
      <w:pPr>
        <w:pStyle w:val="Heading4"/>
      </w:pPr>
      <w:r>
        <w:t xml:space="preserve">7.5.1 HOA Encoding</w:t>
      </w:r>
    </w:p>
    <w:p>
      <w:pPr>
        <w:pStyle w:val="FirstParagraph"/>
      </w:pPr>
      <w:r>
        <w:t xml:space="preserve">The Sonic Sphere architecture proposes HOA as an optional intermediate representation that decouples content creation from playback. For a plane-wave source</w:t>
      </w:r>
      <w:r>
        <w:t xml:space="preserve"> </w:t>
      </w:r>
      <m:oMath>
        <m:r>
          <m:t>s</m:t>
        </m:r>
        <m:d>
          <m:dPr>
            <m:begChr m:val="("/>
            <m:endChr m:val=")"/>
            <m:sepChr m:val=""/>
            <m:grow/>
          </m:dPr>
          <m:e>
            <m:r>
              <m:t>t</m:t>
            </m:r>
          </m:e>
        </m:d>
      </m:oMath>
      <w:r>
        <w:t xml:space="preserve"> </w:t>
      </w:r>
      <w:r>
        <w:t xml:space="preserve">from direction</w:t>
      </w:r>
      <w:r>
        <w:t xml:space="preserve"> </w:t>
      </w:r>
      <m:oMath>
        <m:d>
          <m:dPr>
            <m:begChr m:val="("/>
            <m:endChr m:val=")"/>
            <m:sepChr m:val=""/>
            <m:grow/>
          </m:dPr>
          <m:e>
            <m:r>
              <m:t>θ</m:t>
            </m:r>
            <m:r>
              <m:rPr>
                <m:sty m:val="p"/>
              </m:rPr>
              <m:t>,</m:t>
            </m:r>
            <m:r>
              <m:t>ϕ</m:t>
            </m:r>
          </m:e>
        </m:d>
      </m:oMath>
      <w:r>
        <w:t xml:space="preserve">:</w:t>
      </w:r>
    </w:p>
    <w:p>
      <w:pPr>
        <w:pStyle w:val="BodyText"/>
      </w:pPr>
      <m:oMathPara>
        <m:oMathParaPr>
          <m:jc m:val="center"/>
        </m:oMathParaPr>
        <m:oMath>
          <m:sSub>
            <m:e>
              <m:r>
                <m:t>B</m:t>
              </m:r>
            </m:e>
            <m:sub>
              <m:r>
                <m:t>n</m:t>
              </m:r>
              <m:r>
                <m:t>m</m:t>
              </m:r>
            </m:sub>
          </m:sSub>
          <m:d>
            <m:dPr>
              <m:begChr m:val="("/>
              <m:endChr m:val=")"/>
              <m:sepChr m:val=""/>
              <m:grow/>
            </m:dPr>
            <m:e>
              <m:r>
                <m:t>t</m:t>
              </m:r>
            </m:e>
          </m:d>
          <m:r>
            <m:rPr>
              <m:sty m:val="p"/>
            </m:rPr>
            <m:t>=</m:t>
          </m:r>
          <m:r>
            <m:t>s</m:t>
          </m:r>
          <m:d>
            <m:dPr>
              <m:begChr m:val="("/>
              <m:endChr m:val=")"/>
              <m:sepChr m:val=""/>
              <m:grow/>
            </m:dPr>
            <m:e>
              <m:r>
                <m:t>t</m:t>
              </m:r>
            </m:e>
          </m:d>
          <m:r>
            <m:rPr>
              <m:sty m:val="p"/>
            </m:rPr>
            <m:t>⋅</m:t>
          </m:r>
          <m:sSubSup>
            <m:e>
              <m:r>
                <m:t>Y</m:t>
              </m:r>
            </m:e>
            <m:sub>
              <m:r>
                <m:t>n</m:t>
              </m:r>
            </m:sub>
            <m:sup>
              <m:r>
                <m:t>m</m:t>
              </m:r>
            </m:sup>
          </m:sSubSup>
          <m:d>
            <m:dPr>
              <m:begChr m:val="("/>
              <m:endChr m:val=")"/>
              <m:sepChr m:val=""/>
              <m:grow/>
            </m:dPr>
            <m:e>
              <m:r>
                <m:t>θ</m:t>
              </m:r>
              <m:r>
                <m:rPr>
                  <m:sty m:val="p"/>
                </m:rPr>
                <m:t>,</m:t>
              </m:r>
              <m:r>
                <m:t>ϕ</m:t>
              </m:r>
            </m:e>
          </m:d>
        </m:oMath>
      </m:oMathPara>
    </w:p>
    <w:p>
      <w:pPr>
        <w:pStyle w:val="FirstParagraph"/>
      </w:pPr>
      <w:r>
        <w:t xml:space="preserve">where</w:t>
      </w:r>
      <w:r>
        <w:t xml:space="preserve"> </w:t>
      </w:r>
      <m:oMath>
        <m:sSubSup>
          <m:e>
            <m:r>
              <m:t>Y</m:t>
            </m:r>
          </m:e>
          <m:sub>
            <m:r>
              <m:t>n</m:t>
            </m:r>
          </m:sub>
          <m:sup>
            <m:r>
              <m:t>m</m:t>
            </m:r>
          </m:sup>
        </m:sSubSup>
        <m:d>
          <m:dPr>
            <m:begChr m:val="("/>
            <m:endChr m:val=")"/>
            <m:sepChr m:val=""/>
            <m:grow/>
          </m:dPr>
          <m:e>
            <m:r>
              <m:t>θ</m:t>
            </m:r>
            <m:r>
              <m:rPr>
                <m:sty m:val="p"/>
              </m:rPr>
              <m:t>,</m:t>
            </m:r>
            <m:r>
              <m:t>ϕ</m:t>
            </m:r>
          </m:e>
        </m:d>
      </m:oMath>
      <w:r>
        <w:t xml:space="preserve"> </w:t>
      </w:r>
      <w:r>
        <w:t xml:space="preserve">are the real spherical harmonic functions of order</w:t>
      </w:r>
      <w:r>
        <w:t xml:space="preserve"> </w:t>
      </w:r>
      <m:oMath>
        <m:r>
          <m:t>n</m:t>
        </m:r>
      </m:oMath>
      <w:r>
        <w:t xml:space="preserve"> </w:t>
      </w:r>
      <w:r>
        <w:t xml:space="preserve">and degree</w:t>
      </w:r>
      <w:r>
        <w:t xml:space="preserve"> </w:t>
      </w:r>
      <m:oMath>
        <m:r>
          <m:t>m</m:t>
        </m:r>
      </m:oMath>
      <w:r>
        <w:t xml:space="preserve"> </w:t>
      </w:r>
      <w:r>
        <w:t xml:space="preserve">(</w:t>
      </w:r>
      <m:oMath>
        <m:r>
          <m:rPr>
            <m:sty m:val="p"/>
          </m:rPr>
          <m:t>−</m:t>
        </m:r>
        <m:r>
          <m:t>n</m:t>
        </m:r>
        <m:r>
          <m:rPr>
            <m:sty m:val="p"/>
          </m:rPr>
          <m:t>≤</m:t>
        </m:r>
        <m:r>
          <m:t>m</m:t>
        </m:r>
        <m:r>
          <m:rPr>
            <m:sty m:val="p"/>
          </m:rPr>
          <m:t>≤</m:t>
        </m:r>
        <m:r>
          <m:t>n</m:t>
        </m:r>
      </m:oMath>
      <w:r>
        <w:t xml:space="preserve">)</w:t>
      </w:r>
      <w:r>
        <w:t xml:space="preserve"> </w:t>
      </w:r>
      <w:fldSimple w:instr="NOTEREF _Ref_Footnote_59 \h \f">
        <w:r>
          <w:rPr>
            <w:vertAlign w:val="superscript"/>
          </w:rPr>
          <w:t>59</w:t>
        </w:r>
      </w:fldSimple>
      <w:r>
        <w:t xml:space="preserve"> </w:t>
      </w:r>
      <w:fldSimple w:instr="NOTEREF _Ref_Footnote_60 \h \f">
        <w:r>
          <w:rPr>
            <w:vertAlign w:val="superscript"/>
          </w:rPr>
          <w:t>60</w:t>
        </w:r>
      </w:fldSimple>
      <w:r>
        <w:t xml:space="preserve">. The spherical harmonics form a complete orthonormal basis on the unit sphere, enabling decomposition of any directional soundfield into weighted basis functions</w:t>
      </w:r>
      <w:r>
        <w:t xml:space="preserve"> </w:t>
      </w:r>
      <w:r>
        <w:rPr>
          <w:vertAlign w:val="superscript"/>
        </w:rPr>
        <w:footnoteReference w:id="100"/>
      </w:r>
      <w:r>
        <w:t xml:space="preserve">. For first-order Ambisonics in SN3D/ACN (AmbiX) convention:</w:t>
      </w:r>
    </w:p>
    <w:p>
      <w:pPr>
        <w:pStyle w:val="BodyText"/>
      </w:pPr>
      <m:oMathPara>
        <m:oMathParaPr>
          <m:jc m:val="center"/>
        </m:oMathParaPr>
        <m:oMath>
          <m:sSup>
            <m:e>
              <m:d>
                <m:dPr>
                  <m:begChr m:val="["/>
                  <m:endChr m:val="]"/>
                  <m:sepChr m:val=""/>
                  <m:grow/>
                </m:dPr>
                <m:e>
                  <m:r>
                    <m:t>W</m:t>
                  </m:r>
                  <m:r>
                    <m:rPr>
                      <m:sty m:val="p"/>
                    </m:rPr>
                    <m:t>,</m:t>
                  </m:r>
                  <m:r>
                    <m:t>Y</m:t>
                  </m:r>
                  <m:r>
                    <m:rPr>
                      <m:sty m:val="p"/>
                    </m:rPr>
                    <m:t>,</m:t>
                  </m:r>
                  <m:r>
                    <m:t>Z</m:t>
                  </m:r>
                  <m:r>
                    <m:rPr>
                      <m:sty m:val="p"/>
                    </m:rPr>
                    <m:t>,</m:t>
                  </m:r>
                  <m:r>
                    <m:t>X</m:t>
                  </m:r>
                </m:e>
              </m:d>
            </m:e>
            <m:sup>
              <m:r>
                <m:t>T</m:t>
              </m:r>
            </m:sup>
          </m:sSup>
          <m:r>
            <m:rPr>
              <m:sty m:val="p"/>
            </m:rPr>
            <m:t>=</m:t>
          </m:r>
          <m:r>
            <m:t>s</m:t>
          </m:r>
          <m:d>
            <m:dPr>
              <m:begChr m:val="("/>
              <m:endChr m:val=")"/>
              <m:sepChr m:val=""/>
              <m:grow/>
            </m:dPr>
            <m:e>
              <m:r>
                <m:t>t</m:t>
              </m:r>
            </m:e>
          </m:d>
          <m:r>
            <m:rPr>
              <m:sty m:val="p"/>
            </m:rPr>
            <m:t>⋅</m:t>
          </m:r>
          <m:sSup>
            <m:e>
              <m:d>
                <m:dPr>
                  <m:begChr m:val="["/>
                  <m:endChr m:val="]"/>
                  <m:sepChr m:val=""/>
                  <m:grow/>
                </m:dPr>
                <m:e>
                  <m:r>
                    <m:t>1</m:t>
                  </m:r>
                  <m:r>
                    <m:rPr>
                      <m:sty m:val="p"/>
                    </m:rPr>
                    <m:t>/</m:t>
                  </m:r>
                  <m:rad>
                    <m:radPr>
                      <m:degHide m:val="1"/>
                    </m:radPr>
                    <m:deg/>
                    <m:e>
                      <m:r>
                        <m:t>2</m:t>
                      </m:r>
                    </m:e>
                  </m:rad>
                  <m:r>
                    <m:rPr>
                      <m:sty m:val="p"/>
                    </m:rPr>
                    <m:t>,</m:t>
                  </m:r>
                  <m:r>
                    <m:t> </m:t>
                  </m:r>
                  <m:r>
                    <m:rPr>
                      <m:sty m:val="p"/>
                    </m:rPr>
                    <m:t>cos</m:t>
                  </m:r>
                  <m:r>
                    <m:t>θ</m:t>
                  </m:r>
                  <m:r>
                    <m:rPr>
                      <m:sty m:val="p"/>
                    </m:rPr>
                    <m:t>cos</m:t>
                  </m:r>
                  <m:r>
                    <m:t>ϕ</m:t>
                  </m:r>
                  <m:r>
                    <m:rPr>
                      <m:sty m:val="p"/>
                    </m:rPr>
                    <m:t>,</m:t>
                  </m:r>
                  <m:r>
                    <m:t> </m:t>
                  </m:r>
                  <m:r>
                    <m:rPr>
                      <m:sty m:val="p"/>
                    </m:rPr>
                    <m:t>sin</m:t>
                  </m:r>
                  <m:r>
                    <m:t>ϕ</m:t>
                  </m:r>
                  <m:r>
                    <m:rPr>
                      <m:sty m:val="p"/>
                    </m:rPr>
                    <m:t>,</m:t>
                  </m:r>
                  <m:r>
                    <m:t> </m:t>
                  </m:r>
                  <m:r>
                    <m:rPr>
                      <m:sty m:val="p"/>
                    </m:rPr>
                    <m:t>sin</m:t>
                  </m:r>
                  <m:r>
                    <m:t>θ</m:t>
                  </m:r>
                  <m:r>
                    <m:rPr>
                      <m:sty m:val="p"/>
                    </m:rPr>
                    <m:t>cos</m:t>
                  </m:r>
                  <m:r>
                    <m:t>ϕ</m:t>
                  </m:r>
                </m:e>
              </m:d>
            </m:e>
            <m:sup>
              <m:r>
                <m:t>T</m:t>
              </m:r>
            </m:sup>
          </m:sSup>
        </m:oMath>
      </m:oMathPara>
    </w:p>
    <w:p>
      <w:pPr>
        <w:pStyle w:val="FirstParagraph"/>
      </w:pPr>
      <w:r>
        <w:t xml:space="preserve">where W is the omnidirectional component and X, Y, Z are the figure-of-eight components</w:t>
      </w:r>
      <w:r>
        <w:t xml:space="preserve"> </w:t>
      </w:r>
      <w:fldSimple w:instr="NOTEREF _Ref_Footnote_60 \h \f">
        <w:r>
          <w:rPr>
            <w:vertAlign w:val="superscript"/>
          </w:rPr>
          <w:t>60</w:t>
        </w:r>
      </w:fldSimple>
      <w:r>
        <w:t xml:space="preserve">.</w:t>
      </w:r>
    </w:p>
    <w:bookmarkEnd w:id="130"/>
    <w:bookmarkStart w:id="131" w:name="full-sphere-coverage-90-to-90"/>
    <w:p>
      <w:pPr>
        <w:pStyle w:val="Heading4"/>
      </w:pPr>
      <w:r>
        <w:t xml:space="preserve">7.5.2 Full-Sphere Coverage: −90° to +90°</w:t>
      </w:r>
    </w:p>
    <w:p>
      <w:pPr>
        <w:pStyle w:val="FirstParagraph"/>
      </w:pPr>
      <w:r>
        <w:t xml:space="preserve">HOA natively supports the full sphere, with elevation from −90° (nadir) to +90° (zenith)</w:t>
      </w:r>
      <w:r>
        <w:t xml:space="preserve"> </w:t>
      </w:r>
      <w:fldSimple w:instr="NOTEREF _Ref_Footnote_8 \h \f">
        <w:r>
          <w:rPr>
            <w:vertAlign w:val="superscript"/>
          </w:rPr>
          <w:t>8</w:t>
        </w:r>
      </w:fldSimple>
      <w:r>
        <w:t xml:space="preserve">. The encoding equation accepts any</w:t>
      </w:r>
      <w:r>
        <w:t xml:space="preserve"> </w:t>
      </w:r>
      <m:oMath>
        <m:d>
          <m:dPr>
            <m:begChr m:val="("/>
            <m:endChr m:val=")"/>
            <m:sepChr m:val=""/>
            <m:grow/>
          </m:dPr>
          <m:e>
            <m:r>
              <m:t>θ</m:t>
            </m:r>
            <m:r>
              <m:rPr>
                <m:sty m:val="p"/>
              </m:rPr>
              <m:t>,</m:t>
            </m:r>
            <m:r>
              <m:t>ϕ</m:t>
            </m:r>
          </m:e>
        </m:d>
      </m:oMath>
      <w:r>
        <w:t xml:space="preserve"> </w:t>
      </w:r>
      <w:r>
        <w:t xml:space="preserve">on the sphere without special-casing negative elevations. The associated Legendre functions</w:t>
      </w:r>
      <w:r>
        <w:t xml:space="preserve"> </w:t>
      </w:r>
      <m:oMath>
        <m:sSubSup>
          <m:e>
            <m:r>
              <m:t>P</m:t>
            </m:r>
          </m:e>
          <m:sub>
            <m:r>
              <m:t>n</m:t>
            </m:r>
          </m:sub>
          <m:sup>
            <m:d>
              <m:dPr>
                <m:begChr m:val="|"/>
                <m:endChr m:val="|"/>
                <m:sepChr m:val=""/>
                <m:grow/>
              </m:dPr>
              <m:e>
                <m:r>
                  <m:t>m</m:t>
                </m:r>
              </m:e>
            </m:d>
          </m:sup>
        </m:sSubSup>
        <m:d>
          <m:dPr>
            <m:begChr m:val="("/>
            <m:endChr m:val=")"/>
            <m:sepChr m:val=""/>
            <m:grow/>
          </m:dPr>
          <m:e>
            <m:r>
              <m:rPr>
                <m:sty m:val="p"/>
              </m:rPr>
              <m:t>sin</m:t>
            </m:r>
            <m:r>
              <m:t>ϕ</m:t>
            </m:r>
          </m:e>
        </m:d>
      </m:oMath>
      <w:r>
        <w:t xml:space="preserve"> </w:t>
      </w:r>
      <w:r>
        <w:t xml:space="preserve">are defined for all</w:t>
      </w:r>
      <w:r>
        <w:t xml:space="preserve"> </w:t>
      </w:r>
      <m:oMath>
        <m:r>
          <m:t>ϕ</m:t>
        </m:r>
        <m:r>
          <m:rPr>
            <m:sty m:val="p"/>
          </m:rPr>
          <m:t>∈</m:t>
        </m:r>
        <m:d>
          <m:dPr>
            <m:begChr m:val="["/>
            <m:endChr m:val="]"/>
            <m:sepChr m:val=""/>
            <m:grow/>
          </m:dPr>
          <m:e>
            <m:r>
              <m:rPr>
                <m:sty m:val="p"/>
              </m:rPr>
              <m:t>−</m:t>
            </m:r>
            <m:r>
              <m:t>90</m:t>
            </m:r>
            <m:r>
              <m:rPr>
                <m:sty m:val="p"/>
              </m:rPr>
              <m:t>°</m:t>
            </m:r>
            <m:r>
              <m:rPr>
                <m:sty m:val="p"/>
              </m:rPr>
              <m:t>,</m:t>
            </m:r>
            <m:r>
              <m:rPr>
                <m:sty m:val="p"/>
              </m:rPr>
              <m:t>+</m:t>
            </m:r>
            <m:r>
              <m:t>90</m:t>
            </m:r>
            <m:r>
              <m:rPr>
                <m:sty m:val="p"/>
              </m:rPr>
              <m:t>°</m:t>
            </m:r>
          </m:e>
        </m:d>
      </m:oMath>
      <w:r>
        <w:t xml:space="preserve"> </w:t>
      </w:r>
      <w:r>
        <w:rPr>
          <w:vertAlign w:val="superscript"/>
        </w:rPr>
        <w:footnoteReference w:id="101"/>
      </w:r>
      <w:r>
        <w:t xml:space="preserve">. Objects below the horizon encode identically to objects above it; the decoder distributes coefficients to whatever array is available.</w:t>
      </w:r>
    </w:p>
    <w:bookmarkEnd w:id="131"/>
    <w:bookmarkStart w:id="132" w:name="the-allrad-decoder"/>
    <w:p>
      <w:pPr>
        <w:pStyle w:val="Heading4"/>
      </w:pPr>
      <w:r>
        <w:t xml:space="preserve">7.5.3 The AllRAD Decoder</w:t>
      </w:r>
    </w:p>
    <w:p>
      <w:pPr>
        <w:pStyle w:val="FirstParagraph"/>
      </w:pPr>
      <w:r>
        <w:t xml:space="preserve">AllRAD bridges HOA’s format-agnostic representation and VBAP’s robust panning in two stages</w:t>
      </w:r>
      <w:r>
        <w:t xml:space="preserve"> </w:t>
      </w:r>
      <w:r>
        <w:rPr>
          <w:vertAlign w:val="superscript"/>
        </w:rPr>
        <w:footnoteReference w:id="102"/>
      </w:r>
      <w:r>
        <w:t xml:space="preserve">: (1) decode HOA to ~240 virtual loudspeaker directions arranged as a t-design on a uniform sphere using a sampling decoder, and (2) remap each virtual speaker to the real array via VBAP. This hybrid design is particularly valuable for full-sphere Sonic Sphere installations because practical consumer arrays rarely exhibit the geometric regularity of Platonic solids — floor speakers may use different driver sizes, different elevation angles, or asymmetric placement relative to their ceiling counterparts. AllRAD absorbs these irregularities in the VBAP remapping stage while the HOA decode stage provides a mathematically clean full-sphere representation</w:t>
      </w:r>
      <w:r>
        <w:t xml:space="preserve"> </w:t>
      </w:r>
      <w:fldSimple w:instr="NOTEREF _Ref_Footnote_87 \h \f">
        <w:r>
          <w:rPr>
            <w:vertAlign w:val="superscript"/>
          </w:rPr>
          <w:t>87</w:t>
        </w:r>
      </w:fldSimple>
      <w:r>
        <w:t xml:space="preserve">. For hemispherical fallback playback, AllRAD inserts imaginary loudspeakers at nadir to stabilize loudness and localization at the horizon boundary</w:t>
      </w:r>
      <w:r>
        <w:t xml:space="preserve"> </w:t>
      </w:r>
      <w:fldSimple w:instr="NOTEREF _Ref_Footnote_70 \h \f">
        <w:r>
          <w:rPr>
            <w:vertAlign w:val="superscript"/>
          </w:rPr>
          <w:t>70</w:t>
        </w:r>
      </w:fldSimple>
      <w:r>
        <w:t xml:space="preserve">.</w:t>
      </w:r>
    </w:p>
    <w:bookmarkEnd w:id="132"/>
    <w:bookmarkStart w:id="133" w:name="channel-count-n12"/>
    <w:p>
      <w:pPr>
        <w:pStyle w:val="Heading4"/>
      </w:pPr>
      <w:r>
        <w:t xml:space="preserve">7.5.4 Channel Count:</w:t>
      </w:r>
      <w:r>
        <w:t xml:space="preserve"> </w:t>
      </w:r>
      <m:oMath>
        <m:sSup>
          <m:e>
            <m:d>
              <m:dPr>
                <m:begChr m:val="("/>
                <m:endChr m:val=")"/>
                <m:sepChr m:val=""/>
                <m:grow/>
              </m:dPr>
              <m:e>
                <m:r>
                  <m:t>N</m:t>
                </m:r>
                <m:r>
                  <m:rPr>
                    <m:sty m:val="p"/>
                  </m:rPr>
                  <m:t>+</m:t>
                </m:r>
                <m:r>
                  <m:t>1</m:t>
                </m:r>
              </m:e>
            </m:d>
          </m:e>
          <m:sup>
            <m:r>
              <m:t>2</m:t>
            </m:r>
          </m:sup>
        </m:sSup>
      </m:oMath>
    </w:p>
    <w:p>
      <w:pPr>
        <w:pStyle w:val="FirstParagraph"/>
      </w:pPr>
      <w:r>
        <w:t xml:space="preserve">The number of HOA channels for 3D rendering at order</w:t>
      </w:r>
      <w:r>
        <w:t xml:space="preserve"> </w:t>
      </w:r>
      <m:oMath>
        <m:r>
          <m:t>N</m:t>
        </m:r>
      </m:oMath>
      <w:r>
        <w:t xml:space="preserve"> </w:t>
      </w:r>
      <w:r>
        <w:t xml:space="preserve">is</w:t>
      </w:r>
      <w:r>
        <w:t xml:space="preserve"> </w:t>
      </w:r>
      <m:oMath>
        <m:sSup>
          <m:e>
            <m:d>
              <m:dPr>
                <m:begChr m:val="("/>
                <m:endChr m:val=")"/>
                <m:sepChr m:val=""/>
                <m:grow/>
              </m:dPr>
              <m:e>
                <m:r>
                  <m:t>N</m:t>
                </m:r>
                <m:r>
                  <m:rPr>
                    <m:sty m:val="p"/>
                  </m:rPr>
                  <m:t>+</m:t>
                </m:r>
                <m:r>
                  <m:t>1</m:t>
                </m:r>
              </m:e>
            </m:d>
          </m:e>
          <m:sup>
            <m:r>
              <m:t>2</m:t>
            </m:r>
          </m:sup>
        </m:sSup>
      </m:oMath>
      <w:r>
        <w:t xml:space="preserve">, growing quadratically because each order</w:t>
      </w:r>
      <w:r>
        <w:t xml:space="preserve"> </w:t>
      </w:r>
      <m:oMath>
        <m:r>
          <m:t>n</m:t>
        </m:r>
      </m:oMath>
      <w:r>
        <w:t xml:space="preserve"> </w:t>
      </w:r>
      <w:r>
        <w:t xml:space="preserve">contributes</w:t>
      </w:r>
      <w:r>
        <w:t xml:space="preserve"> </w:t>
      </w:r>
      <m:oMath>
        <m:r>
          <m:t>2</m:t>
        </m:r>
        <m:r>
          <m:t>n</m:t>
        </m:r>
        <m:r>
          <m:rPr>
            <m:sty m:val="p"/>
          </m:rPr>
          <m:t>+</m:t>
        </m:r>
        <m:r>
          <m:t>1</m:t>
        </m:r>
      </m:oMath>
      <w:r>
        <w:t xml:space="preserve"> </w:t>
      </w:r>
      <w:r>
        <w:t xml:space="preserve">harmonics</w:t>
      </w:r>
      <w:r>
        <w:t xml:space="preserve"> </w:t>
      </w:r>
      <w:r>
        <w:rPr>
          <w:vertAlign w:val="superscript"/>
        </w:rPr>
        <w:footnoteReference w:id="103"/>
      </w:r>
      <w:r>
        <w:t xml:space="preserve">. First-order yields 4 channels, second-order 9, third-order 16. For Sonic Sphere delivery, 3rd-order HOA (16 channels) offers a practical balance — sufficient spatial resolution for full-sphere localization while remaining within modern codec capacity. MPEG-H HOA spatial compression can reduce 4th-order content (25 channels) to 6 transport signals plus metadata</w:t>
      </w:r>
      <w:r>
        <w:t xml:space="preserve"> </w:t>
      </w:r>
      <w:r>
        <w:rPr>
          <w:vertAlign w:val="superscript"/>
        </w:rPr>
        <w:footnoteReference w:id="104"/>
      </w:r>
      <w:r>
        <w:t xml:space="preserve">.</w:t>
      </w:r>
    </w:p>
    <w:bookmarkEnd w:id="133"/>
    <w:bookmarkEnd w:id="134"/>
    <w:bookmarkStart w:id="139" w:name="the-sonic-sphere-rendering-pipeline"/>
    <w:p>
      <w:pPr>
        <w:pStyle w:val="Heading3"/>
      </w:pPr>
      <w:r>
        <w:t xml:space="preserve">7.6 The Sonic Sphere Rendering Pipeline</w:t>
      </w:r>
    </w:p>
    <w:bookmarkStart w:id="135" w:name="pipeline-architecture"/>
    <w:p>
      <w:pPr>
        <w:pStyle w:val="Heading4"/>
      </w:pPr>
      <w:r>
        <w:t xml:space="preserve">7.6.1 Pipeline Architecture</w:t>
      </w:r>
    </w:p>
    <w:p>
      <w:pPr>
        <w:pStyle w:val="FirstParagraph"/>
      </w:pPr>
      <w:r>
        <w:t xml:space="preserve">The Sonic Sphere pipeline extends Atmos with three modifications: full-sphere object rendering, an optional HOA intermediate, and floor-aware bed routing:</w:t>
      </w:r>
    </w:p>
    <w:p>
      <w:pPr>
        <w:pStyle w:val="BodyText"/>
      </w:pPr>
      <w:r>
        <w:rPr>
          <w:bCs/>
          <w:b/>
        </w:rPr>
        <w:t xml:space="preserve">Input Parser</w:t>
      </w:r>
      <w:r>
        <w:t xml:space="preserve"> </w:t>
      </w:r>
      <w:r>
        <w:t xml:space="preserve">→</w:t>
      </w:r>
      <w:r>
        <w:t xml:space="preserve"> </w:t>
      </w:r>
      <w:r>
        <w:rPr>
          <w:bCs/>
          <w:b/>
        </w:rPr>
        <w:t xml:space="preserve">Full-Sphere Object Renderer</w:t>
      </w:r>
      <w:r>
        <w:t xml:space="preserve"> </w:t>
      </w:r>
      <w:r>
        <w:t xml:space="preserve">→</w:t>
      </w:r>
      <w:r>
        <w:t xml:space="preserve"> </w:t>
      </w:r>
      <w:r>
        <w:rPr>
          <w:bCs/>
          <w:b/>
        </w:rPr>
        <w:t xml:space="preserve">Bed Renderer</w:t>
      </w:r>
      <w:r>
        <w:t xml:space="preserve"> </w:t>
      </w:r>
      <w:r>
        <w:t xml:space="preserve">→</w:t>
      </w:r>
      <w:r>
        <w:t xml:space="preserve"> </w:t>
      </w:r>
      <w:r>
        <w:rPr>
          <w:bCs/>
          <w:b/>
        </w:rPr>
        <w:t xml:space="preserve">HOA Intermediate (optional)</w:t>
      </w:r>
      <w:r>
        <w:t xml:space="preserve"> </w:t>
      </w:r>
      <w:r>
        <w:t xml:space="preserve">→</w:t>
      </w:r>
      <w:r>
        <w:t xml:space="preserve"> </w:t>
      </w:r>
      <w:r>
        <w:rPr>
          <w:bCs/>
          <w:b/>
        </w:rPr>
        <w:t xml:space="preserve">Mixdown</w:t>
      </w:r>
      <w:r>
        <w:t xml:space="preserve"> </w:t>
      </w:r>
      <w:r>
        <w:t xml:space="preserve">→</w:t>
      </w:r>
      <w:r>
        <w:t xml:space="preserve"> </w:t>
      </w:r>
      <w:r>
        <w:rPr>
          <w:bCs/>
          <w:b/>
        </w:rPr>
        <w:t xml:space="preserve">Output</w:t>
      </w:r>
    </w:p>
    <w:p>
      <w:pPr>
        <w:pStyle w:val="BodyText"/>
      </w:pPr>
      <w:r>
        <w:t xml:space="preserve">The Input Parser decodes beds and objects with extended OAMD (Z ∈ [−1, 1]), parsing the same SMPTE ST 2098-1 bitstream structure as legacy Atmos but interpreting Z-values across the full [−1, 1] range. The Full-Sphere Object Renderer applies VBAP per object: for Z ≥ 0, standard upper-hemisphere triplets are selected from the precomputed convex hull; for Z &lt; 0, the triplet search automatically spans into lower-hemisphere facets that include floor speakers. Object size and spread parameters (Section 4.3) extend naturally to the lower hemisphere, with MDAP auxiliary sources distributed around the panning direction including negative elevation orientations. The Bed Renderer maintains a three-layer routing matrix: middle-layer beds (L, R, C, Ls, Rs, Lb, Rb) to ear-level speakers, upper-layer beds (Ltf, Rtf, Ltr, Rtr) to height speakers, and the new lower-layer beds (Lbf, Rbf, Lbr, Rbr) to floor speakers. The optional HOA Intermediate stage encodes all rendered sources — both bed contributions and object gains — to Ambisonic coefficients</w:t>
      </w:r>
      <w:r>
        <w:t xml:space="preserve"> </w:t>
      </w:r>
      <m:oMath>
        <m:sSub>
          <m:e>
            <m:r>
              <m:t>B</m:t>
            </m:r>
          </m:e>
          <m:sub>
            <m:r>
              <m:t>n</m:t>
            </m:r>
            <m:r>
              <m:t>m</m:t>
            </m:r>
          </m:sub>
        </m:sSub>
        <m:d>
          <m:dPr>
            <m:begChr m:val="("/>
            <m:endChr m:val=")"/>
            <m:sepChr m:val=""/>
            <m:grow/>
          </m:dPr>
          <m:e>
            <m:r>
              <m:t>t</m:t>
            </m:r>
          </m:e>
        </m:d>
      </m:oMath>
      <w:r>
        <w:t xml:space="preserve">, enabling a single encoded stream to be distributed and decoded to arbitrary target arrays including headphone binaural via HRTF convolution. The Mixdown stage combines object contributions, bed contributions, and decoded HOA signals into final per-speaker output feeds with headroom-managed summing to prevent inter-sample overloads.</w:t>
      </w:r>
    </w:p>
    <w:bookmarkEnd w:id="135"/>
    <w:bookmarkStart w:id="136" w:name="spatial-coding-adaptation"/>
    <w:p>
      <w:pPr>
        <w:pStyle w:val="Heading4"/>
      </w:pPr>
      <w:r>
        <w:t xml:space="preserve">7.6.2 Spatial Coding Adaptation</w:t>
      </w:r>
    </w:p>
    <w:p>
      <w:pPr>
        <w:pStyle w:val="FirstParagraph"/>
      </w:pPr>
      <w:r>
        <w:t xml:space="preserve">Atmos spatial coding clusters 128 objects into 12–16 elements based on 3D proximity. For Sonic Sphere, the clustering metric</w:t>
      </w:r>
      <w:r>
        <w:t xml:space="preserve"> </w:t>
      </w:r>
      <m:oMath>
        <m:sSub>
          <m:e>
            <m:r>
              <m:t>d</m:t>
            </m:r>
          </m:e>
          <m:sub>
            <m:r>
              <m:t>i</m:t>
            </m:r>
            <m:r>
              <m:t>j</m:t>
            </m:r>
          </m:sub>
        </m:sSub>
        <m:r>
          <m:rPr>
            <m:sty m:val="p"/>
          </m:rPr>
          <m:t>=</m:t>
        </m:r>
        <m:rad>
          <m:radPr>
            <m:degHide m:val="1"/>
          </m:radPr>
          <m:deg/>
          <m:e>
            <m:sSup>
              <m:e>
                <m:d>
                  <m:dPr>
                    <m:begChr m:val="("/>
                    <m:endChr m:val=")"/>
                    <m:sepChr m:val=""/>
                    <m:grow/>
                  </m:dPr>
                  <m:e>
                    <m:r>
                      <m:t>Δ</m:t>
                    </m:r>
                    <m:r>
                      <m:t>X</m:t>
                    </m:r>
                  </m:e>
                </m:d>
              </m:e>
              <m:sup>
                <m:r>
                  <m:t>2</m:t>
                </m:r>
              </m:sup>
            </m:sSup>
            <m:r>
              <m:rPr>
                <m:sty m:val="p"/>
              </m:rPr>
              <m:t>+</m:t>
            </m:r>
            <m:sSup>
              <m:e>
                <m:d>
                  <m:dPr>
                    <m:begChr m:val="("/>
                    <m:endChr m:val=")"/>
                    <m:sepChr m:val=""/>
                    <m:grow/>
                  </m:dPr>
                  <m:e>
                    <m:r>
                      <m:t>Δ</m:t>
                    </m:r>
                    <m:r>
                      <m:t>Y</m:t>
                    </m:r>
                  </m:e>
                </m:d>
              </m:e>
              <m:sup>
                <m:r>
                  <m:t>2</m:t>
                </m:r>
              </m:sup>
            </m:sSup>
            <m:r>
              <m:rPr>
                <m:sty m:val="p"/>
              </m:rPr>
              <m:t>+</m:t>
            </m:r>
            <m:sSup>
              <m:e>
                <m:d>
                  <m:dPr>
                    <m:begChr m:val="("/>
                    <m:endChr m:val=")"/>
                    <m:sepChr m:val=""/>
                    <m:grow/>
                  </m:dPr>
                  <m:e>
                    <m:r>
                      <m:t>Δ</m:t>
                    </m:r>
                    <m:r>
                      <m:t>Z</m:t>
                    </m:r>
                  </m:e>
                </m:d>
              </m:e>
              <m:sup>
                <m:r>
                  <m:t>2</m:t>
                </m:r>
              </m:sup>
            </m:sSup>
          </m:e>
        </m:rad>
      </m:oMath>
      <w:r>
        <w:t xml:space="preserve"> </w:t>
      </w:r>
      <w:r>
        <w:t xml:space="preserve">spans the full sphere with Z ∈ [−1, 1]. Objects in the lower hemisphere cluster separately from those at equivalent (X, Y) with positive Z. The perceptual basis — nearby objects activate similar speaker subsets — remains valid across the full sphere, and compression ratios (~191:1 for DD+ JOC at 768 kbps) should be comparable</w:t>
      </w:r>
      <w:r>
        <w:t xml:space="preserve"> </w:t>
      </w:r>
      <w:fldSimple w:instr="NOTEREF _Ref_Footnote_66 \h \f">
        <w:r>
          <w:rPr>
            <w:vertAlign w:val="superscript"/>
          </w:rPr>
          <w:t>66</w:t>
        </w:r>
      </w:fldSimple>
      <w:r>
        <w:t xml:space="preserve">.</w:t>
      </w:r>
    </w:p>
    <w:bookmarkEnd w:id="136"/>
    <w:bookmarkStart w:id="137" w:name="backward-compatibility"/>
    <w:p>
      <w:pPr>
        <w:pStyle w:val="Heading4"/>
      </w:pPr>
      <w:r>
        <w:t xml:space="preserve">7.6.3 Backward Compatibility</w:t>
      </w:r>
    </w:p>
    <w:p>
      <w:pPr>
        <w:pStyle w:val="FirstParagraph"/>
      </w:pPr>
      <w:r>
        <w:t xml:space="preserve">Sonic Sphere content must play on hemispherical Atmos systems. Three compatibility modes are defined:</w:t>
      </w:r>
      <w:r>
        <w:t xml:space="preserve"> </w:t>
      </w:r>
      <w:r>
        <w:rPr>
          <w:bCs/>
          <w:b/>
        </w:rPr>
        <w:t xml:space="preserve">Horizon clip</w:t>
      </w:r>
      <w:r>
        <w:t xml:space="preserve"> </w:t>
      </w:r>
      <w:r>
        <w:t xml:space="preserve">(default): Z &lt; 0 maps to Z = 0, folding below-horizon objects onto the horizontal plane.</w:t>
      </w:r>
      <w:r>
        <w:t xml:space="preserve"> </w:t>
      </w:r>
      <w:r>
        <w:rPr>
          <w:bCs/>
          <w:b/>
        </w:rPr>
        <w:t xml:space="preserve">Virtual nadir</w:t>
      </w:r>
      <w:r>
        <w:t xml:space="preserve">: Z &lt; 0 renders via the virtual speaker approach with progressive fade.</w:t>
      </w:r>
      <w:r>
        <w:t xml:space="preserve"> </w:t>
      </w:r>
      <w:r>
        <w:rPr>
          <w:bCs/>
          <w:b/>
        </w:rPr>
        <w:t xml:space="preserve">Energy redistribution</w:t>
      </w:r>
      <w:r>
        <w:t xml:space="preserve">: floor channel energy redistributes to nearest ear-level speakers with power-preserving coefficients</w:t>
      </w:r>
      <w:r>
        <w:t xml:space="preserve"> </w:t>
      </w:r>
      <m:oMath>
        <m:sSub>
          <m:e>
            <m:r>
              <m:t>w</m:t>
            </m:r>
          </m:e>
          <m:sub>
            <m:r>
              <m:t>d</m:t>
            </m:r>
            <m:r>
              <m:t>m</m:t>
            </m:r>
            <m:r>
              <m:t>x</m:t>
            </m:r>
          </m:sub>
        </m:sSub>
        <m:r>
          <m:rPr>
            <m:sty m:val="p"/>
          </m:rPr>
          <m:t>=</m:t>
        </m:r>
        <m:r>
          <m:t>1</m:t>
        </m:r>
        <m:r>
          <m:rPr>
            <m:sty m:val="p"/>
          </m:rPr>
          <m:t>/</m:t>
        </m:r>
        <m:rad>
          <m:radPr>
            <m:degHide m:val="1"/>
          </m:radPr>
          <m:deg/>
          <m:e>
            <m:r>
              <m:t>n</m:t>
            </m:r>
          </m:e>
        </m:rad>
      </m:oMath>
      <w:r>
        <w:t xml:space="preserve"> </w:t>
      </w:r>
      <w:fldSimple w:instr="NOTEREF _Ref_Footnote_16 \h \f">
        <w:r>
          <w:rPr>
            <w:vertAlign w:val="superscript"/>
          </w:rPr>
          <w:t>16</w:t>
        </w:r>
      </w:fldSimple>
      <w:r>
        <w:t xml:space="preserve">. Content with Z ≥ 0 renders identically on Sonic Sphere systems — the positive-Z path is unchanged.</w:t>
      </w:r>
    </w:p>
    <w:bookmarkEnd w:id="137"/>
    <w:bookmarkStart w:id="138" w:name="comparison-atmos-vs.-sonic-sphere"/>
    <w:p>
      <w:pPr>
        <w:pStyle w:val="Heading4"/>
      </w:pPr>
      <w:r>
        <w:t xml:space="preserve">7.6.4 Comparison: Atmos vs. Sonic Sphere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Dolby Atmos</w:t>
            </w:r>
          </w:p>
        </w:tc>
        <w:tc>
          <w:tcPr/>
          <w:p>
            <w:pPr>
              <w:pStyle w:val="Compact"/>
              <w:jc w:val="left"/>
            </w:pPr>
            <w:r>
              <w:t xml:space="preserve">Sonic Sphere</w:t>
            </w:r>
          </w:p>
        </w:tc>
      </w:tr>
      <w:tr>
        <w:tc>
          <w:tcPr/>
          <w:p>
            <w:pPr>
              <w:pStyle w:val="Compact"/>
              <w:jc w:val="left"/>
            </w:pPr>
            <w:r>
              <w:t xml:space="preserve">Coordinate range (Z)</w:t>
            </w:r>
          </w:p>
        </w:tc>
        <w:tc>
          <w:tcPr/>
          <w:p>
            <w:pPr>
              <w:pStyle w:val="Compact"/>
              <w:jc w:val="left"/>
            </w:pPr>
            <w:r>
              <w:t xml:space="preserve">[0, 1] — horizon to overhead</w:t>
            </w:r>
          </w:p>
        </w:tc>
        <w:tc>
          <w:tcPr/>
          <w:p>
            <w:pPr>
              <w:pStyle w:val="Compact"/>
              <w:jc w:val="left"/>
            </w:pPr>
            <w:r>
              <w:t xml:space="preserve">[−1, 1] — floor to ceiling</w:t>
            </w:r>
          </w:p>
        </w:tc>
      </w:tr>
      <w:tr>
        <w:tc>
          <w:tcPr/>
          <w:p>
            <w:pPr>
              <w:pStyle w:val="Compact"/>
              <w:jc w:val="left"/>
            </w:pPr>
            <w:r>
              <w:t xml:space="preserve">Bed configuration</w:t>
            </w:r>
          </w:p>
        </w:tc>
        <w:tc>
          <w:tcPr/>
          <w:p>
            <w:pPr>
              <w:pStyle w:val="Compact"/>
              <w:jc w:val="left"/>
            </w:pPr>
            <w:r>
              <w:t xml:space="preserve">7.1.2 (max 10 bed channels)</w:t>
            </w:r>
          </w:p>
        </w:tc>
        <w:tc>
          <w:tcPr/>
          <w:p>
            <w:pPr>
              <w:pStyle w:val="Compact"/>
              <w:jc w:val="left"/>
            </w:pPr>
            <w:r>
              <w:t xml:space="preserve">7.1.4.4 (16 bed channels)</w:t>
            </w:r>
          </w:p>
        </w:tc>
      </w:tr>
      <w:tr>
        <w:tc>
          <w:tcPr/>
          <w:p>
            <w:pPr>
              <w:pStyle w:val="Compact"/>
              <w:jc w:val="left"/>
            </w:pPr>
            <w:r>
              <w:t xml:space="preserve">Speaker layers</w:t>
            </w:r>
          </w:p>
        </w:tc>
        <w:tc>
          <w:tcPr/>
          <w:p>
            <w:pPr>
              <w:pStyle w:val="Compact"/>
              <w:jc w:val="left"/>
            </w:pPr>
            <w:r>
              <w:t xml:space="preserve">2 (ear-level + height)</w:t>
            </w:r>
          </w:p>
        </w:tc>
        <w:tc>
          <w:tcPr/>
          <w:p>
            <w:pPr>
              <w:pStyle w:val="Compact"/>
              <w:jc w:val="left"/>
            </w:pPr>
            <w:r>
              <w:t xml:space="preserve">3 (ear-level + height + floor)</w:t>
            </w:r>
          </w:p>
        </w:tc>
      </w:tr>
      <w:tr>
        <w:tc>
          <w:tcPr/>
          <w:p>
            <w:pPr>
              <w:pStyle w:val="Compact"/>
              <w:jc w:val="left"/>
            </w:pPr>
            <w:r>
              <w:t xml:space="preserve">Reference layout</w:t>
            </w:r>
          </w:p>
        </w:tc>
        <w:tc>
          <w:tcPr/>
          <w:p>
            <w:pPr>
              <w:pStyle w:val="Compact"/>
              <w:jc w:val="left"/>
            </w:pPr>
            <w:r>
              <w:t xml:space="preserve">7.1.4 (12 speakers + LFE)</w:t>
            </w:r>
          </w:p>
        </w:tc>
        <w:tc>
          <w:tcPr/>
          <w:p>
            <w:pPr>
              <w:pStyle w:val="Compact"/>
              <w:jc w:val="left"/>
            </w:pPr>
            <w:r>
              <w:t xml:space="preserve">7.1.4.4 (16 speakers + LFE)</w:t>
            </w:r>
          </w:p>
        </w:tc>
      </w:tr>
      <w:tr>
        <w:tc>
          <w:tcPr/>
          <w:p>
            <w:pPr>
              <w:pStyle w:val="Compact"/>
              <w:jc w:val="left"/>
            </w:pPr>
            <w:r>
              <w:t xml:space="preserve">VBAP coverage</w:t>
            </w:r>
          </w:p>
        </w:tc>
        <w:tc>
          <w:tcPr/>
          <w:p>
            <w:pPr>
              <w:pStyle w:val="Compact"/>
              <w:jc w:val="left"/>
            </w:pPr>
            <w:r>
              <w:t xml:space="preserve">Upper hemisphere only</w:t>
            </w:r>
          </w:p>
        </w:tc>
        <w:tc>
          <w:tcPr/>
          <w:p>
            <w:pPr>
              <w:pStyle w:val="Compact"/>
              <w:jc w:val="left"/>
            </w:pPr>
            <w:r>
              <w:t xml:space="preserve">Full sphere</w:t>
            </w:r>
          </w:p>
        </w:tc>
      </w:tr>
      <w:tr>
        <w:tc>
          <w:tcPr/>
          <w:p>
            <w:pPr>
              <w:pStyle w:val="Compact"/>
              <w:jc w:val="left"/>
            </w:pPr>
            <w:r>
              <w:t xml:space="preserve">Convex hull</w:t>
            </w:r>
          </w:p>
        </w:tc>
        <w:tc>
          <w:tcPr/>
          <w:p>
            <w:pPr>
              <w:pStyle w:val="Compact"/>
              <w:jc w:val="left"/>
            </w:pPr>
            <w:r>
              <w:t xml:space="preserve">Hemispherical Delaunay</w:t>
            </w:r>
          </w:p>
        </w:tc>
        <w:tc>
          <w:tcPr/>
          <w:p>
            <w:pPr>
              <w:pStyle w:val="Compact"/>
              <w:jc w:val="left"/>
            </w:pPr>
            <w:r>
              <w:t xml:space="preserve">Full-sphere Delaunay</w:t>
            </w:r>
          </w:p>
        </w:tc>
      </w:tr>
      <w:tr>
        <w:tc>
          <w:tcPr/>
          <w:p>
            <w:pPr>
              <w:pStyle w:val="Compact"/>
              <w:jc w:val="left"/>
            </w:pPr>
            <w:r>
              <w:t xml:space="preserve">HOA intermediate</w:t>
            </w:r>
          </w:p>
        </w:tc>
        <w:tc>
          <w:tcPr/>
          <w:p>
            <w:pPr>
              <w:pStyle w:val="Compact"/>
              <w:jc w:val="left"/>
            </w:pPr>
            <w:r>
              <w:t xml:space="preserve">Not used</w:t>
            </w:r>
          </w:p>
        </w:tc>
        <w:tc>
          <w:tcPr/>
          <w:p>
            <w:pPr>
              <w:pStyle w:val="Compact"/>
              <w:jc w:val="left"/>
            </w:pPr>
            <w:r>
              <w:t xml:space="preserve">Optional (format-agnostic decode)</w:t>
            </w:r>
          </w:p>
        </w:tc>
      </w:tr>
      <w:tr>
        <w:tc>
          <w:tcPr/>
          <w:p>
            <w:pPr>
              <w:pStyle w:val="Compact"/>
              <w:jc w:val="left"/>
            </w:pPr>
            <w:r>
              <w:t xml:space="preserve">Elevation range</w:t>
            </w:r>
          </w:p>
        </w:tc>
        <w:tc>
          <w:tcPr/>
          <w:p>
            <w:pPr>
              <w:pStyle w:val="Compact"/>
              <w:jc w:val="left"/>
            </w:pPr>
            <w:r>
              <w:t xml:space="preserve">0° to +90°</w:t>
            </w:r>
          </w:p>
        </w:tc>
        <w:tc>
          <w:tcPr/>
          <w:p>
            <w:pPr>
              <w:pStyle w:val="Compact"/>
              <w:jc w:val="left"/>
            </w:pPr>
            <w:r>
              <w:t xml:space="preserve">−90° to +90°</w:t>
            </w:r>
          </w:p>
        </w:tc>
      </w:tr>
      <w:tr>
        <w:tc>
          <w:tcPr/>
          <w:p>
            <w:pPr>
              <w:pStyle w:val="Compact"/>
              <w:jc w:val="left"/>
            </w:pPr>
            <w:r>
              <w:t xml:space="preserve">Spatial coding</w:t>
            </w:r>
          </w:p>
        </w:tc>
        <w:tc>
          <w:tcPr/>
          <w:p>
            <w:pPr>
              <w:pStyle w:val="Compact"/>
              <w:jc w:val="left"/>
            </w:pPr>
            <w:r>
              <w:t xml:space="preserve">XY + Z≥0 proximity</w:t>
            </w:r>
          </w:p>
        </w:tc>
        <w:tc>
          <w:tcPr/>
          <w:p>
            <w:pPr>
              <w:pStyle w:val="Compact"/>
              <w:jc w:val="left"/>
            </w:pPr>
            <w:r>
              <w:t xml:space="preserve">Full 3D XYZ proximity</w:t>
            </w:r>
          </w:p>
        </w:tc>
      </w:tr>
      <w:tr>
        <w:tc>
          <w:tcPr/>
          <w:p>
            <w:pPr>
              <w:pStyle w:val="Compact"/>
              <w:jc w:val="left"/>
            </w:pPr>
            <w:r>
              <w:t xml:space="preserve">Backward compat</w:t>
            </w:r>
          </w:p>
        </w:tc>
        <w:tc>
          <w:tcPr/>
          <w:p>
            <w:pPr>
              <w:pStyle w:val="Compact"/>
              <w:jc w:val="left"/>
            </w:pPr>
            <w:r>
              <w:t xml:space="preserve">N/A (native)</w:t>
            </w:r>
          </w:p>
        </w:tc>
        <w:tc>
          <w:tcPr/>
          <w:p>
            <w:pPr>
              <w:pStyle w:val="Compact"/>
              <w:jc w:val="left"/>
            </w:pPr>
            <w:r>
              <w:t xml:space="preserve">Horizon clip / virtual nadir / redistribution</w:t>
            </w:r>
          </w:p>
        </w:tc>
      </w:tr>
      <w:tr>
        <w:tc>
          <w:tcPr/>
          <w:p>
            <w:pPr>
              <w:pStyle w:val="Compact"/>
              <w:jc w:val="left"/>
            </w:pPr>
            <w:r>
              <w:t xml:space="preserve">Standards basis</w:t>
            </w:r>
          </w:p>
        </w:tc>
        <w:tc>
          <w:tcPr/>
          <w:p>
            <w:pPr>
              <w:pStyle w:val="Compact"/>
              <w:jc w:val="left"/>
            </w:pPr>
            <w:r>
              <w:t xml:space="preserve">Dolby proprietary + SMPTE ST 2098</w:t>
            </w:r>
          </w:p>
        </w:tc>
        <w:tc>
          <w:tcPr/>
          <w:p>
            <w:pPr>
              <w:pStyle w:val="Compact"/>
              <w:jc w:val="left"/>
            </w:pPr>
            <w:r>
              <w:t xml:space="preserve">ITU-R BS.2051 System H precedent</w:t>
            </w:r>
          </w:p>
        </w:tc>
      </w:tr>
      <w:tr>
        <w:tc>
          <w:tcPr/>
          <w:p>
            <w:pPr>
              <w:pStyle w:val="Compact"/>
              <w:jc w:val="left"/>
            </w:pPr>
            <w:r>
              <w:t xml:space="preserve">Below-horizon localization</w:t>
            </w:r>
          </w:p>
        </w:tc>
        <w:tc>
          <w:tcPr/>
          <w:p>
            <w:pPr>
              <w:pStyle w:val="Compact"/>
              <w:jc w:val="left"/>
            </w:pPr>
            <w:r>
              <w:t xml:space="preserve">Not supported</w:t>
            </w:r>
          </w:p>
        </w:tc>
        <w:tc>
          <w:tcPr/>
          <w:p>
            <w:pPr>
              <w:pStyle w:val="Compact"/>
              <w:jc w:val="left"/>
            </w:pPr>
            <w:r>
              <w:t xml:space="preserve">Supported (reduced accuracy)</w:t>
            </w:r>
          </w:p>
        </w:tc>
      </w:tr>
    </w:tbl>
    <w:p>
      <w:pPr>
        <w:pStyle w:val="BodyText"/>
      </w:pPr>
      <w:r>
        <w:t xml:space="preserve">This comparison reveals Sonic Sphere as an architectural superset: every Atmos capability is preserved, with only the extended Z-range, floor speaker support, and optional HOA intermediate added. The standards infrastructure already supports this — ITU-R BS.2051 defines the layouts, BS.2076 the metadata coordinates, and SMPTE ST 2098 requires only a semantic Z-field expansion.</w:t>
      </w:r>
    </w:p>
    <w:bookmarkEnd w:id="138"/>
    <w:bookmarkEnd w:id="139"/>
    <w:bookmarkStart w:id="143" w:name="implementation-considerations"/>
    <w:p>
      <w:pPr>
        <w:pStyle w:val="Heading3"/>
      </w:pPr>
      <w:r>
        <w:t xml:space="preserve">7.7 Implementation Considerations</w:t>
      </w:r>
    </w:p>
    <w:bookmarkStart w:id="140" w:name="psychoacoustic-constraints"/>
    <w:p>
      <w:pPr>
        <w:pStyle w:val="Heading4"/>
      </w:pPr>
      <w:r>
        <w:t xml:space="preserve">7.7.1 Psychoacoustic Constraints</w:t>
      </w:r>
    </w:p>
    <w:p>
      <w:pPr>
        <w:pStyle w:val="FirstParagraph"/>
      </w:pPr>
      <w:r>
        <w:t xml:space="preserve">Below-horizon reproduction operates under different perceptual constraints than above-horizon audio. Pinna spectral cues — the direction-dependent notches and peaks above approximately 4 kHz created by the outer ear’s convoluted geometry — enable elevation discrimination but are substantially weaker for negative elevations because the pinna’s filtering function is asymmetric across the horizontal plane</w:t>
      </w:r>
      <w:r>
        <w:t xml:space="preserve"> </w:t>
      </w:r>
      <w:fldSimple w:instr="NOTEREF _Ref_Footnote_57 \h \f">
        <w:r>
          <w:rPr>
            <w:vertAlign w:val="superscript"/>
          </w:rPr>
          <w:t>57</w:t>
        </w:r>
      </w:fldSimple>
      <w:r>
        <w:t xml:space="preserve"> </w:t>
      </w:r>
      <w:fldSimple w:instr="NOTEREF _Ref_Footnote_59 \h \f">
        <w:r>
          <w:rPr>
            <w:vertAlign w:val="superscript"/>
          </w:rPr>
          <w:t>59</w:t>
        </w:r>
      </w:fldSimple>
      <w:r>
        <w:t xml:space="preserve">. Below-horizon localization therefore relies more on head movement and dynamic interaural differences (changes in ITD and ILD as the listener rotates) than on static monaural spectral features. This has direct implications for content design: floor channels are most effective for low-frequency ambience below ~500 Hz where the human auditory system’s localization mechanisms are inherently coarse regardless of direction; environmental effects such as footsteps, structural rumble, and subterranean vibrations; and atmospheric depth cues that create a sense of a complete acoustic environment extending below the listener. Precise point-source localization — dialog, solo instruments, narrative-critical effects — should remain in the upper hemisphere where pinna cues provide the necessary elevation resolution. NHK’s production experience with 22.2 confirms this: bottom-layer channels were used primarily for environmental sound effects and low-frequency ambience rather than localized sources</w:t>
      </w:r>
      <w:r>
        <w:t xml:space="preserve"> </w:t>
      </w:r>
      <w:fldSimple w:instr="NOTEREF _Ref_Footnote_94 \h \f">
        <w:r>
          <w:rPr>
            <w:vertAlign w:val="superscript"/>
          </w:rPr>
          <w:t>94</w:t>
        </w:r>
      </w:fldSimple>
      <w:r>
        <w:t xml:space="preserve">.</w:t>
      </w:r>
    </w:p>
    <w:bookmarkEnd w:id="140"/>
    <w:bookmarkStart w:id="141" w:name="room-acoustic-and-hardware-challenges"/>
    <w:p>
      <w:pPr>
        <w:pStyle w:val="Heading4"/>
      </w:pPr>
      <w:r>
        <w:t xml:space="preserve">7.7.2 Room Acoustic and Hardware Challenges</w:t>
      </w:r>
    </w:p>
    <w:p>
      <w:pPr>
        <w:pStyle w:val="FirstParagraph"/>
      </w:pPr>
      <w:r>
        <w:t xml:space="preserve">Floor-mounted speakers couple strongly with vertical room modes, particularly the fundamental height axial mode (</w:t>
      </w:r>
      <m:oMath>
        <m:r>
          <m:t>f</m:t>
        </m:r>
        <m:r>
          <m:rPr>
            <m:sty m:val="p"/>
          </m:rPr>
          <m:t>=</m:t>
        </m:r>
        <m:r>
          <m:t>c</m:t>
        </m:r>
        <m:r>
          <m:rPr>
            <m:sty m:val="p"/>
          </m:rPr>
          <m:t>/</m:t>
        </m:r>
        <m:r>
          <m:t>2</m:t>
        </m:r>
        <m:r>
          <m:t>H</m:t>
        </m:r>
      </m:oMath>
      <w:r>
        <w:t xml:space="preserve"> </w:t>
      </w:r>
      <w:r>
        <w:t xml:space="preserve">where</w:t>
      </w:r>
      <w:r>
        <w:t xml:space="preserve"> </w:t>
      </w:r>
      <m:oMath>
        <m:r>
          <m:t>H</m:t>
        </m:r>
      </m:oMath>
      <w:r>
        <w:t xml:space="preserve"> </w:t>
      </w:r>
      <w:r>
        <w:t xml:space="preserve">is room height and</w:t>
      </w:r>
      <w:r>
        <w:t xml:space="preserve"> </w:t>
      </w:r>
      <m:oMath>
        <m:r>
          <m:t>c</m:t>
        </m:r>
        <m:r>
          <m:rPr>
            <m:sty m:val="p"/>
          </m:rPr>
          <m:t>≈</m:t>
        </m:r>
        <m:r>
          <m:t>343</m:t>
        </m:r>
      </m:oMath>
      <w:r>
        <w:t xml:space="preserve"> </w:t>
      </w:r>
      <w:r>
        <w:t xml:space="preserve">m/s). In a typical residential room with</w:t>
      </w:r>
      <w:r>
        <w:t xml:space="preserve"> </w:t>
      </w:r>
      <m:oMath>
        <m:r>
          <m:t>H</m:t>
        </m:r>
        <m:r>
          <m:rPr>
            <m:sty m:val="p"/>
          </m:rPr>
          <m:t>=</m:t>
        </m:r>
        <m:r>
          <m:t>2.7</m:t>
        </m:r>
      </m:oMath>
      <w:r>
        <w:t xml:space="preserve"> </w:t>
      </w:r>
      <w:r>
        <w:t xml:space="preserve">m, this mode occurs at approximately 63 Hz, squarely within the sub-bass range where floor channels are most effective. The boundary effect (pressure doubling at a rigid surface) yields a +6 dB boost at the floor plane, which enhances tactile bass impact but can create uneven frequency response when combined with ceiling reflections forming a comb filter. The CEDIA/CTA RP22 standard recommends</w:t>
      </w:r>
      <w:r>
        <w:t xml:space="preserve"> </w:t>
      </w:r>
      <m:oMath>
        <m:sSub>
          <m:e>
            <m:r>
              <m:t>T</m:t>
            </m:r>
          </m:e>
          <m:sub>
            <m:r>
              <m:t>m</m:t>
            </m:r>
          </m:sub>
        </m:sSub>
        <m:r>
          <m:rPr>
            <m:sty m:val="p"/>
          </m:rPr>
          <m:t>=</m:t>
        </m:r>
        <m:r>
          <m:t>0.3</m:t>
        </m:r>
        <m:sSup>
          <m:e>
            <m:d>
              <m:dPr>
                <m:begChr m:val="("/>
                <m:endChr m:val=")"/>
                <m:sepChr m:val=""/>
                <m:grow/>
              </m:dPr>
              <m:e>
                <m:r>
                  <m:t>V</m:t>
                </m:r>
                <m:r>
                  <m:rPr>
                    <m:sty m:val="p"/>
                  </m:rPr>
                  <m:t>/</m:t>
                </m:r>
                <m:r>
                  <m:t>100</m:t>
                </m:r>
              </m:e>
            </m:d>
          </m:e>
          <m:sup>
            <m:r>
              <m:t>1</m:t>
            </m:r>
            <m:r>
              <m:rPr>
                <m:sty m:val="p"/>
              </m:rPr>
              <m:t>/</m:t>
            </m:r>
            <m:r>
              <m:t>3</m:t>
            </m:r>
          </m:sup>
        </m:sSup>
      </m:oMath>
      <w:r>
        <w:t xml:space="preserve"> </w:t>
      </w:r>
      <w:r>
        <w:t xml:space="preserve">for reflection decay time control, a guideline that applies with particular force to full-sphere installations where floor reflections now actively contribute to the spatial image</w:t>
      </w:r>
      <w:r>
        <w:t xml:space="preserve"> </w:t>
      </w:r>
      <w:r>
        <w:rPr>
          <w:vertAlign w:val="superscript"/>
        </w:rPr>
        <w:footnoteReference w:id="105"/>
      </w:r>
      <w:r>
        <w:t xml:space="preserve">. Three mounting strategies are viable: upward-firing floor monitors (simplest installation, limited to front/side positions), in-floor mounted drivers (optimal acoustic coupling and boundary effect utilization, requires construction-level installation with protective grilles), and floor-standing speakers on tilted platforms (most accessible retrofit option). Floor speakers require minimum ~1 m distance from the listening position to avoid proximity-effect bass boost and prevent the listener from physically occluding the acoustic path. Crossover design warrants attention: floor speakers should operate full-range only if room correction EQ is applied; otherwise, a high-pass filter at ~40 Hz protects against excessive modal excitation while preserving the sub-bass content for which floor channels are intended.</w:t>
      </w:r>
    </w:p>
    <w:bookmarkEnd w:id="141"/>
    <w:bookmarkStart w:id="142" w:name="computational-overhead"/>
    <w:p>
      <w:pPr>
        <w:pStyle w:val="Heading4"/>
      </w:pPr>
      <w:r>
        <w:t xml:space="preserve">7.7.3 Computational Overhead</w:t>
      </w:r>
    </w:p>
    <w:p>
      <w:pPr>
        <w:pStyle w:val="FirstParagraph"/>
      </w:pPr>
      <w:r>
        <w:t xml:space="preserve">The convex hull of a 7.1.4.4 array contains ~26 facets versus ~18 for 7.1.4 — a 44% increase with negligible runtime impact, as all</w:t>
      </w:r>
      <w:r>
        <w:t xml:space="preserve"> </w:t>
      </w:r>
      <m:oMath>
        <m:sSup>
          <m:e>
            <m:r>
              <m:rPr>
                <m:sty m:val="b"/>
              </m:rPr>
              <m:t>L</m:t>
            </m:r>
          </m:e>
          <m:sup>
            <m:r>
              <m:rPr>
                <m:sty m:val="p"/>
              </m:rPr>
              <m:t>−</m:t>
            </m:r>
            <m:r>
              <m:t>1</m:t>
            </m:r>
          </m:sup>
        </m:sSup>
      </m:oMath>
      <w:r>
        <w:t xml:space="preserve"> </w:t>
      </w:r>
      <w:r>
        <w:t xml:space="preserve">matrices are precomputed</w:t>
      </w:r>
      <w:r>
        <w:t xml:space="preserve"> </w:t>
      </w:r>
      <w:fldSimple w:instr="NOTEREF _Ref_Footnote_42 \h \f">
        <w:r>
          <w:rPr>
            <w:vertAlign w:val="superscript"/>
          </w:rPr>
          <w:t>42</w:t>
        </w:r>
      </w:fldSimple>
      <w:r>
        <w:t xml:space="preserve">. The optional 3rd-order HOA decode to 16 speakers requires a 16×16 matrix multiplication per frame — trivial for modern DSPs. Full-sphere Sonic Sphere rendering adds minimal computational cost to the existing Atmos pipeline.</w:t>
      </w:r>
    </w:p>
    <w:p>
      <w:pPr>
        <w:pStyle w:val="BodyText"/>
      </w:pPr>
      <w:r>
        <w:t xml:space="preserve">The Sonic Sphere architecture thus presents a technically feasible, standards-grounded, and perceptually informed path from hemispherical to full-sphere reproduction. It requires no new algorithms, no new codecs, and no new mathematics — only the extension of existing coordinates to their full natural range, the installation of loudspeakers in the half-space that existing formats have left silent, and a rendering pipeline that treats the entire sphere as a single continuous acoustic space rather than a half-space bounded by the floor.</w:t>
      </w:r>
    </w:p>
    <w:p>
      <w:r>
        <w:pict>
          <v:rect style="width:0;height:1.5pt" o:hralign="center" o:hrstd="t" o:hr="t"/>
        </w:pict>
      </w:r>
    </w:p>
    <w:bookmarkEnd w:id="142"/>
    <w:bookmarkEnd w:id="143"/>
    <w:bookmarkEnd w:id="144"/>
    <w:bookmarkStart w:id="153" w:name="insights-and-future-directions"/>
    <w:p>
      <w:pPr>
        <w:pStyle w:val="Heading2"/>
      </w:pPr>
      <w:r>
        <w:t xml:space="preserve">8. Insights and Future Directions</w:t>
      </w:r>
    </w:p>
    <w:bookmarkStart w:id="148" w:name="key-technical-insights"/>
    <w:p>
      <w:pPr>
        <w:pStyle w:val="Heading3"/>
      </w:pPr>
      <w:r>
        <w:t xml:space="preserve">8.1 Key Technical Insights</w:t>
      </w:r>
    </w:p>
    <w:bookmarkStart w:id="145" w:name="X74d1c3052b317706d97ed68d5fdf173c5346024"/>
    <w:p>
      <w:pPr>
        <w:pStyle w:val="Heading4"/>
      </w:pPr>
      <w:r>
        <w:t xml:space="preserve">8.1.1 The Atmos Elevation Gap Is Arbitrary: The Architecture Supports Full Sphere with Configuration Changes Only</w:t>
      </w:r>
    </w:p>
    <w:p>
      <w:pPr>
        <w:pStyle w:val="FirstParagraph"/>
      </w:pPr>
      <w:r>
        <w:t xml:space="preserve">The analysis across preceding chapters converges on a finding with direct engineering consequences: Dolby Atmos’s restriction to non-negative elevation is a specification choice, not a fundamental architectural limitation. SMPTE ST 2098-1 defines the Z coordinate as spanning the listening plane (</w:t>
      </w:r>
      <m:oMath>
        <m:r>
          <m:t>Z</m:t>
        </m:r>
        <m:r>
          <m:rPr>
            <m:sty m:val="p"/>
          </m:rPr>
          <m:t>=</m:t>
        </m:r>
        <m:r>
          <m:t>0</m:t>
        </m:r>
      </m:oMath>
      <w:r>
        <w:t xml:space="preserve">) to the ceiling (</w:t>
      </w:r>
      <m:oMath>
        <m:r>
          <m:t>Z</m:t>
        </m:r>
        <m:r>
          <m:rPr>
            <m:sty m:val="p"/>
          </m:rPr>
          <m:t>=</m:t>
        </m:r>
        <m:r>
          <m:t>1</m:t>
        </m:r>
      </m:oMath>
      <w:r>
        <w:t xml:space="preserve">)</w:t>
      </w:r>
      <w:r>
        <w:t xml:space="preserve"> </w:t>
      </w:r>
      <w:fldSimple w:instr="NOTEREF _Ref_Footnote_13 \h \f">
        <w:r>
          <w:rPr>
            <w:vertAlign w:val="superscript"/>
          </w:rPr>
          <w:t>13</w:t>
        </w:r>
      </w:fldSimple>
      <w:r>
        <w:t xml:space="preserve">, with consumer workflows constraining</w:t>
      </w:r>
      <w:r>
        <w:t xml:space="preserve"> </w:t>
      </w:r>
      <m:oMath>
        <m:r>
          <m:t>Z</m:t>
        </m:r>
      </m:oMath>
      <w:r>
        <w:t xml:space="preserve"> </w:t>
      </w:r>
      <w:r>
        <w:t xml:space="preserve">to</w:t>
      </w:r>
      <w:r>
        <w:t xml:space="preserve"> </w:t>
      </w:r>
      <m:oMath>
        <m:d>
          <m:dPr>
            <m:begChr m:val="["/>
            <m:endChr m:val="]"/>
            <m:sepChr m:val=""/>
            <m:grow/>
          </m:dPr>
          <m:e>
            <m:r>
              <m:t>0</m:t>
            </m:r>
            <m:r>
              <m:rPr>
                <m:sty m:val="p"/>
              </m:rPr>
              <m:t>,</m:t>
            </m:r>
            <m:r>
              <m:t>1</m:t>
            </m:r>
          </m:e>
        </m:d>
      </m:oMath>
      <w:r>
        <w:t xml:space="preserve"> </w:t>
      </w:r>
      <w:fldSimple w:instr="NOTEREF _Ref_Footnote_21 \h \f">
        <w:r>
          <w:rPr>
            <w:vertAlign w:val="superscript"/>
          </w:rPr>
          <w:t>21</w:t>
        </w:r>
      </w:fldSimple>
      <w:r>
        <w:t xml:space="preserve">. Yet the OAMD coordinate system already employs normalized Cartesian coordinates that could trivially extend to</w:t>
      </w:r>
      <w:r>
        <w:t xml:space="preserve"> </w:t>
      </w:r>
      <m:oMath>
        <m:r>
          <m:t>Z</m:t>
        </m:r>
        <m:r>
          <m:rPr>
            <m:sty m:val="p"/>
          </m:rPr>
          <m:t>&lt;</m:t>
        </m:r>
        <m:r>
          <m:t>0</m:t>
        </m:r>
      </m:oMath>
      <w:r>
        <w:t xml:space="preserve">. The renderer’s VBAP engine computes gain factors via</w:t>
      </w:r>
      <w:r>
        <w:t xml:space="preserve"> </w:t>
      </w:r>
      <m:oMath>
        <m:r>
          <m:rPr>
            <m:sty m:val="b"/>
          </m:rPr>
          <m:t>g</m:t>
        </m:r>
        <m:r>
          <m:rPr>
            <m:sty m:val="p"/>
          </m:rPr>
          <m:t>=</m:t>
        </m:r>
        <m:sSup>
          <m:e>
            <m:r>
              <m:rPr>
                <m:sty m:val="b"/>
              </m:rPr>
              <m:t>L</m:t>
            </m:r>
          </m:e>
          <m:sup>
            <m:r>
              <m:rPr>
                <m:sty m:val="p"/>
              </m:rPr>
              <m:t>−</m:t>
            </m:r>
            <m:r>
              <m:t>1</m:t>
            </m:r>
          </m:sup>
        </m:sSup>
        <m:r>
          <m:rPr>
            <m:sty m:val="p"/>
          </m:rPr>
          <m:t>⋅</m:t>
        </m:r>
        <m:r>
          <m:rPr>
            <m:sty m:val="b"/>
          </m:rPr>
          <m:t>p</m:t>
        </m:r>
      </m:oMath>
      <w:r>
        <w:t xml:space="preserve"> </w:t>
      </w:r>
      <w:fldSimple w:instr="NOTEREF _Ref_Footnote_15 \h \f">
        <w:r>
          <w:rPr>
            <w:vertAlign w:val="superscript"/>
          </w:rPr>
          <w:t>15</w:t>
        </w:r>
      </w:fldSimple>
      <w:r>
        <w:t xml:space="preserve"> </w:t>
      </w:r>
      <w:fldSimple w:instr="NOTEREF _Ref_Footnote_16 \h \f">
        <w:r>
          <w:rPr>
            <w:vertAlign w:val="superscript"/>
          </w:rPr>
          <w:t>16</w:t>
        </w:r>
      </w:fldSimple>
      <w:r>
        <w:t xml:space="preserve">; this triplet algorithm is direction-agnostic and operates identically for below-horizon positions. The gap exists because no bottom-channel speakers are defined in standard layouts, not because the mathematics prevents them. A Sonic Sphere renderer could reuse the overwhelming majority of existing Atmos code — metadata interpolation, VBAP gain calculation, spatial coding, and output mixing — with only two modifications: extending the valid coordinate domain to</w:t>
      </w:r>
      <w:r>
        <w:t xml:space="preserve"> </w:t>
      </w:r>
      <m:oMath>
        <m:r>
          <m:t>Z</m:t>
        </m:r>
        <m:r>
          <m:rPr>
            <m:sty m:val="p"/>
          </m:rPr>
          <m:t>∈</m:t>
        </m:r>
        <m:d>
          <m:dPr>
            <m:begChr m:val="["/>
            <m:endChr m:val="]"/>
            <m:sepChr m:val=""/>
            <m:grow/>
          </m:dPr>
          <m:e>
            <m:r>
              <m:rPr>
                <m:sty m:val="p"/>
              </m:rPr>
              <m:t>−</m:t>
            </m:r>
            <m:r>
              <m:t>1</m:t>
            </m:r>
            <m:r>
              <m:rPr>
                <m:sty m:val="p"/>
              </m:rPr>
              <m:t>,</m:t>
            </m:r>
            <m:r>
              <m:rPr>
                <m:sty m:val="p"/>
              </m:rPr>
              <m:t>+</m:t>
            </m:r>
            <m:r>
              <m:t>1</m:t>
            </m:r>
          </m:e>
        </m:d>
      </m:oMath>
      <w:r>
        <w:t xml:space="preserve"> </w:t>
      </w:r>
      <w:r>
        <w:t xml:space="preserve">and defining below-horizon loudspeaker positions in the configuration.</w:t>
      </w:r>
    </w:p>
    <w:bookmarkEnd w:id="145"/>
    <w:bookmarkStart w:id="146" w:name="X402995acd2673025b467358012bc12e79fdd14f"/>
    <w:p>
      <w:pPr>
        <w:pStyle w:val="Heading4"/>
      </w:pPr>
      <w:r>
        <w:t xml:space="preserve">8.1.2 Ambisonics Is the Natural Intermediate Representation for Format-Agnostic Spatial Audio</w:t>
      </w:r>
    </w:p>
    <w:p>
      <w:pPr>
        <w:pStyle w:val="FirstParagraph"/>
      </w:pPr>
      <w:r>
        <w:t xml:space="preserve">VBAP maps objects directly to physical speakers — efficient but inflexible for non-standard arrays. Higher-Order Ambisonics (HOA) encodes the entire soundfield into spherical harmonic coefficients independent of loudspeaker layout</w:t>
      </w:r>
      <w:r>
        <w:t xml:space="preserve"> </w:t>
      </w:r>
      <w:r>
        <w:rPr>
          <w:vertAlign w:val="superscript"/>
        </w:rPr>
        <w:footnoteReference w:id="106"/>
      </w:r>
      <w:r>
        <w:t xml:space="preserve">, decoupling content creation from playback configuration and solving the</w:t>
      </w:r>
      <w:r>
        <w:t xml:space="preserve"> </w:t>
      </w:r>
      <m:oMath>
        <m:r>
          <m:t>N</m:t>
        </m:r>
      </m:oMath>
      <w:r>
        <w:t xml:space="preserve">-to-</w:t>
      </w:r>
      <m:oMath>
        <m:r>
          <m:t>M</m:t>
        </m:r>
      </m:oMath>
      <w:r>
        <w:t xml:space="preserve"> </w:t>
      </w:r>
      <w:r>
        <w:t xml:space="preserve">mapping problem. The AllRAD decoder combines VBAP panning functions with HOA decoding, preserving the strengths of both approaches</w:t>
      </w:r>
      <w:r>
        <w:t xml:space="preserve"> </w:t>
      </w:r>
      <w:fldSimple w:instr="NOTEREF _Ref_Footnote_106 \h \f">
        <w:r>
          <w:rPr>
            <w:vertAlign w:val="superscript"/>
          </w:rPr>
          <w:t>106</w:t>
        </w:r>
      </w:fldSimple>
      <w:r>
        <w:t xml:space="preserve">. For a Sonic Sphere renderer targeting irregular full-sphere domestic installations, an HOA intermediate provides necessary layout abstraction while maintaining backward compatibility through direct VBAP for standard configurations.</w:t>
      </w:r>
    </w:p>
    <w:bookmarkEnd w:id="146"/>
    <w:bookmarkStart w:id="147" w:name="Xd915922f872e270e531f4d0fee1e56141196e14"/>
    <w:p>
      <w:pPr>
        <w:pStyle w:val="Heading4"/>
      </w:pPr>
      <w:r>
        <w:t xml:space="preserve">8.1.3 Spatial Coding Is the Key Scalability Innovation That Makes Object-Based Audio Viable for Consumer Delivery</w:t>
      </w:r>
    </w:p>
    <w:p>
      <w:pPr>
        <w:pStyle w:val="FirstParagraph"/>
      </w:pPr>
      <w:r>
        <w:t xml:space="preserve">The most underappreciated achievement in the Atmos ecosystem is spatial coding: real-time clustering of 128 authoring objects into 12–16 perceptual elements for DD+ JOC delivery</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Uncompressed 128 channels of 48 kHz/24-bit audio require ~147 Mbps; spatial coding compresses this to 768 kbps — a 191:1 ratio</w:t>
      </w:r>
      <w:r>
        <w:t xml:space="preserve"> </w:t>
      </w:r>
      <w:fldSimple w:instr="NOTEREF _Ref_Footnote_18 \h \f">
        <w:r>
          <w:rPr>
            <w:vertAlign w:val="superscript"/>
          </w:rPr>
          <w:t>18</w:t>
        </w:r>
      </w:fldSimple>
      <w:r>
        <w:t xml:space="preserve">. The perceptual foundation is spatial masking: nearby objects activate overlapping speakers, and the auditory system cannot resolve individual directions below angular threshold. Without spatial coding, object-based audio would require 50+ Mbps and be impractical for streaming. Sonic Sphere must incorporate an equivalent stage, extending the clustering model to account for elevation alongside azimuth for full-sphere content.</w:t>
      </w:r>
    </w:p>
    <w:bookmarkEnd w:id="147"/>
    <w:bookmarkEnd w:id="148"/>
    <w:bookmarkStart w:id="152" w:name="the-path-forward"/>
    <w:p>
      <w:pPr>
        <w:pStyle w:val="Heading3"/>
      </w:pPr>
      <w:r>
        <w:t xml:space="preserve">8.2 The Path Forward</w:t>
      </w:r>
    </w:p>
    <w:bookmarkStart w:id="149" w:name="X8274732c54c4cb4b8bbc4d2a7f0b8d93885a723"/>
    <w:p>
      <w:pPr>
        <w:pStyle w:val="Heading4"/>
      </w:pPr>
      <w:r>
        <w:t xml:space="preserve">8.2.1 Modular Renderer Architecture: A Unified Engine Supporting Atmos, MPEG-H, HOA, and Sonic Sphere</w:t>
      </w:r>
    </w:p>
    <w:p>
      <w:pPr>
        <w:pStyle w:val="FirstParagraph"/>
      </w:pPr>
      <w:r>
        <w:t xml:space="preserve">All object-based systems share an identical abstract pipeline:</w:t>
      </w:r>
      <w:r>
        <w:t xml:space="preserve"> </w:t>
      </w:r>
      <m:oMath>
        <m:r>
          <m:t>N</m:t>
        </m:r>
      </m:oMath>
      <w:r>
        <w:t xml:space="preserve"> </w:t>
      </w:r>
      <w:r>
        <w:t xml:space="preserve">input sources with spatial metadata → spatial processing →</w:t>
      </w:r>
      <w:r>
        <w:t xml:space="preserve"> </w:t>
      </w:r>
      <m:oMath>
        <m:r>
          <m:t>M</m:t>
        </m:r>
      </m:oMath>
      <w:r>
        <w:t xml:space="preserve"> </w:t>
      </w:r>
      <w:r>
        <w:t xml:space="preserve">output channels. Atmos uses OAMD + VBAP + TrueHD/DD+</w:t>
      </w:r>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 MPEG-H 3D Audio employs similar object metadata with VBAP referencing ITU-R BS.2051-3 layouts</w:t>
      </w:r>
      <w:r>
        <w:t xml:space="preserve"> </w:t>
      </w:r>
      <w:r>
        <w:rPr>
          <w:vertAlign w:val="superscript"/>
        </w:rPr>
        <w:footnoteReference w:id="107"/>
      </w:r>
      <w:r>
        <w:t xml:space="preserve">; HOA uses spherical harmonics with decoder-side rendering</w:t>
      </w:r>
      <w:r>
        <w:t xml:space="preserve"> </w:t>
      </w:r>
      <w:fldSimple w:instr="NOTEREF _Ref_Footnote_106 \h \f">
        <w:r>
          <w:rPr>
            <w:vertAlign w:val="superscript"/>
          </w:rPr>
          <w:t>106</w:t>
        </w:r>
      </w:fldSimple>
      <w:r>
        <w:t xml:space="preserve">. Differences lie in coordinate conventions and codec packaging, not fundamental architecture. Open-source libraries such as libspatialaudio already demonstrate this unification, providing a</w:t>
      </w:r>
      <w:r>
        <w:t xml:space="preserve"> </w:t>
      </w:r>
      <w:r>
        <w:rPr>
          <w:rStyle w:val="VerbatimChar"/>
        </w:rPr>
        <w:t xml:space="preserve">Renderer</w:t>
      </w:r>
      <w:r>
        <w:t xml:space="preserve"> </w:t>
      </w:r>
      <w:r>
        <w:t xml:space="preserve">class accepting DirectSpeaker, HOA, and object streams through a common backend</w:t>
      </w:r>
      <w:r>
        <w:t xml:space="preserve"> </w:t>
      </w:r>
      <w:r>
        <w:rPr>
          <w:vertAlign w:val="superscript"/>
        </w:rPr>
        <w:footnoteReference w:id="108"/>
      </w:r>
      <w:r>
        <w:t xml:space="preserve">. A Sonic Sphere renderer should be modular: swappable front-end parsers for Atmos OAMD, MPEG-H metadata, and HOA coefficients; a shared spatial processing core; and pluggable back-end decoders for loudspeaker, binaural, and soundbar output.</w:t>
      </w:r>
    </w:p>
    <w:bookmarkEnd w:id="149"/>
    <w:bookmarkStart w:id="150" w:name="Xdb5ce7649751def717440328c8aac19d0e43507"/>
    <w:p>
      <w:pPr>
        <w:pStyle w:val="Heading4"/>
      </w:pPr>
      <w:r>
        <w:t xml:space="preserve">8.2.2 ITU Standards Readiness: BS.2051 Already Defines Full-Sphere Layouts; BS.2076 ADM Already Supports Negative Elevation Metadata</w:t>
      </w:r>
    </w:p>
    <w:p>
      <w:pPr>
        <w:pStyle w:val="FirstParagraph"/>
      </w:pPr>
      <w:r>
        <w:t xml:space="preserve">The standards infrastructure for full-sphere audio already exists. ITU-R BS.2051-3 (2023) specifies System H — the NHK 22.2 9+10+3 layout with three bottom-layer channels at −15° to −30° elevation — first deployed at the 2012 London Olympics and still current</w:t>
      </w:r>
      <w:r>
        <w:t xml:space="preserve"> </w:t>
      </w:r>
      <w:fldSimple w:instr="NOTEREF _Ref_Footnote_98 \h \f">
        <w:r>
          <w:rPr>
            <w:vertAlign w:val="superscript"/>
          </w:rPr>
          <w:t>98</w:t>
        </w:r>
      </w:fldSimple>
      <w:r>
        <w:t xml:space="preserve"> </w:t>
      </w:r>
      <w:r>
        <w:rPr>
          <w:vertAlign w:val="superscript"/>
        </w:rPr>
        <w:footnoteReference w:id="109"/>
      </w:r>
      <w:r>
        <w:t xml:space="preserve">. ITU-R BS.2076 (Audio Definition Model) supports negative elevation values in its</w:t>
      </w:r>
      <w:r>
        <w:t xml:space="preserve"> </w:t>
      </w:r>
      <w:r>
        <w:rPr>
          <w:rStyle w:val="VerbatimChar"/>
        </w:rPr>
        <w:t xml:space="preserve">audioBlockFormat</w:t>
      </w:r>
      <w:r>
        <w:t xml:space="preserve"> </w:t>
      </w:r>
      <w:r>
        <w:t xml:space="preserve">position elements</w:t>
      </w:r>
      <w:r>
        <w:t xml:space="preserve"> </w:t>
      </w:r>
      <w:r>
        <w:rPr>
          <w:vertAlign w:val="superscript"/>
        </w:rPr>
        <w:footnoteReference w:id="110"/>
      </w:r>
      <w:r>
        <w:t xml:space="preserve"> </w:t>
      </w:r>
      <w:fldSimple w:instr="NOTEREF _Ref_Footnote_96 \h \f">
        <w:r>
          <w:rPr>
            <w:vertAlign w:val="superscript"/>
          </w:rPr>
          <w:t>96</w:t>
        </w:r>
      </w:fldSimple>
      <w:r>
        <w:t xml:space="preserve">, and Recommendation ITU-R BS.2127 defines the reference ADM renderer including HOA decoding with full-sphere coordinate support</w:t>
      </w:r>
      <w:r>
        <w:t xml:space="preserve"> </w:t>
      </w:r>
      <w:fldSimple w:instr="NOTEREF _Ref_Footnote_110 \h \f">
        <w:r>
          <w:rPr>
            <w:vertAlign w:val="superscript"/>
          </w:rPr>
          <w:t>110</w:t>
        </w:r>
      </w:fldSimple>
      <w:r>
        <w:t xml:space="preserve">. Sonic Sphere can reference these existing open ITU standards for metadata representation, speaker layout definition, and rendering behavior rather than introducing proprietary specifications.</w:t>
      </w:r>
    </w:p>
    <w:bookmarkEnd w:id="150"/>
    <w:bookmarkStart w:id="151" w:name="Xe2f86824be6d79f8e0b86bfbb420dcbac6bee8b"/>
    <w:p>
      <w:pPr>
        <w:pStyle w:val="Heading4"/>
      </w:pPr>
      <w:r>
        <w:t xml:space="preserve">8.2.3 The Next Frontier: Personalized Spatial Audio Combining Object-Based Content with Real-Time HRTF and Head Tracking</w:t>
      </w:r>
    </w:p>
    <w:p>
      <w:pPr>
        <w:pStyle w:val="FirstParagraph"/>
      </w:pPr>
      <w:r>
        <w:t xml:space="preserve">The divergence between Dolby’s amplitude-panning-dominant binaural approach (~15% HRTF blend) and Apple’s full personalized HRTF with head tracking at 100 Hz</w:t>
      </w:r>
      <w:r>
        <w:t xml:space="preserve"> </w:t>
      </w:r>
      <w:fldSimple w:instr="NOTEREF _Ref_Footnote_75 \h \f">
        <w:r>
          <w:rPr>
            <w:vertAlign w:val="superscript"/>
          </w:rPr>
          <w:t>75</w:t>
        </w:r>
      </w:fldSimple>
      <w:r>
        <w:t xml:space="preserve"> </w:t>
      </w:r>
      <w:fldSimple w:instr="NOTEREF _Ref_Footnote_79 \h \f">
        <w:r>
          <w:rPr>
            <w:vertAlign w:val="superscript"/>
          </w:rPr>
          <w:t>79</w:t>
        </w:r>
      </w:fldSimple>
      <w:r>
        <w:t xml:space="preserve">signals the field’s trajectory. HRTF personalization — through photogrammetric ear capture, acoustic scattering neural networks, or in-the-wild binaural estimation — reduces front-back confusion and improves localization beyond generic rendering</w:t>
      </w:r>
      <w:r>
        <w:t xml:space="preserve"> </w:t>
      </w:r>
      <w:r>
        <w:rPr>
          <w:vertAlign w:val="superscript"/>
        </w:rPr>
        <w:footnoteReference w:id="111"/>
      </w:r>
      <w:r>
        <w:t xml:space="preserve"> </w:t>
      </w:r>
      <w:r>
        <w:rPr>
          <w:vertAlign w:val="superscript"/>
        </w:rPr>
        <w:footnoteReference w:id="112"/>
      </w:r>
      <w:r>
        <w:t xml:space="preserve">. Combined with head tracking, the improvement compounds: dynamic cues resolve spatial ambiguities static HRTFs cannot disambiguate</w:t>
      </w:r>
      <w:r>
        <w:t xml:space="preserve"> </w:t>
      </w:r>
      <w:fldSimple w:instr="NOTEREF _Ref_Footnote_112 \h \f">
        <w:r>
          <w:rPr>
            <w:vertAlign w:val="superscript"/>
          </w:rPr>
          <w:t>112</w:t>
        </w:r>
      </w:fldSimple>
      <w:r>
        <w:t xml:space="preserve">. The next step is convergence — object-based content rendered through personalized HRTFs updated in real time from head-tracked pose. The modular architecture from Section 8.2.1, format-agnostic with a pluggable binaural back-end, provides the engineering foundation. Sonic Sphere positions itself at the intersection of full-sphere loudspeaker reproduction and personalized headphone delivery, serving fixed-installation cinema and mobile headphones within a single unified framework.</w:t>
      </w:r>
    </w:p>
    <w:bookmarkEnd w:id="151"/>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Grokipedia. https://grokipedia.com/page/7.1_surround_sound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sonofloat.com. https://sonofloat.com/en/channel-based-vs-object-based-audio-format/</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mteworld.com. https://www.mteworld.com/products/dolby-atmos-cp950a-digital-cinema-processor-ultimate-immersive-sound-for-modern-theaters.html</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Dolby Professional. https://professional.dolby.com/siteassets/products/cp950a/dolby_cp950a_product_sheet-2.pdf</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Dolby Professional. https://professional.dolby.com/cinema/dolby-atmos/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AVS Forum. https://www.avsforum.com/threads/the-official-dolby-atmos-thread-home-theater-version-%E2%80%93-check-out-post-1-first.1574386/page-3055</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Audient. https://audient.com/tutorial/objects-and-beds-explained/</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mashav.com. https://mashav.com/sha/praat/scripts/Higher-Order_Ambisonic_(HOA)_Encoder.html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holophonix.xyz. https://holophonix.xyz/documentation/docs/guides/ap-guide/</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holophonix.xyz. https://holophonix.xyz/documentation/docs/guides/hoa-guide/</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nytimes.com. https://rd.nytimes.com/projects/mixing-spatial-audio-in-dolby-atmos/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arkinfo.in. https://www.arkinfo.in/dolby</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kug.ac.at. https://phaidra.kug.ac.at/api/object/o:66459/download</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Dolby Professional. https://professional.dolby.com/siteassets/content-creation/dolby-atmos/dolby_atmos_renderer_guide.pdf</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audioholics.com. https://forums.audioholics.com/forums/threads/dolby-atmos-3-1-or-3-1-2-a-v-receiver-and-speaker-recommendations.129012/</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AudioLabs. https://www.audiolabs-erlangen.de/resources/aps-w23/papers/sap_Pulkki1997.pdf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Audio Science Review (ASR) Forum. https://www.audiosciencereview.com/forum/index.php?threads/5-1-setup-speaker-placement.20556/</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dolby.com. https://professionalsupport.dolby.com/s/article/Overview-of-Dolby-Atmos-Master-File-Formats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kinotehnik.net. https://kinotehnik.net/wp-content/uploads/2022/05/dolby_cinema_processor_cp950_manual_issue_4.pdf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arXiv.org. https://arxiv.org/html/2503.12948v1</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Javier Zúmer - Sound Design. https://javierzumer.com/blog/2018/5/30/figuring-out-dolby-atmos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Ultimea. https://www.ultimea.com/blogs/knowledge/what-are-height-channels?srsltid=AfmBOoqtO9yEYVNYJWLqf8PgYTB08S2N175YTNKTnafjhZgK_vE3-XbP</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AVS Forum. https://www.avsforum.com/threads/ypao-setup-tips-and-how-exactly-does-it-work-might-also-apply-to-audyssey-or-dirac.3268716/</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dolby.com. https://professionalsupport.dolby.com/s/article/What-channel-order-should-be-used-for-assigning-bed-audio-to-the-Renderer</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Avid Pro Audio Community. https://duc.avid.com/showthread.php?t=422488</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Center for Computer Research in Music and Acoustics. https://ccrma.stanford.edu/~zhangmf/paper/AES2021.pdf</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Steamworks. https://partner.steamgames.com/doc/features/steam_audio</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Jigsaw24 Media. https://media.jigsaw24.com/resource/getting-started-with-atmos-part-1-speaker-layouts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Auralex Acoustics. https://auralex.com/absorb-this/home-theater-speaker-placement/?srsltid=AfmBOooLX6BGvWn_kkyPoMN71Wt-PMrEcEXsYYyD2HIRKFlhV6n009bM</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Arqen. http://arqen.com/acoustics-101/surround-sound-speaker-placement/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Audio Science Review (ASR) Forum. https://www.audiosciencereview.com/forum/index.php?threads/dolby-atmos-with-headphones-not-that-simple.61184/</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Dolby Professional. https://professional.dolby.com/siteassets/tv/home/dolby-atmos/dolby-atmos-for-sound-bar-applications.pdf</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wikipedia.org. https://en.wikipedia.org/wiki/Dolby_Atmos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Apple Support Community. https://discussions.apple.com/thread/253795357</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Venera Technologies. https://www.veneratech.com/understanding-dolby-atmos-and-its-qc-challenges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AVForums. https://www.avforums.com/threads/does-audessey-ypao-take-into-account-speaker-placement.2514058/</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vi-control.net. https://vi-control.net/community/threads/dolby-atmos-the-7-1-2-dilemma.149490/</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Sherpadown. https://sherpadown.net/dcp-inside/IAB.en</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Grayspark Academy. https://academy.gray-spark.com/elementor-page-9634/dolby-atmos-speaker-position-tool/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QuadraphonicQuad Home Audio Forum. https://quadraphonicquad.com/threads/facts-on-atmos-streaming-bitrates.32473/</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hybrik.com. https://docs.hybrik.com/tutorials/dolby_atmos/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Boris FX. https://borisfx.com/blog/what-is-object-based-audio-how-does-it-work/</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HOFA-College. https://hofa-college.de/en/blog/music-dolby-atmos-how-does-3d-mixing-work/</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Audioholics. https://www.audioholics.com/audio-technologies/dolby-atmos-best-setup-practices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flux.audio. https://doc.flux.audio/spat-revolution/Spatialisation_Technology_Panning_Algorithms.html</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Springer. https://link.springer.com/chapter/10.1007/978-3-030-17207-7_3</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uni-stuttgart.de. https://elib.uni-stuttgart.de/bitstream/11682/14064/1/2023_08_03_Lukas_Piller_Masterarbeit.pdf</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datahacker.blog. https://datahacker.blog/files/94/Technical/126/Dolby-Professional-MetaData-Guide.pdf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Docs.rs. https://docs.rs/vbap</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Dolby Professional. https://professional.dolby.com/gaming/gaming-getting-started/dolby-atmos-documentation/</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Springer. https://link.springer.com/article/10.1186/s13636-025-00393-7</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denon.com. https://support-eu.denon.com/app/answers/detail/a_id/20524/~/mpeg-h-3d-audio-technology</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akaacoustics.com. https://akaacoustics.com/products/dolby-atmos%C2%AE-cinema-processor-cp950a?srsltid=AfmBOortdly-oiV2eKL3_TPIPUU0S4efrQeKJ3kmcfGGK1QE0CjEse7R</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Audioholics. https://www.audioholics.com/audio-technologies/immersive-audio-loudspeaker-layouts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fandom.com. https://jhmovie.fandom.com/wiki/Dolby_Atmos</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site.com. https://dolby.my.site.com/professionalsupport/s/question/0D54u0000ADgpocCQB/about-dolby-atmos-question</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logik.tv. https://forum.logik.tv/t/dolby-atmos-listening/7258</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arXiv.org. https://arxiv.org/html/2512.07570v1</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Cambridge University Press &amp; Assessment. https://www.cambridge.org/core/journals/apsipa-transactions-on-signal-and-information-processing/article/immersive-audio-capture-transport-and-rendering-a-review/A39094D58238A0F66750D48362D5FF17</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Dolby Professional. https://professional.dolby.com/siteassets/products/cp950a/dolby_cp950-cp950a_manual_issue_11.pdf</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Dolby Professional. https://professional.dolby.com/gaming/gaming-tutorial/game-music-in-dolby-atmos---part-3/</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Jigsaw24 Media. https://media.jigsaw24.com/resource/artist-getting-started-with-dolby-atmos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production-expert.com. https://www.production-expert.com/production-expert-1/if-you-are-mixing-dolby-atmos-for-music-for-apple-music-read-this-now</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Ardour. https://discourse.ardour.org/t/vbap-panning-in-ardour/106958</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reddit.com. https://www.reddit.com/r/audio/comments/1diekre/is_dolby_atmos_worth_going_down_to_24_bit_48000/</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Dolby Professional. https://professional.dolby.com/siteassets/tv/home/dolby-atmos/dolby-atmos-for-compact-entertainment-systems.pdf</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Avid. https://www.avid.com/resource-center/encoding-and-delivering-dolby-atmos-music</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FlatpanelsHD. https://www.flatpanelshd.com/news.php?subaction=showfull&amp;id=1556717977</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ircam.fr. https://ambisonics10.ircam.fr/drupal/files/proceedings/presentations/O14_47.pdf</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universalmusic.com. https://contentguide.universalmusic.com/dolby-atmos-audio-best-practices/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VOCAL Technologies. https://vocal.com/speech-processing-and-audio/vector-base-amplitude-panning/</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Apple Support. https://support.apple.com/en-il/guide/logicpro/lgcp179f27c1/mac</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Apple Support. https://support.apple.com/en-asia/guide/logicpro/lgcp73f9b9ac/mac</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Avid Pro Audio Community. https://duc.avid.com/showthread.php?t=427141</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Eventide Audio. https://www.eventideaudio.com/blog/atmos-demystified/</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MDPI. https://www.mdpi.com/2076-3417/14/23/11242</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barryrudolph.com. https://www.barryrudolph.com/extras/dolby_definitions.html</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akaacoustics.com. https://akaacoustics.com/products/dolby-atmos%C2%AE-cinema-processor-cp950a?srsltid=AfmBOopr-5xD3v-YR6N3OYouvVLbD1uTesiPx2fku_JS2bexjQ4qOcih</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Dolby. https://www.dolby.com/siteassets/technologies/dolby-atmos/atmos-installation-guidelines-121318_r3.1.pdf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Steinberg Forums. https://forums.steinberg.net/t/how-to-monitor-a-dolby-atmos-mix-using-the-binaural-playback-settings-for-objects-and-beds/681993</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The Emotiva Lounge. https://emotivalounge.proboards.com/thread/53745/dolby-atmos-discs-pinned-channel?page=2</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CSDN问答. https://ask.csdn.net/questions/8830674</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rspeaudio.com. https://www.rspeaudio.com/blog/post/demystifying-dolby-atmos-the-dolby-rmu?srsltid=AfmBOop21Lp6wuxllw1HqipanhEKwXanPMyPcfqaTU_fmD9Kwyl_0NpF</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UW Departments Web Server. https://depts.washington.edu/dxscdoc/Help/Classes/HoaMatrixDecoder.html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Dolby Professional. https://professional.dolby.com/siteassets/tv/home/dolby-atmos/dolby-atmos_sound-bar-setup-guide.pdf</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Steinberg Forums. https://forums.steinberg.net/t/dolby-atmos-renderer-speaker-configuration-question-s/916500</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linuxaudio.org. http://lac.linuxaudio.org/2014/papers/17.pdf</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Dolby Professional. https://professional.dolby.com/siteassets/technologies/dolby_atmos_ac-4_whitepaper.pdf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Archive ouverte HAL. https://hal.science/hal-03670900v1/file/aes152_hoa_reduction-author.pdf</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J-Stage. https://www.jstage.jst.go.jp/article/ast/43/2/43_E2168/_pdf</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dolby.com. https://professionalsupport.dolby.com/s/article/What-is-Dolby-Digital-Plus-JOC-Joint-Object-Coding</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iem.at. https://ambisonics.iem.at/symposium2009/proceedings/ambisym09-travis-newmixedorder.pdf/@@download/file/AmbiSym09_Travis_NewMixedOrder.pdf</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SMPTE. https://www.smpte.org/hubfs/2018-08-08-ST-Immersive-Vessa-Handout.pdf</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Dolby Professional. https://professional.dolby.com/siteassets/products/cp950a/dolby_cp950a_digital_brochure.pdf</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Audio Advice. https://www.audioadvice.com/blogs/expert-advice/5-dolby-atmos-mistakes-and-how-to-fix-them?srsltid=AfmBOoqmFRmWl_O838Wibd1cTYQu1Dw0fjfAmCnG7kYQTTNadm4FtRzS</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ITU. https://www.itu.int/dms_pubrec/itu-r/rec/bs/R-REC-BS.2076-3-202502-I!!PDF-E.pdf</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ralphsutton.com. https://ralphsutton.com/dolby-atmos-standards-deliverables-2025/</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J-Stage. https://www.jstage.jst.go.jp/article/ast/45/6/45_e24.65/_pdf/-char/en</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Grokipedia. https://grokipedia.com/page/22.2_surround_sound</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Wolfram MathWorld. https://mathworld.wolfram.com/SphericalHarmonic.html</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Emerald Insight. https://www.emerald.com/atsip/article-lookup/doi/10.1017/atsip.2021.12</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Center for Computer Research in Music and Acoustics. https://ccrma.stanford.edu/courses/222/resources/ambisonics_decoders.pdf</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Grokipedia. https://grokipedia.com/page/mixed_order_ambisonics</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arXiv.org. https://arxiv.org/pdf/2401.13401</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vi-control.net. https://vi-control.net/community/threads/mixing-orchestral-music-in-atmos.148954/</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EBU Technology &amp; Innovation. https://tech.ebu.ch/docs/techreview/trev_2019-Q4_SBA_HOA_Technology_Overview.pdf</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vrtonung.de. https://www.vrtonung.de/en/mpeg-h-audio-vs-dolby-atmos/</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jbkempf.com. https://jbkempf.com/blog/2025/libspatialaudio-0.4/</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cedia.org. https://cedia.org/site/assets/files/6057/cedia-cta_rp22_v1_2_sept_2023.pdf</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ITU. https://www.itu.int/dms_pubrec/itu-r/rec/bs/R-REC-BS.2127-0-201906-S!!PDF-E.pdf</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3dvar.com. https://3dvar.com/Jayaram2023HRTF.pdf</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arXiv.org. https://arxiv.org/html/2510.09161v1</w:t>
      </w:r>
      <w:bookmarkEnd w:id="1011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2026-04-23T12:00:46Z</dcterms:created>
  <dcterms:modified xsi:type="dcterms:W3CDTF">2026-04-23T12:00:46Z</dcterms:modified>
</cp:coreProperties>
</file>

<file path=docProps/custom.xml><?xml version="1.0" encoding="utf-8"?>
<Properties xmlns="http://schemas.openxmlformats.org/officeDocument/2006/custom-properties" xmlns:vt="http://schemas.openxmlformats.org/officeDocument/2006/docPropsVTypes"/>
</file>