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550AD7"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4.4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6320"/>
        <w:gridCol w:w="3256"/>
      </w:tblGrid>
      <w:tr w:rsidR="009D0AE0" w:rsidRPr="00C87F38" w:rsidTr="009D0AE0">
        <w:tc>
          <w:tcPr>
            <w:tcW w:w="4788"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4788"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p>
        </w:tc>
      </w:tr>
      <w:tr w:rsidR="009D0AE0" w:rsidTr="009D0AE0">
        <w:tc>
          <w:tcPr>
            <w:tcW w:w="4788" w:type="dxa"/>
          </w:tcPr>
          <w:p w:rsidR="009D0AE0" w:rsidRPr="00FA0D11" w:rsidRDefault="00FA0D11" w:rsidP="00FA0D11">
            <w:pPr>
              <w:rPr>
                <w:b/>
                <w:bCs/>
                <w:sz w:val="36"/>
                <w:szCs w:val="36"/>
                <w:lang w:val="en-IN"/>
              </w:rPr>
            </w:pPr>
            <w:r w:rsidRPr="00FA0D11">
              <w:rPr>
                <w:b/>
                <w:sz w:val="36"/>
                <w:szCs w:val="36"/>
                <w:lang w:val="en-IN"/>
              </w:rPr>
              <w:t>B0CE9C04E62FDDAA6CB409115CA4A64E</w:t>
            </w:r>
          </w:p>
          <w:p w:rsidR="00C87F38" w:rsidRDefault="00C87F38">
            <w:pPr>
              <w:rPr>
                <w:lang w:val="en-IN"/>
              </w:rPr>
            </w:pPr>
          </w:p>
        </w:tc>
        <w:tc>
          <w:tcPr>
            <w:tcW w:w="4788" w:type="dxa"/>
          </w:tcPr>
          <w:p w:rsidR="00C87F38" w:rsidRDefault="00C87F38">
            <w:pPr>
              <w:rPr>
                <w:lang w:val="en-IN"/>
              </w:rPr>
            </w:pPr>
          </w:p>
          <w:p w:rsidR="00FA0D11" w:rsidRPr="00FA0D11" w:rsidRDefault="00FA0D11" w:rsidP="00FA0D11">
            <w:pPr>
              <w:jc w:val="center"/>
              <w:rPr>
                <w:b/>
                <w:bCs/>
                <w:sz w:val="32"/>
                <w:szCs w:val="32"/>
                <w:lang w:val="en-IN"/>
              </w:rPr>
            </w:pPr>
            <w:proofErr w:type="spellStart"/>
            <w:r>
              <w:rPr>
                <w:b/>
                <w:bCs/>
                <w:sz w:val="32"/>
                <w:szCs w:val="32"/>
                <w:lang w:val="en-IN"/>
              </w:rPr>
              <w:t>R.Ananth</w:t>
            </w:r>
            <w:proofErr w:type="spellEnd"/>
          </w:p>
        </w:tc>
      </w:tr>
    </w:tbl>
    <w:p w:rsidR="009D0AE0" w:rsidRDefault="009D0AE0">
      <w:pPr>
        <w:rPr>
          <w:lang w:val="en-IN"/>
        </w:rPr>
      </w:pPr>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550AD7" w:rsidP="00BC5642">
      <w:pPr>
        <w:jc w:val="center"/>
        <w:rPr>
          <w:rStyle w:val="Strong"/>
          <w:rFonts w:ascii="Arial Black" w:hAnsi="Arial Black"/>
          <w:sz w:val="36"/>
          <w:szCs w:val="36"/>
        </w:rPr>
      </w:pPr>
      <w:hyperlink r:id="rId22" w:history="1">
        <w:r w:rsidR="00BC5642"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550AD7" w:rsidP="003C7639">
      <w:pPr>
        <w:tabs>
          <w:tab w:val="left" w:pos="3414"/>
        </w:tabs>
        <w:rPr>
          <w:rFonts w:ascii="Arial Black" w:hAnsi="Arial Black"/>
          <w:sz w:val="36"/>
          <w:szCs w:val="36"/>
        </w:rPr>
      </w:pPr>
      <w:hyperlink r:id="rId23" w:history="1">
        <w:r w:rsidR="003C7639" w:rsidRPr="003C7639">
          <w:rPr>
            <w:rStyle w:val="Hyperlink"/>
            <w:rFonts w:ascii="Arial Black" w:hAnsi="Arial Black"/>
            <w:sz w:val="36"/>
            <w:szCs w:val="36"/>
          </w:rPr>
          <w:t>https://wso2.com/whitepapers/real-time-analytics-in-banking-and-finance-use-cases/</w:t>
        </w:r>
      </w:hyperlink>
    </w:p>
    <w:p w:rsidR="003C7639" w:rsidRDefault="003C7639" w:rsidP="003C7639">
      <w:pPr>
        <w:tabs>
          <w:tab w:val="left" w:pos="3414"/>
        </w:tabs>
        <w:rPr>
          <w:rFonts w:ascii="Arial Black" w:hAnsi="Arial Black"/>
          <w:sz w:val="48"/>
          <w:szCs w:val="48"/>
        </w:rPr>
      </w:pPr>
      <w:r>
        <w:rPr>
          <w:rFonts w:ascii="Arial Black" w:hAnsi="Arial Black"/>
          <w:sz w:val="36"/>
          <w:szCs w:val="36"/>
        </w:rPr>
        <w:t xml:space="preserve">                           </w:t>
      </w:r>
      <w:r w:rsidRPr="003C7639">
        <w:rPr>
          <w:rFonts w:ascii="Arial Black" w:hAnsi="Arial Black"/>
          <w:sz w:val="48"/>
          <w:szCs w:val="48"/>
        </w:rPr>
        <w:t>LINKS</w:t>
      </w:r>
    </w:p>
    <w:p w:rsidR="00FA0D11" w:rsidRPr="003C7639" w:rsidRDefault="00FA0D11" w:rsidP="003C7639">
      <w:pPr>
        <w:tabs>
          <w:tab w:val="left" w:pos="3414"/>
        </w:tabs>
        <w:rPr>
          <w:rFonts w:ascii="Arial Black" w:hAnsi="Arial Black"/>
          <w:sz w:val="48"/>
          <w:szCs w:val="48"/>
        </w:rPr>
      </w:pPr>
      <w:bookmarkStart w:id="0" w:name="_GoBack"/>
      <w:bookmarkEnd w:id="0"/>
    </w:p>
    <w:sectPr w:rsidR="00FA0D11"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AD7" w:rsidRDefault="00550AD7" w:rsidP="009A6407">
      <w:pPr>
        <w:spacing w:after="0" w:line="240" w:lineRule="auto"/>
      </w:pPr>
      <w:r>
        <w:separator/>
      </w:r>
    </w:p>
  </w:endnote>
  <w:endnote w:type="continuationSeparator" w:id="0">
    <w:p w:rsidR="00550AD7" w:rsidRDefault="00550AD7"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FA0D11">
          <w:rPr>
            <w:noProof/>
          </w:rPr>
          <w:t>13</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AD7" w:rsidRDefault="00550AD7" w:rsidP="009A6407">
      <w:pPr>
        <w:spacing w:after="0" w:line="240" w:lineRule="auto"/>
      </w:pPr>
      <w:r>
        <w:separator/>
      </w:r>
    </w:p>
  </w:footnote>
  <w:footnote w:type="continuationSeparator" w:id="0">
    <w:p w:rsidR="00550AD7" w:rsidRDefault="00550AD7"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550AD7">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B0DE0"/>
    <w:rsid w:val="000B4C64"/>
    <w:rsid w:val="000B7F8A"/>
    <w:rsid w:val="00101C57"/>
    <w:rsid w:val="0011391C"/>
    <w:rsid w:val="00215B15"/>
    <w:rsid w:val="00282F9E"/>
    <w:rsid w:val="003033AD"/>
    <w:rsid w:val="00344404"/>
    <w:rsid w:val="003722BE"/>
    <w:rsid w:val="00373913"/>
    <w:rsid w:val="003B43E1"/>
    <w:rsid w:val="003C7639"/>
    <w:rsid w:val="003D16DC"/>
    <w:rsid w:val="00541FCD"/>
    <w:rsid w:val="00550AD7"/>
    <w:rsid w:val="005E0F04"/>
    <w:rsid w:val="005E3CFD"/>
    <w:rsid w:val="005F22C7"/>
    <w:rsid w:val="00644D6E"/>
    <w:rsid w:val="0068717F"/>
    <w:rsid w:val="006E2A62"/>
    <w:rsid w:val="00705C54"/>
    <w:rsid w:val="00760BF6"/>
    <w:rsid w:val="0076713E"/>
    <w:rsid w:val="007822A8"/>
    <w:rsid w:val="00785C32"/>
    <w:rsid w:val="007A5E01"/>
    <w:rsid w:val="007D3289"/>
    <w:rsid w:val="008A6804"/>
    <w:rsid w:val="008D1BCE"/>
    <w:rsid w:val="009A6407"/>
    <w:rsid w:val="009C329C"/>
    <w:rsid w:val="009D0AE0"/>
    <w:rsid w:val="009D1A01"/>
    <w:rsid w:val="00A743E7"/>
    <w:rsid w:val="00AC34C5"/>
    <w:rsid w:val="00B95EDA"/>
    <w:rsid w:val="00BC5642"/>
    <w:rsid w:val="00C7499B"/>
    <w:rsid w:val="00C87F38"/>
    <w:rsid w:val="00CD598B"/>
    <w:rsid w:val="00D275D1"/>
    <w:rsid w:val="00E36A6A"/>
    <w:rsid w:val="00E952EF"/>
    <w:rsid w:val="00E9614F"/>
    <w:rsid w:val="00ED59AF"/>
    <w:rsid w:val="00F209AC"/>
    <w:rsid w:val="00F717BD"/>
    <w:rsid w:val="00FA0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DB163-8B99-4527-BB09-4D10F02F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7</cp:revision>
  <dcterms:created xsi:type="dcterms:W3CDTF">2024-03-26T17:52:00Z</dcterms:created>
  <dcterms:modified xsi:type="dcterms:W3CDTF">2024-03-30T11:57:00Z</dcterms:modified>
</cp:coreProperties>
</file>