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bookmarkStart w:id="21" w:name="main-paper-tables"/>
    <w:p>
      <w:pPr>
        <w:pStyle w:val="Titre1"/>
      </w:pPr>
      <w:r>
        <w:t xml:space="preserve">Main Paper Tables</w:t>
      </w:r>
    </w:p>
    <w:bookmarkStart w:id="20" w:name="kelp-drivers-model"/>
    <w:p>
      <w:pPr>
        <w:pStyle w:val="Titre2"/>
      </w:pPr>
      <w:r>
        <w:t xml:space="preserve">Kelp Drivers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across the outer coast of Maine.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2. Coefficient estimates, SE, and z tests for the kelp drivers model.</w:t>
      </w:r>
    </w:p>
    <w:bookmarkEnd w:id="20"/>
    <w:bookmarkEnd w:id="21"/>
    <w:bookmarkStart w:id="30" w:name="supplementary-tables"/>
    <w:p>
      <w:pPr>
        <w:pStyle w:val="Titre1"/>
      </w:pPr>
      <w:r>
        <w:t xml:space="preserve">Supplementary Tables</w:t>
      </w:r>
    </w:p>
    <w:bookmarkStart w:id="22" w:name="sample-sizes-for-kelp-analysis"/>
    <w:p>
      <w:pPr>
        <w:pStyle w:val="Titre2"/>
      </w:pPr>
      <w:r>
        <w:t xml:space="preserve">Sample Sizes for Kelp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Supplementary Table S1. Sample sizes of sites per region per year for use in the 5m kelp timeseries analysis and associated driver models.</w:t>
      </w:r>
    </w:p>
    <w:bookmarkEnd w:id="22"/>
    <w:bookmarkStart w:id="23" w:name="kelp-timeseries-model-at-10m"/>
    <w:p>
      <w:pPr>
        <w:pStyle w:val="Titre2"/>
      </w:pPr>
      <w:r>
        <w:t xml:space="preserve">Kelp Timeseries Model at 10m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7.609e-03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9.828e-05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7.417e-02</w:t>
            </w:r>
          </w:p>
        </w:tc>
      </w:tr>
    </w:tbl>
    <w:p>
      <w:pPr>
        <w:pStyle w:val="FirstParagraph"/>
      </w:pPr>
      <w:r>
        <w:t xml:space="preserve">Supplementary Table S2.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10 m depth, in a model with an interaction. Note the interaction is not well supported. The logit coefficient of the relationship across all of Maine is -0.023.</w:t>
      </w:r>
    </w:p>
    <w:bookmarkEnd w:id="23"/>
    <w:bookmarkStart w:id="24" w:name="sample-sizes-for-composition-analysis"/>
    <w:p>
      <w:pPr>
        <w:pStyle w:val="Titre2"/>
      </w:pPr>
      <w:r>
        <w:t xml:space="preserve">Sample Sizes for Composition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t xml:space="preserve">Supplementary Table S3. Sample sizes of sites per region per year for use in assessing changes in macroalgal community composition between 2004 and 2018.</w:t>
      </w:r>
    </w:p>
    <w:bookmarkEnd w:id="24"/>
    <w:bookmarkStart w:id="25" w:name="kelp-timeseries-model"/>
    <w:p>
      <w:pPr>
        <w:pStyle w:val="Titre2"/>
      </w:pPr>
      <w:r>
        <w:t xml:space="preserve">Kelp Timeseries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Supplementary Table S4.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5 m depth.</w:t>
      </w:r>
    </w:p>
    <w:bookmarkEnd w:id="25"/>
    <w:bookmarkStart w:id="26" w:name="temperature"/>
    <w:p>
      <w:pPr>
        <w:pStyle w:val="Titre2"/>
      </w:pPr>
      <w:r>
        <w:t xml:space="preserve">Temperature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FirstParagraph"/>
      </w:pPr>
      <w:r>
        <w:t xml:space="preserve">Supplementary Table S5. F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79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S6. Coefficient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95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10.9282728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433.4354852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2.204e-41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63.1665422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S7. F Table results from summer mean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42"/>
        <w:gridCol w:w="1695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74.0543378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6.564e-01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8.367e-01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5.425e-01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8.874e-01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5.170e-01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8.625e-01</w:t>
            </w:r>
          </w:p>
        </w:tc>
      </w:tr>
    </w:tbl>
    <w:p>
      <w:pPr>
        <w:pStyle w:val="Corpsdetexte"/>
      </w:pPr>
      <w:r>
        <w:t xml:space="preserve">Supplementary Table S8. Coefficient Table results from summer mean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16.524636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7.132e-05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608.368225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1.031e-40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92.008568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S9. F Table results from summer maximum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42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89.37603530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0.04447660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2.246e-01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5.332e-01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9.278e-01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9.534e-01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4.250e-01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9.508e-01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9.243e-01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5.802e-01</w:t>
            </w:r>
          </w:p>
        </w:tc>
      </w:tr>
    </w:tbl>
    <w:p>
      <w:pPr>
        <w:pStyle w:val="Corpsdetexte"/>
      </w:pPr>
      <w:r>
        <w:t xml:space="preserve">Supplementary Table S10. Coefficient Table results from summer maximum temperature trend linear regression model.</w:t>
      </w:r>
    </w:p>
    <w:bookmarkEnd w:id="26"/>
    <w:bookmarkStart w:id="27" w:name="kelp-composition-model"/>
    <w:p>
      <w:pPr>
        <w:pStyle w:val="Titre2"/>
      </w:pPr>
      <w:r>
        <w:t xml:space="preserve">Kelp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Supplementary Table S11.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Supplementary Table S12.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trHeight w:val="5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trHeight w:val="57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Supplementary Table S13. Posthoc comparisons of differences in kelp species within each subregion between 2004 and 2018. Differences derived via simulation, and as such we include the 95% CI for each.</w:t>
      </w:r>
    </w:p>
    <w:bookmarkEnd w:id="27"/>
    <w:bookmarkStart w:id="28" w:name="understory-composition-model"/>
    <w:p>
      <w:pPr>
        <w:pStyle w:val="Titre2"/>
      </w:pPr>
      <w:r>
        <w:t xml:space="preserve">Understory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1.571e-06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1.567e-05</w:t>
            </w:r>
          </w:p>
        </w:tc>
      </w:tr>
    </w:tbl>
    <w:p>
      <w:pPr>
        <w:pStyle w:val="FirstParagraph"/>
      </w:pPr>
      <w:r>
        <w:t xml:space="preserve">Supplementary Table S14.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trHeight w:val="57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trHeight w:val="57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trHeight w:val="57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trHeight w:val="57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Supplementary Table S15.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trHeight w:val="62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trHeight w:val="57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trHeight w:val="57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573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Supplementary Table S16. Posthoc comparisons of differences in understory species within each subregion between 2004 and 2018. Differences derived via simulation, and as such we include the 95% CI for each.</w:t>
      </w:r>
    </w:p>
    <w:bookmarkEnd w:id="28"/>
    <w:bookmarkStart w:id="29" w:name="urchin-size-analysis"/>
    <w:p>
      <w:pPr>
        <w:pStyle w:val="Titre2"/>
      </w:pPr>
      <w:r>
        <w:t xml:space="preserve">Urchin Size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2024"/>
        <w:gridCol w:w="1573"/>
        <w:gridCol w:w="1084"/>
        <w:gridCol w:w="1524"/>
        <w:gridCol w:w="218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over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-0.41043820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1.51313715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-0.2712498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0.7862011243445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-0.55581571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1.00229737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0.5792131104186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-1.72308007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-5.1313545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0.0000002898122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-0.34081772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0.29232023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0.2436638139753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-0.06249586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0.18936453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0.7413805136788</w:t>
            </w:r>
          </w:p>
        </w:tc>
      </w:tr>
      <w:tr>
        <w:trPr>
          <w:trHeight w:val="59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0.20401872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0.09171545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2.2244749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0.0261253929884</w:t>
            </w:r>
          </w:p>
        </w:tc>
      </w:tr>
    </w:tbl>
    <w:p>
      <w:pPr>
        <w:pStyle w:val="FirstParagraph"/>
      </w:pPr>
      <w:r>
        <w:t xml:space="preserve">Supplementary Table S17. Trends in urchin size by region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646"/>
        <w:gridCol w:w="1451"/>
        <w:gridCol w:w="1084"/>
        <w:gridCol w:w="1646"/>
        <w:gridCol w:w="218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Casco Bay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0.14537751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1.8161493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0.08004712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0.9999995414530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1.31264187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1.5498833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0.84692948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0.9586306169390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-0.06962047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1.5408673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-0.04518266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0.9999999736629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-0.34794234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-0.22818227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0.9999158467967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-0.61445692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1.5158723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-0.40534873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0.9986006451018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1.16726436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1.10419349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0.8798620386892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-0.21499799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-0.20587643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0.9999494148916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-0.49331985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-0.48358535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0.9967446223335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-0.75983444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-0.75490586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0.9748298850987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-1.38226235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-3.10496523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0.0233906819933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-1.66058421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-4.30768690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0.0002386495546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-1.92709880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-5.53625099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0.0000004616485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-0.27832186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-0.79921665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0.9677280731651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-0.54483645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-1.77850807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0.4797169116200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 - 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-0.26651459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-1.26676687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0.8032062586890</w:t>
            </w:r>
          </w:p>
        </w:tc>
      </w:tr>
    </w:tbl>
    <w:p>
      <w:pPr>
        <w:pStyle w:val="Corpsdetexte"/>
      </w:pPr>
      <w:r>
        <w:t xml:space="preserve">Supplementary Table S18. Differences in trends in urchin sizes over time between regions. Only midcoast differs from any other regions.</w:t>
      </w:r>
    </w:p>
    <w:bookmarkEnd w:id="29"/>
    <w:bookmarkEnd w:id="30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2023-12-01T19:38:33Z</dcterms:created>
  <dcterms:modified xsi:type="dcterms:W3CDTF">2023-12-01T14:38:35Z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