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Tables</w:t>
      </w:r>
    </w:p>
    <w:p>
      <w:pPr>
        <w:pStyle w:val="Author"/>
      </w:pPr>
      <w:r>
        <w:t xml:space="preserve">Jarrett</w:t>
      </w:r>
      <w:r>
        <w:t xml:space="preserve"> </w:t>
      </w:r>
      <w:r>
        <w:t xml:space="preserve">Byrnes</w:t>
      </w:r>
    </w:p>
    <w:p>
      <w:pPr>
        <w:pStyle w:val="Date"/>
      </w:pPr>
      <w:r>
        <w:t xml:space="preserve">2/2/2022</w:t>
      </w:r>
    </w:p>
    <w:bookmarkStart w:id="20" w:name="kelp-timeseries-model"/>
    <w:p>
      <w:pPr>
        <w:pStyle w:val="Titre1"/>
      </w:pPr>
      <w:r>
        <w:t xml:space="preserve">Kelp Timeseries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594"/>
        <w:gridCol w:w="1206"/>
        <w:gridCol w:w="1402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3.880e-26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367.980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2.351e-77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1.433e-02</w:t>
            </w:r>
          </w:p>
        </w:tc>
      </w:tr>
    </w:tbl>
    <w:p>
      <w:pPr>
        <w:pStyle w:val="FirstParagraph"/>
      </w:pPr>
      <w:r>
        <w:t xml:space="preserve">Table 1.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over time.</w:t>
      </w:r>
    </w:p>
    <w:bookmarkEnd w:id="20"/>
    <w:bookmarkStart w:id="21" w:name="urchin-timseries-model"/>
    <w:p>
      <w:pPr>
        <w:pStyle w:val="Titre1"/>
      </w:pPr>
      <w:r>
        <w:t xml:space="preserve">Urchin Timseries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1511"/>
        <w:gridCol w:w="1084"/>
        <w:gridCol w:w="594"/>
        <w:gridCol w:w="1402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A) Non-Zero Urchins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1.975e-01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1.141e-16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1.070e-01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B) Zero Inflation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1.768e-07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1.714e-13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4.272e-04</w:t>
            </w:r>
          </w:p>
        </w:tc>
      </w:tr>
    </w:tbl>
    <w:p>
      <w:pPr>
        <w:pStyle w:val="FirstParagraph"/>
      </w:pPr>
      <w:r>
        <w:t xml:space="preserve">Table 2.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over time. A) Trend analysis if urchins are not zero. B) Tests of predictors of zero inflation.</w:t>
      </w:r>
    </w:p>
    <w:bookmarkEnd w:id="21"/>
    <w:bookmarkStart w:id="22" w:name="kelp-drivers-model"/>
    <w:p>
      <w:pPr>
        <w:pStyle w:val="Titre1"/>
      </w:pPr>
      <w:r>
        <w:t xml:space="preserve">Kelp Drivers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084"/>
        <w:gridCol w:w="594"/>
        <w:gridCol w:w="1402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urchin anomaly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1.859e-13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spring temperature anomaly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3.219e-02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lag summer temperature anomaly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2.074e-02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urchins in subregion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2.624e-11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spring temperature in subregion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6.463e-13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lag summer temperature in subregion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2.795e-01</w:t>
            </w:r>
          </w:p>
        </w:tc>
      </w:tr>
    </w:tbl>
    <w:p>
      <w:pPr>
        <w:pStyle w:val="FirstParagraph"/>
      </w:pPr>
      <w:r>
        <w:t xml:space="preserve">Table 3.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of drivers of kelp abundance in the northern Gulf of Maine.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961"/>
        <w:gridCol w:w="1034"/>
        <w:gridCol w:w="1402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5.745e-19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urchin anomaly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1.859e-13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spring temperature anomaly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3.219e-02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lag summer temperature anomaly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2.074e-02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urchins in subregion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2.624e-11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spring temperature in subregion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6.463e-13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average lag summer temperature in subregion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2.795e-01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 sd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Corpsdetexte"/>
      </w:pPr>
      <w:r>
        <w:t xml:space="preserve">Table 4. Coefficient estimates, SE, and z tests for the kelp drivers model.</w:t>
      </w:r>
    </w:p>
    <w:bookmarkEnd w:id="22"/>
    <w:bookmarkStart w:id="23" w:name="kelp-composition-model"/>
    <w:p>
      <w:pPr>
        <w:pStyle w:val="Titre1"/>
      </w:pPr>
      <w:r>
        <w:t xml:space="preserve">Kelp Composition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206"/>
        <w:gridCol w:w="655"/>
        <w:gridCol w:w="1457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8.392e-07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52.283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1.035e-04</w:t>
            </w:r>
          </w:p>
        </w:tc>
      </w:tr>
    </w:tbl>
    <w:p>
      <w:pPr>
        <w:pStyle w:val="FirstParagraph"/>
      </w:pPr>
      <w:r>
        <w:t xml:space="preserve">Table 5.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kelp species composition over time.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7"/>
        <w:gridCol w:w="1511"/>
        <w:gridCol w:w="1389"/>
        <w:gridCol w:w="594"/>
        <w:gridCol w:w="1457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6.094e-06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461.068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1.519e-13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673.939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504.662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8.268e-07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687.397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434.305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2.534e-07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1,176.377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0.000e+00</w:t>
            </w:r>
          </w:p>
        </w:tc>
      </w:tr>
    </w:tbl>
    <w:p>
      <w:pPr>
        <w:pStyle w:val="Corpsdetexte"/>
      </w:pPr>
      <w:r>
        <w:t xml:space="preserve">Table 6.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changes in individual kelp species over time with p-values corrected for false discovery rate.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891"/>
        <w:gridCol w:w="4067"/>
        <w:gridCol w:w="1792"/>
        <w:gridCol w:w="1731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Differerence from 2004 to 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95%CI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2.734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1.310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-1.902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2.345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1.511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-1.220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-0.865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1.288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9.109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28.644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24.182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57.042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ldig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72.443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34.977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-22.912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-8.350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10.093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12.178</w:t>
            </w:r>
          </w:p>
        </w:tc>
      </w:tr>
      <w:tr>
        <w:trPr>
          <w:cantSplit/>
          <w:trHeight w:val="5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40.860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-9.238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-31.035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4.323</w:t>
            </w:r>
          </w:p>
        </w:tc>
      </w:tr>
    </w:tbl>
    <w:p>
      <w:pPr>
        <w:pStyle w:val="Corpsdetexte"/>
      </w:pPr>
      <w:r>
        <w:t xml:space="preserve">Table 7. Posthoc comparisons of differences in kelp species within each subregion between 2004 and 2018. Differences derived via simulation, and as such we include the 95% CI for each.</w:t>
      </w:r>
    </w:p>
    <w:bookmarkEnd w:id="23"/>
    <w:bookmarkStart w:id="24" w:name="understory-composition-model"/>
    <w:p>
      <w:pPr>
        <w:pStyle w:val="Titre1"/>
      </w:pPr>
      <w:r>
        <w:t xml:space="preserve">Understory Composition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1"/>
        <w:gridCol w:w="1206"/>
        <w:gridCol w:w="655"/>
        <w:gridCol w:w="1402"/>
      </w:tblGrid>
      <w:tr>
        <w:trPr>
          <w:cantSplit/>
          <w:trHeight w:val="57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2.118e-01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3.162e-10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127.609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5.766e-06</w:t>
            </w:r>
          </w:p>
        </w:tc>
      </w:tr>
    </w:tbl>
    <w:p>
      <w:pPr>
        <w:pStyle w:val="FirstParagraph"/>
      </w:pPr>
      <w:r>
        <w:t xml:space="preserve">Table 8.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trend analysis of understory species composition over time.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7"/>
        <w:gridCol w:w="1511"/>
        <w:gridCol w:w="1084"/>
        <w:gridCol w:w="594"/>
        <w:gridCol w:w="1402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𝛘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2.265e-02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3.008e-05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7.807e-02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2.088e-05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7.807e-02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2.503e-03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8.009e-01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4.850e-05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1.417e-01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1.261e-04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5.476e-02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3.755e-02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6.049e-02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7.159e-01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6.356e-03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8.585e-10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6.492e-07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7.584e-06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5.687e-04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9.938e-02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8.585e-10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4.294e-07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9.358e-02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6.481e-02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1.779e-10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9.671e-01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1.068e-04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6.575e-05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9.564e-01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2.931e-03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5.687e-04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9.671e-01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1.000e-02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6.568e-03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year:region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9.671e-01</w:t>
            </w:r>
          </w:p>
        </w:tc>
      </w:tr>
    </w:tbl>
    <w:p>
      <w:pPr>
        <w:pStyle w:val="Corpsdetexte"/>
      </w:pPr>
      <w:r>
        <w:t xml:space="preserve">Table 9.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likelihood ratio tests for changes in individual understory species over time with p-values corrected for false discovery rate.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891"/>
        <w:gridCol w:w="4067"/>
        <w:gridCol w:w="1792"/>
        <w:gridCol w:w="1731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Differerence from 2004 to 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95%CI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-2.880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8.086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11.275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14.993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ccrisp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2.582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1.643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-0.454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9.364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4.986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2.888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1.792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6.052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2.228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-1.902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4.518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-1.205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-0.464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-4.769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-4.249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2.389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37.496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10.663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3.785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-5.035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11.668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-0.586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-0.303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2.316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-0.738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-0.643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-3.118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ptilo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-0.321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1.406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5.439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2.719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1.908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Casco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Midcoast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Penobscot Bay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ulva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Downeast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0.498</w:t>
            </w:r>
          </w:p>
        </w:tc>
      </w:tr>
    </w:tbl>
    <w:p>
      <w:pPr>
        <w:pStyle w:val="Corpsdetexte"/>
      </w:pPr>
      <w:r>
        <w:t xml:space="preserve">Table 10. Posthoc comparisons of differences in understory species within each subregion between 2004 and 2018. Differences derived via simulation, and as such we include the 95% CI for each.</w:t>
      </w:r>
    </w:p>
    <w:bookmarkEnd w:id="24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w:type="default" r:id="rId9"/>
      <w:footerReference xmlns:w="http://schemas.openxmlformats.org/wordprocessingml/2006/main" xmlns:r="http://schemas.openxmlformats.org/officeDocument/2006/relationships" w:type="even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Tables</dc:title>
  <dc:creator>Jarrett Byrnes</dc:creator>
  <cp:keywords/>
  <dcterms:created xsi:type="dcterms:W3CDTF">2022-02-02T19:43:41Z</dcterms:created>
  <dcterms:modified xsi:type="dcterms:W3CDTF">2022-02-02T14:43:41Z</dcterms:modified>
  <cp:lastModifiedBy>jebyrnes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2/2/2022</vt:lpwstr>
  </property>
  <property fmtid="{D5CDD505-2E9C-101B-9397-08002B2CF9AE}" pid="3" name="output">
    <vt:lpwstr>officedown::rdocx_document</vt:lpwstr>
  </property>
</Properties>
</file>