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mbria" w:hAnsi="Cambria" w:eastAsia="Cambria"/>
          <w:b/>
          <w:i w:val="0"/>
          <w:color w:val="1F3A5F"/>
          <w:sz w:val="56"/>
        </w:rPr>
        <w:t>National Institutional Ranking Framework (NIRF): Transforming Indian Higher Education</w:t>
      </w:r>
    </w:p>
    <w:p>
      <w:pPr>
        <w:spacing w:before="400"/>
        <w:jc w:val="center"/>
      </w:pPr>
      <w:r>
        <w:rPr>
          <w:rFonts w:ascii="Cambria" w:hAnsi="Cambria" w:eastAsia="Cambria"/>
          <w:b/>
          <w:i w:val="0"/>
          <w:sz w:val="30"/>
        </w:rPr>
        <w:t>A Comprehensive Analysis of Methodology, Parameters, and Impact</w:t>
      </w:r>
    </w:p>
    <w:p>
      <w:pPr>
        <w:spacing w:before="4000"/>
        <w:jc w:val="center"/>
      </w:pPr>
      <w:r>
        <w:rPr>
          <w:rFonts w:ascii="Cambria" w:hAnsi="Cambria" w:eastAsia="Cambria"/>
          <w:b/>
          <w:i w:val="0"/>
          <w:sz w:val="24"/>
        </w:rPr>
        <w:t>Dr Venkata Rama Krishna Tottempudi</w:t>
      </w:r>
    </w:p>
    <w:p>
      <w:pPr>
        <w:jc w:val="center"/>
      </w:pPr>
      <w:r>
        <w:rPr>
          <w:rFonts w:ascii="Cambria" w:hAnsi="Cambria" w:eastAsia="Cambria"/>
          <w:b/>
          <w:i w:val="0"/>
          <w:sz w:val="24"/>
        </w:rPr>
        <w:t>Sai Saran Tottempudi</w:t>
      </w:r>
    </w:p>
    <w:p>
      <w:r>
        <w:br w:type="page"/>
      </w:r>
    </w:p>
    <w:p>
      <w:pPr>
        <w:keepNext/>
        <w:spacing w:before="280" w:after="120"/>
      </w:pPr>
      <w:r>
        <w:rPr>
          <w:rFonts w:ascii="Cambria" w:hAnsi="Cambria" w:eastAsia="Cambria"/>
          <w:b/>
          <w:i w:val="0"/>
          <w:color w:val="1F3A5F"/>
          <w:sz w:val="30"/>
        </w:rPr>
        <w:t>Acknowledgement</w:t>
      </w:r>
    </w:p>
    <w:p>
      <w:pPr>
        <w:spacing w:after="120" w:line="276" w:lineRule="auto"/>
        <w:jc w:val="both"/>
      </w:pPr>
      <w:r>
        <w:rPr>
          <w:rFonts w:ascii="Cambria" w:hAnsi="Cambria" w:eastAsia="Cambria"/>
          <w:b w:val="0"/>
          <w:i w:val="0"/>
          <w:sz w:val="22"/>
        </w:rPr>
        <w:t>We wish to express our deep sense of gratitude to the Ministry of Education, Government of India</w:t>
      </w:r>
      <w:r>
        <w:rPr>
          <w:rFonts w:ascii="Cambria" w:hAnsi="Cambria" w:eastAsia="Cambria"/>
          <w:b w:val="0"/>
          <w:i w:val="0"/>
          <w:sz w:val="22"/>
        </w:rPr>
        <w:t>, for introducing the National Institutional Ranking Framework (NIRF) in 2015, a landmark initiative that has redefined quality assurance in Indian higher education. Our sincere thanks also go to the National Board of Accreditation (NBA) for serving as the ranking agency and ensuring that the framework is implemented with rigor, transparency, and accountability.</w:t>
      </w:r>
    </w:p>
    <w:p>
      <w:pPr>
        <w:spacing w:after="120" w:line="276" w:lineRule="auto"/>
        <w:jc w:val="both"/>
      </w:pPr>
      <w:r>
        <w:rPr>
          <w:rFonts w:ascii="Cambria" w:hAnsi="Cambria" w:eastAsia="Cambria"/>
          <w:b w:val="0"/>
          <w:i w:val="0"/>
          <w:sz w:val="22"/>
        </w:rPr>
        <w:t>We acknowledge the contributions of regulatory bodies such as UGC, AICTE, NAAC, PCI, COA, and other councils, whose policies and quality benchmarks align closely with NIRF's objectives and support the broader vision of academic excellence. We also appreciate the role of global bibliometric databases such as Scopus, Web of Science, and PubMed, whose data provide reliable foundations for research and innovation metrics under the framework.</w:t>
      </w:r>
    </w:p>
    <w:p>
      <w:pPr>
        <w:spacing w:after="120" w:line="276" w:lineRule="auto"/>
        <w:jc w:val="both"/>
      </w:pPr>
      <w:r>
        <w:rPr>
          <w:rFonts w:ascii="Cambria" w:hAnsi="Cambria" w:eastAsia="Cambria"/>
          <w:b w:val="0"/>
          <w:i w:val="0"/>
          <w:sz w:val="22"/>
        </w:rPr>
        <w:t>Special recognition is extended to the Institutional Innovation Councils (IICs), Internal Quality Assurance Cells (IQACs), and faculty members across institutions, whose active engagement in data collection, reporting, and compliance has made NIRF a practical tool for transformation. We also thank contributors of open-source resources, including the NIRF Formats GitHub Repository, which has provided valuable templates to streamline institutional reporting.</w:t>
      </w:r>
    </w:p>
    <w:p>
      <w:pPr>
        <w:spacing w:after="120" w:line="276" w:lineRule="auto"/>
        <w:jc w:val="both"/>
      </w:pPr>
      <w:r>
        <w:rPr>
          <w:rFonts w:ascii="Cambria" w:hAnsi="Cambria" w:eastAsia="Cambria"/>
          <w:b w:val="0"/>
          <w:i w:val="0"/>
          <w:sz w:val="22"/>
        </w:rPr>
        <w:t>Above all, we are grateful to the students, alumni, and academic leaders whose participation, feedback, and achievements form the backbone of NIRF's success. This work is dedicated to their continued pursuit of excellence, innovation, and inclusivity in higher education.</w:t>
      </w:r>
    </w:p>
    <w:p>
      <w:pPr>
        <w:spacing w:after="120" w:line="276" w:lineRule="auto"/>
        <w:jc w:val="both"/>
      </w:pPr>
      <w:r>
        <w:rPr>
          <w:rFonts w:ascii="Cambria" w:hAnsi="Cambria" w:eastAsia="Cambria"/>
          <w:b w:val="0"/>
          <w:i w:val="0"/>
          <w:sz w:val="22"/>
        </w:rPr>
        <w:t>In addition, I gratefully acknowledge the support of Dr. P. Phanidhar Varma and Dr. Mahesh Babu Kota whose contributions have been invaluable.</w:t>
      </w:r>
    </w:p>
    <w:p>
      <w:pPr>
        <w:spacing w:after="120" w:line="276" w:lineRule="auto"/>
        <w:jc w:val="both"/>
      </w:pPr>
      <w:r>
        <w:rPr>
          <w:rFonts w:ascii="Cambria" w:hAnsi="Cambria" w:eastAsia="Cambria"/>
          <w:b w:val="0"/>
          <w:i w:val="0"/>
          <w:sz w:val="22"/>
        </w:rPr>
        <w:t>Most importantly, I must thank my wife and best friend, Sailaja Tottempudi, for her unwavering support and strength through every phase of this journey.</w:t>
      </w:r>
    </w:p>
    <w:p>
      <w:pPr>
        <w:spacing w:after="120" w:line="276" w:lineRule="auto"/>
        <w:jc w:val="both"/>
      </w:pPr>
      <w:r>
        <w:rPr>
          <w:rFonts w:ascii="Cambria" w:hAnsi="Cambria" w:eastAsia="Cambria"/>
          <w:b w:val="0"/>
          <w:i w:val="0"/>
          <w:sz w:val="22"/>
        </w:rPr>
        <w:t>Finally, I express my deep gratitude to my family and well-wishers for their continuous encouragement and moral support throughout this endeavor.</w:t>
      </w:r>
    </w:p>
    <w:p>
      <w:pPr>
        <w:spacing w:after="120" w:line="276" w:lineRule="auto"/>
        <w:jc w:val="both"/>
      </w:pPr>
      <w:r>
        <w:rPr>
          <w:rFonts w:ascii="Cambria" w:hAnsi="Cambria" w:eastAsia="Cambria"/>
          <w:b w:val="0"/>
          <w:i w:val="0"/>
          <w:sz w:val="22"/>
        </w:rPr>
        <w:t>This book is a humble contribution toward building a more quality-conscious, outcome-oriented, and institutionally accountable higher education ecosystem in India.</w:t>
      </w:r>
    </w:p>
    <w:p>
      <w:pPr>
        <w:spacing w:after="0" w:line="276" w:lineRule="auto"/>
      </w:pPr>
      <w:r>
        <w:rPr>
          <w:rFonts w:ascii="Cambria" w:hAnsi="Cambria" w:eastAsia="Cambria"/>
          <w:b/>
          <w:i w:val="0"/>
          <w:sz w:val="22"/>
        </w:rPr>
        <w:t>Dr. V. Rama Krishna Tottempudi</w:t>
      </w:r>
    </w:p>
    <w:p>
      <w:pPr>
        <w:spacing w:after="120" w:line="276" w:lineRule="auto"/>
      </w:pPr>
      <w:r>
        <w:rPr>
          <w:rFonts w:ascii="Cambria" w:hAnsi="Cambria" w:eastAsia="Cambria"/>
          <w:b/>
          <w:i w:val="0"/>
          <w:sz w:val="22"/>
        </w:rPr>
        <w:t>Sai Saran Tottempudi</w:t>
      </w:r>
    </w:p>
    <w:p>
      <w:pPr>
        <w:keepNext/>
        <w:spacing w:before="280" w:after="120"/>
      </w:pPr>
      <w:r>
        <w:rPr>
          <w:rFonts w:ascii="Cambria" w:hAnsi="Cambria" w:eastAsia="Cambria"/>
          <w:b/>
          <w:i w:val="0"/>
          <w:color w:val="1F3A5F"/>
          <w:sz w:val="30"/>
        </w:rPr>
        <w:t>Abstract</w:t>
      </w:r>
    </w:p>
    <w:p>
      <w:pPr>
        <w:spacing w:after="120" w:line="276" w:lineRule="auto"/>
        <w:jc w:val="both"/>
      </w:pPr>
      <w:r>
        <w:rPr>
          <w:rFonts w:ascii="Cambria" w:hAnsi="Cambria" w:eastAsia="Cambria"/>
          <w:b w:val="0"/>
          <w:i w:val="0"/>
          <w:sz w:val="22"/>
        </w:rPr>
        <w:t>The National Institutional Ranking Framework (NIRF), launched in 2015 by the Ministry of Education, Government of India, has emerged as one of the most important policy instruments in higher education. It was designed to address the absence of a standardized and transparent system for evaluating universities and colleges across the nation. NIRF provides a holistic, evidence-based methodology for ranking institutions based on teaching quality, research, student outcomes, inclusivity, and reputation. By introducing a uniform framework, it has created a benchmark for academic excellence and accountability, aligning Indian higher education with both national priorities and global standards.</w:t>
      </w:r>
    </w:p>
    <w:p>
      <w:pPr>
        <w:spacing w:after="120" w:line="276" w:lineRule="auto"/>
        <w:jc w:val="both"/>
      </w:pPr>
      <w:r>
        <w:rPr>
          <w:rFonts w:ascii="Cambria" w:hAnsi="Cambria" w:eastAsia="Cambria"/>
          <w:b w:val="0"/>
          <w:i w:val="0"/>
          <w:sz w:val="22"/>
        </w:rPr>
        <w:t>NIRF operates on five parameters: Teaching, Learning and Resources (TLR); Research and Professional Practice (RP); Graduation Outcomes (GO); Outreach and Inclusivity (OI); and Perception (PR). Each parameter is weighted differently depending on the type of institution—engineering, management, law, medical, or multidisciplinary university—to reflect their distinct missions. For example, RP carries greater weight in technical institutions where research drives performance, while OI and PR are more significant in general universities where diversity and perception matter. This balanced design ensures fairness and comparability across diverse institutions.</w:t>
      </w:r>
    </w:p>
    <w:p>
      <w:pPr>
        <w:spacing w:after="120" w:line="276" w:lineRule="auto"/>
        <w:jc w:val="both"/>
      </w:pPr>
      <w:r>
        <w:rPr>
          <w:rFonts w:ascii="Cambria" w:hAnsi="Cambria" w:eastAsia="Cambria"/>
          <w:b w:val="0"/>
          <w:i w:val="0"/>
          <w:sz w:val="22"/>
        </w:rPr>
        <w:t>The methodology is data-driven and verification-based. Institutions upload detailed data via the NIRF portal, which is then validated using external sources such as Scopus, Web of Science, PubMed, and regulatory records (UGC, AICTE, NAAC, NBA, PCI, COA). This dual-layer approach enhances credibility, minimizes data manipulation, and provides confidence to stakeholders. Scores are normalized and aggregated into an overall score out of 100, determining each institution's rank. Institutions are also required to publish their submitted data on their websites, reinforcing transparency and accountability.</w:t>
      </w:r>
    </w:p>
    <w:p>
      <w:pPr>
        <w:spacing w:after="120" w:line="276" w:lineRule="auto"/>
        <w:jc w:val="both"/>
      </w:pPr>
      <w:r>
        <w:rPr>
          <w:rFonts w:ascii="Cambria" w:hAnsi="Cambria" w:eastAsia="Cambria"/>
          <w:b w:val="0"/>
          <w:i w:val="0"/>
          <w:sz w:val="22"/>
        </w:rPr>
        <w:t>Beyond ranking, NIRF has become a policy and benchmarking tool. Institutions use its metrics for internal audits, faculty development, and strategic research investments, while policymakers rely on its outcomes for initiatives such as Institutions of Eminence (IoE) and Higher Education Financing Agency (HEFA) funding. For students and parents, NIRF provides a credible, government-recognized guide to selecting universities and colleges, making it a central decision-making resource.</w:t>
      </w:r>
    </w:p>
    <w:p>
      <w:pPr>
        <w:spacing w:after="120" w:line="276" w:lineRule="auto"/>
        <w:jc w:val="both"/>
      </w:pPr>
      <w:r>
        <w:rPr>
          <w:rFonts w:ascii="Cambria" w:hAnsi="Cambria" w:eastAsia="Cambria"/>
          <w:b w:val="0"/>
          <w:i w:val="0"/>
          <w:sz w:val="22"/>
        </w:rPr>
        <w:t>NIRF also plays a crucial role in promoting equity, innovation, and entrepreneurship. The OI parameter pushes institutions to enhance diversity by including women, socio-economically disadvantaged groups, and differently-abled students. At the same time, RP incentivizes research, patents, and startup incubation, encouraging institutions to engage with industry and society. These directions strongly align with the National Education Policy (NEP) 2020, which emphasizes inclusion, innovation, and global competitiveness.</w:t>
      </w:r>
    </w:p>
    <w:p>
      <w:pPr>
        <w:spacing w:after="120" w:line="276" w:lineRule="auto"/>
        <w:jc w:val="both"/>
      </w:pPr>
      <w:r>
        <w:rPr>
          <w:rFonts w:ascii="Cambria" w:hAnsi="Cambria" w:eastAsia="Cambria"/>
          <w:b w:val="0"/>
          <w:i w:val="0"/>
          <w:sz w:val="22"/>
        </w:rPr>
        <w:t>The National Board of Accreditation (NBA) manages the ranking exercise annually, with results published each April, widely covered in national media. Over the years, NIRF has contributed to elevating India's higher education profile on the global stage by encouraging institutions to compete on measurable outcomes. To further support institutions, several ready-to-use data collection and reporting formats have been developed and shared by educators and experts. A notable example is the open-source repository NIRF Formats on GitHub (https://github.com/tvrk1122-tech/NIRF_Formats-), which provides structured templates for institutions to systematically record teaching, research, and outcome-related data in line with NIRF requirements. Such resources bridge the gap between policy frameworks and institutional implementation, making compliance and reporting more efficient.</w:t>
      </w:r>
    </w:p>
    <w:p>
      <w:pPr>
        <w:spacing w:after="120" w:line="276" w:lineRule="auto"/>
        <w:jc w:val="both"/>
      </w:pPr>
      <w:r>
        <w:rPr>
          <w:rFonts w:ascii="Cambria" w:hAnsi="Cambria" w:eastAsia="Cambria"/>
          <w:b w:val="0"/>
          <w:i w:val="0"/>
          <w:sz w:val="22"/>
        </w:rPr>
        <w:t>In essence, NIRF is more than a ranking system—it is a comprehensive framework for continuous quality improvement in Indian higher education. By combining transparency, inclusivity, and innovation, it has become an essential tool for institutions, policymakers, and students, ensuring that Indian universities and colleges are better positioned to achieve excellence, accountability, and global recognition.</w:t>
      </w:r>
    </w:p>
    <w:p>
      <w:r>
        <w:br w:type="page"/>
      </w:r>
    </w:p>
    <w:p>
      <w:pPr>
        <w:keepNext/>
        <w:spacing w:before="280" w:after="120"/>
      </w:pPr>
      <w:r>
        <w:rPr>
          <w:rFonts w:ascii="Cambria" w:hAnsi="Cambria" w:eastAsia="Cambria"/>
          <w:b/>
          <w:i w:val="0"/>
          <w:color w:val="1F3A5F"/>
          <w:sz w:val="30"/>
        </w:rPr>
        <w:t>Contents</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line="240" w:lineRule="auto"/>
              <w:jc w:val="center"/>
            </w:pPr>
            <w:r/>
            <w:r>
              <w:rPr>
                <w:rFonts w:ascii="Cambria" w:hAnsi="Cambria" w:eastAsia="Cambria"/>
                <w:b/>
                <w:i w:val="0"/>
                <w:color w:val="FFFFFF"/>
                <w:sz w:val="22"/>
              </w:rPr>
              <w:t>S. No</w:t>
            </w:r>
          </w:p>
        </w:tc>
        <w:tc>
          <w:tcPr>
            <w:tcW w:type="dxa" w:w="7541"/>
            <w:shd w:val="clear" w:color="auto" w:fill="1F3A5F"/>
          </w:tcPr>
          <w:p>
            <w:pPr>
              <w:spacing w:after="40" w:line="240" w:lineRule="auto"/>
              <w:jc w:val="center"/>
            </w:pPr>
            <w:r/>
            <w:r>
              <w:rPr>
                <w:rFonts w:ascii="Cambria" w:hAnsi="Cambria" w:eastAsia="Cambria"/>
                <w:b/>
                <w:i w:val="0"/>
                <w:color w:val="FFFFFF"/>
                <w:sz w:val="22"/>
              </w:rPr>
              <w:t>Content</w:t>
            </w:r>
          </w:p>
        </w:tc>
        <w:tc>
          <w:tcPr>
            <w:tcW w:type="dxa" w:w="1020"/>
            <w:shd w:val="clear" w:color="auto" w:fill="1F3A5F"/>
          </w:tcPr>
          <w:p>
            <w:pPr>
              <w:spacing w:after="40" w:line="240" w:lineRule="auto"/>
              <w:jc w:val="center"/>
            </w:pPr>
            <w:r/>
            <w:r>
              <w:rPr>
                <w:rFonts w:ascii="Cambria" w:hAnsi="Cambria" w:eastAsia="Cambria"/>
                <w:b/>
                <w:i w:val="0"/>
                <w:color w:val="FFFFFF"/>
                <w:sz w:val="22"/>
              </w:rPr>
              <w:t>Pg. No</w:t>
            </w:r>
          </w:p>
        </w:tc>
      </w:tr>
      <w:tr>
        <w:tc>
          <w:tcPr>
            <w:tcW w:type="dxa" w:w="850"/>
          </w:tcPr>
          <w:p>
            <w:pPr>
              <w:spacing w:after="40" w:line="240" w:lineRule="auto"/>
              <w:jc w:val="center"/>
            </w:pPr>
            <w:r/>
            <w:r>
              <w:rPr>
                <w:rFonts w:ascii="Cambria" w:hAnsi="Cambria" w:eastAsia="Cambria"/>
                <w:b w:val="0"/>
                <w:i w:val="0"/>
                <w:sz w:val="22"/>
              </w:rPr>
              <w:t>1</w:t>
            </w:r>
          </w:p>
        </w:tc>
        <w:tc>
          <w:tcPr>
            <w:tcW w:type="dxa" w:w="7541"/>
          </w:tcPr>
          <w:p>
            <w:pPr>
              <w:spacing w:after="40" w:line="240" w:lineRule="auto"/>
            </w:pPr>
            <w:r/>
            <w:r>
              <w:rPr>
                <w:rFonts w:ascii="Cambria" w:hAnsi="Cambria" w:eastAsia="Cambria"/>
                <w:b w:val="0"/>
                <w:i w:val="0"/>
                <w:sz w:val="22"/>
              </w:rPr>
              <w:t>Introduction</w:t>
            </w:r>
          </w:p>
        </w:tc>
        <w:tc>
          <w:tcPr>
            <w:tcW w:type="dxa" w:w="1020"/>
          </w:tcPr>
          <w:p>
            <w:pPr>
              <w:spacing w:after="40" w:line="240" w:lineRule="auto"/>
              <w:jc w:val="center"/>
            </w:pPr>
            <w:r/>
            <w:r>
              <w:rPr>
                <w:rFonts w:ascii="Cambria" w:hAnsi="Cambria" w:eastAsia="Cambria"/>
                <w:b w:val="0"/>
                <w:i w:val="0"/>
                <w:sz w:val="22"/>
              </w:rPr>
              <w:t>001</w:t>
            </w:r>
          </w:p>
        </w:tc>
      </w:tr>
      <w:tr>
        <w:tc>
          <w:tcPr>
            <w:tcW w:type="dxa" w:w="850"/>
            <w:shd w:val="clear" w:color="auto" w:fill="DCE6F1"/>
          </w:tcPr>
          <w:p>
            <w:pPr>
              <w:spacing w:after="40" w:line="240" w:lineRule="auto"/>
              <w:jc w:val="center"/>
            </w:pPr>
            <w:r/>
            <w:r>
              <w:rPr>
                <w:rFonts w:ascii="Cambria" w:hAnsi="Cambria" w:eastAsia="Cambria"/>
                <w:b w:val="0"/>
                <w:i w:val="0"/>
                <w:sz w:val="22"/>
              </w:rPr>
              <w:t>2</w:t>
            </w:r>
          </w:p>
        </w:tc>
        <w:tc>
          <w:tcPr>
            <w:tcW w:type="dxa" w:w="7541"/>
            <w:shd w:val="clear" w:color="auto" w:fill="DCE6F1"/>
          </w:tcPr>
          <w:p>
            <w:pPr>
              <w:spacing w:after="40" w:line="240" w:lineRule="auto"/>
            </w:pPr>
            <w:r/>
            <w:r>
              <w:rPr>
                <w:rFonts w:ascii="Cambria" w:hAnsi="Cambria" w:eastAsia="Cambria"/>
                <w:b w:val="0"/>
                <w:i w:val="0"/>
                <w:sz w:val="22"/>
              </w:rPr>
              <w:t>Salient Features</w:t>
            </w:r>
          </w:p>
        </w:tc>
        <w:tc>
          <w:tcPr>
            <w:tcW w:type="dxa" w:w="1020"/>
            <w:shd w:val="clear" w:color="auto" w:fill="DCE6F1"/>
          </w:tcPr>
          <w:p>
            <w:pPr>
              <w:spacing w:after="40" w:line="240" w:lineRule="auto"/>
              <w:jc w:val="center"/>
            </w:pPr>
            <w:r/>
            <w:r>
              <w:rPr>
                <w:rFonts w:ascii="Cambria" w:hAnsi="Cambria" w:eastAsia="Cambria"/>
                <w:b w:val="0"/>
                <w:i w:val="0"/>
                <w:sz w:val="22"/>
              </w:rPr>
              <w:t>003</w:t>
            </w:r>
          </w:p>
        </w:tc>
      </w:tr>
      <w:tr>
        <w:tc>
          <w:tcPr>
            <w:tcW w:type="dxa" w:w="850"/>
          </w:tcPr>
          <w:p>
            <w:pPr>
              <w:spacing w:after="40" w:line="240" w:lineRule="auto"/>
              <w:jc w:val="center"/>
            </w:pPr>
            <w:r/>
            <w:r>
              <w:rPr>
                <w:rFonts w:ascii="Cambria" w:hAnsi="Cambria" w:eastAsia="Cambria"/>
                <w:b w:val="0"/>
                <w:i w:val="0"/>
                <w:sz w:val="22"/>
              </w:rPr>
              <w:t>3</w:t>
            </w:r>
          </w:p>
        </w:tc>
        <w:tc>
          <w:tcPr>
            <w:tcW w:type="dxa" w:w="7541"/>
          </w:tcPr>
          <w:p>
            <w:pPr>
              <w:spacing w:after="40" w:line="240" w:lineRule="auto"/>
            </w:pPr>
            <w:r/>
            <w:r>
              <w:rPr>
                <w:rFonts w:ascii="Cambria" w:hAnsi="Cambria" w:eastAsia="Cambria"/>
                <w:b w:val="0"/>
                <w:i w:val="0"/>
                <w:sz w:val="22"/>
              </w:rPr>
              <w:t>Eligibility for Overall and Discipline Specific Rankings</w:t>
            </w:r>
          </w:p>
        </w:tc>
        <w:tc>
          <w:tcPr>
            <w:tcW w:type="dxa" w:w="1020"/>
          </w:tcPr>
          <w:p>
            <w:pPr>
              <w:spacing w:after="40" w:line="240" w:lineRule="auto"/>
              <w:jc w:val="center"/>
            </w:pPr>
            <w:r/>
            <w:r>
              <w:rPr>
                <w:rFonts w:ascii="Cambria" w:hAnsi="Cambria" w:eastAsia="Cambria"/>
                <w:b w:val="0"/>
                <w:i w:val="0"/>
                <w:sz w:val="22"/>
              </w:rPr>
              <w:t>009</w:t>
            </w:r>
          </w:p>
        </w:tc>
      </w:tr>
      <w:tr>
        <w:tc>
          <w:tcPr>
            <w:tcW w:type="dxa" w:w="850"/>
            <w:shd w:val="clear" w:color="auto" w:fill="DCE6F1"/>
          </w:tcPr>
          <w:p>
            <w:pPr>
              <w:spacing w:after="40" w:line="240" w:lineRule="auto"/>
              <w:jc w:val="center"/>
            </w:pPr>
            <w:r/>
            <w:r>
              <w:rPr>
                <w:rFonts w:ascii="Cambria" w:hAnsi="Cambria" w:eastAsia="Cambria"/>
                <w:b w:val="0"/>
                <w:i w:val="0"/>
                <w:sz w:val="22"/>
              </w:rPr>
              <w:t>4</w:t>
            </w:r>
          </w:p>
        </w:tc>
        <w:tc>
          <w:tcPr>
            <w:tcW w:type="dxa" w:w="7541"/>
            <w:shd w:val="clear" w:color="auto" w:fill="DCE6F1"/>
          </w:tcPr>
          <w:p>
            <w:pPr>
              <w:spacing w:after="40" w:line="240" w:lineRule="auto"/>
            </w:pPr>
            <w:r/>
            <w:r>
              <w:rPr>
                <w:rFonts w:ascii="Cambria" w:hAnsi="Cambria" w:eastAsia="Cambria"/>
                <w:b w:val="0"/>
                <w:i w:val="0"/>
                <w:sz w:val="22"/>
              </w:rPr>
              <w:t>Data Collection</w:t>
            </w:r>
          </w:p>
        </w:tc>
        <w:tc>
          <w:tcPr>
            <w:tcW w:type="dxa" w:w="1020"/>
            <w:shd w:val="clear" w:color="auto" w:fill="DCE6F1"/>
          </w:tcPr>
          <w:p>
            <w:pPr>
              <w:spacing w:after="40" w:line="240" w:lineRule="auto"/>
              <w:jc w:val="center"/>
            </w:pPr>
            <w:r/>
            <w:r>
              <w:rPr>
                <w:rFonts w:ascii="Cambria" w:hAnsi="Cambria" w:eastAsia="Cambria"/>
                <w:b w:val="0"/>
                <w:i w:val="0"/>
                <w:sz w:val="22"/>
              </w:rPr>
              <w:t>013</w:t>
            </w:r>
          </w:p>
        </w:tc>
      </w:tr>
      <w:tr>
        <w:tc>
          <w:tcPr>
            <w:tcW w:type="dxa" w:w="850"/>
          </w:tcPr>
          <w:p>
            <w:pPr>
              <w:spacing w:after="40" w:line="240" w:lineRule="auto"/>
              <w:jc w:val="center"/>
            </w:pPr>
            <w:r/>
            <w:r>
              <w:rPr>
                <w:rFonts w:ascii="Cambria" w:hAnsi="Cambria" w:eastAsia="Cambria"/>
                <w:b w:val="0"/>
                <w:i w:val="0"/>
                <w:sz w:val="22"/>
              </w:rPr>
              <w:t>5</w:t>
            </w:r>
          </w:p>
        </w:tc>
        <w:tc>
          <w:tcPr>
            <w:tcW w:type="dxa" w:w="7541"/>
          </w:tcPr>
          <w:p>
            <w:pPr>
              <w:spacing w:after="40" w:line="240" w:lineRule="auto"/>
            </w:pPr>
            <w:r/>
            <w:r>
              <w:rPr>
                <w:rFonts w:ascii="Cambria" w:hAnsi="Cambria" w:eastAsia="Cambria"/>
                <w:b w:val="0"/>
                <w:i w:val="0"/>
                <w:sz w:val="22"/>
              </w:rPr>
              <w:t>Implementation Details</w:t>
            </w:r>
          </w:p>
        </w:tc>
        <w:tc>
          <w:tcPr>
            <w:tcW w:type="dxa" w:w="1020"/>
          </w:tcPr>
          <w:p>
            <w:pPr>
              <w:spacing w:after="40" w:line="240" w:lineRule="auto"/>
              <w:jc w:val="center"/>
            </w:pPr>
            <w:r/>
            <w:r>
              <w:rPr>
                <w:rFonts w:ascii="Cambria" w:hAnsi="Cambria" w:eastAsia="Cambria"/>
                <w:b w:val="0"/>
                <w:i w:val="0"/>
                <w:sz w:val="22"/>
              </w:rPr>
              <w:t>024</w:t>
            </w:r>
          </w:p>
        </w:tc>
      </w:tr>
      <w:tr>
        <w:tc>
          <w:tcPr>
            <w:tcW w:type="dxa" w:w="850"/>
            <w:shd w:val="clear" w:color="auto" w:fill="DCE6F1"/>
          </w:tcPr>
          <w:p>
            <w:pPr>
              <w:spacing w:after="40" w:line="240" w:lineRule="auto"/>
              <w:jc w:val="center"/>
            </w:pPr>
            <w:r/>
            <w:r>
              <w:rPr>
                <w:rFonts w:ascii="Cambria" w:hAnsi="Cambria" w:eastAsia="Cambria"/>
                <w:b w:val="0"/>
                <w:i w:val="0"/>
                <w:sz w:val="22"/>
              </w:rPr>
              <w:t>6</w:t>
            </w:r>
          </w:p>
        </w:tc>
        <w:tc>
          <w:tcPr>
            <w:tcW w:type="dxa" w:w="7541"/>
            <w:shd w:val="clear" w:color="auto" w:fill="DCE6F1"/>
          </w:tcPr>
          <w:p>
            <w:pPr>
              <w:spacing w:after="40" w:line="240" w:lineRule="auto"/>
            </w:pPr>
            <w:r/>
            <w:r>
              <w:rPr>
                <w:rFonts w:ascii="Cambria" w:hAnsi="Cambria" w:eastAsia="Cambria"/>
                <w:b w:val="0"/>
                <w:i w:val="0"/>
                <w:sz w:val="22"/>
              </w:rPr>
              <w:t>Errors and Correction Policy</w:t>
            </w:r>
          </w:p>
        </w:tc>
        <w:tc>
          <w:tcPr>
            <w:tcW w:type="dxa" w:w="1020"/>
            <w:shd w:val="clear" w:color="auto" w:fill="DCE6F1"/>
          </w:tcPr>
          <w:p>
            <w:pPr>
              <w:spacing w:after="40" w:line="240" w:lineRule="auto"/>
              <w:jc w:val="center"/>
            </w:pPr>
            <w:r/>
            <w:r>
              <w:rPr>
                <w:rFonts w:ascii="Cambria" w:hAnsi="Cambria" w:eastAsia="Cambria"/>
                <w:b w:val="0"/>
                <w:i w:val="0"/>
                <w:sz w:val="22"/>
              </w:rPr>
              <w:t>029</w:t>
            </w:r>
          </w:p>
        </w:tc>
      </w:tr>
      <w:tr>
        <w:tc>
          <w:tcPr>
            <w:tcW w:type="dxa" w:w="850"/>
          </w:tcPr>
          <w:p>
            <w:pPr>
              <w:spacing w:after="40" w:line="240" w:lineRule="auto"/>
              <w:jc w:val="center"/>
            </w:pPr>
            <w:r/>
            <w:r>
              <w:rPr>
                <w:rFonts w:ascii="Cambria" w:hAnsi="Cambria" w:eastAsia="Cambria"/>
                <w:b w:val="0"/>
                <w:i w:val="0"/>
                <w:sz w:val="22"/>
              </w:rPr>
              <w:t>7</w:t>
            </w:r>
          </w:p>
        </w:tc>
        <w:tc>
          <w:tcPr>
            <w:tcW w:type="dxa" w:w="7541"/>
          </w:tcPr>
          <w:p>
            <w:pPr>
              <w:spacing w:after="40" w:line="240" w:lineRule="auto"/>
            </w:pPr>
            <w:r/>
            <w:r>
              <w:rPr>
                <w:rFonts w:ascii="Cambria" w:hAnsi="Cambria" w:eastAsia="Cambria"/>
                <w:b w:val="0"/>
                <w:i w:val="0"/>
                <w:sz w:val="22"/>
              </w:rPr>
              <w:t>Teaching, Learning &amp; Resources (TLR)</w:t>
            </w:r>
          </w:p>
        </w:tc>
        <w:tc>
          <w:tcPr>
            <w:tcW w:type="dxa" w:w="1020"/>
          </w:tcPr>
          <w:p>
            <w:pPr>
              <w:spacing w:after="40" w:line="240" w:lineRule="auto"/>
              <w:jc w:val="center"/>
            </w:pPr>
            <w:r/>
            <w:r>
              <w:rPr>
                <w:rFonts w:ascii="Cambria" w:hAnsi="Cambria" w:eastAsia="Cambria"/>
                <w:b w:val="0"/>
                <w:i w:val="0"/>
                <w:sz w:val="22"/>
              </w:rPr>
              <w:t>033</w:t>
            </w:r>
          </w:p>
        </w:tc>
      </w:tr>
      <w:tr>
        <w:tc>
          <w:tcPr>
            <w:tcW w:type="dxa" w:w="850"/>
            <w:shd w:val="clear" w:color="auto" w:fill="DCE6F1"/>
          </w:tcPr>
          <w:p>
            <w:pPr>
              <w:spacing w:after="40" w:line="240" w:lineRule="auto"/>
              <w:jc w:val="center"/>
            </w:pPr>
            <w:r/>
            <w:r>
              <w:rPr>
                <w:rFonts w:ascii="Cambria" w:hAnsi="Cambria" w:eastAsia="Cambria"/>
                <w:b w:val="0"/>
                <w:i w:val="0"/>
                <w:sz w:val="22"/>
              </w:rPr>
              <w:t>8</w:t>
            </w:r>
          </w:p>
        </w:tc>
        <w:tc>
          <w:tcPr>
            <w:tcW w:type="dxa" w:w="7541"/>
            <w:shd w:val="clear" w:color="auto" w:fill="DCE6F1"/>
          </w:tcPr>
          <w:p>
            <w:pPr>
              <w:spacing w:after="40" w:line="240" w:lineRule="auto"/>
            </w:pPr>
            <w:r/>
            <w:r>
              <w:rPr>
                <w:rFonts w:ascii="Cambria" w:hAnsi="Cambria" w:eastAsia="Cambria"/>
                <w:b w:val="0"/>
                <w:i w:val="0"/>
                <w:sz w:val="22"/>
              </w:rPr>
              <w:t>Student Strength including Doctoral Students (SS)</w:t>
            </w:r>
          </w:p>
        </w:tc>
        <w:tc>
          <w:tcPr>
            <w:tcW w:type="dxa" w:w="1020"/>
            <w:shd w:val="clear" w:color="auto" w:fill="DCE6F1"/>
          </w:tcPr>
          <w:p>
            <w:pPr>
              <w:spacing w:after="40" w:line="240" w:lineRule="auto"/>
              <w:jc w:val="center"/>
            </w:pPr>
            <w:r/>
            <w:r>
              <w:rPr>
                <w:rFonts w:ascii="Cambria" w:hAnsi="Cambria" w:eastAsia="Cambria"/>
                <w:b w:val="0"/>
                <w:i w:val="0"/>
                <w:sz w:val="22"/>
              </w:rPr>
              <w:t>035</w:t>
            </w:r>
          </w:p>
        </w:tc>
      </w:tr>
      <w:tr>
        <w:tc>
          <w:tcPr>
            <w:tcW w:type="dxa" w:w="850"/>
          </w:tcPr>
          <w:p>
            <w:pPr>
              <w:spacing w:after="40" w:line="240" w:lineRule="auto"/>
              <w:jc w:val="center"/>
            </w:pPr>
            <w:r/>
            <w:r>
              <w:rPr>
                <w:rFonts w:ascii="Cambria" w:hAnsi="Cambria" w:eastAsia="Cambria"/>
                <w:b w:val="0"/>
                <w:i w:val="0"/>
                <w:sz w:val="22"/>
              </w:rPr>
              <w:t>9</w:t>
            </w:r>
          </w:p>
        </w:tc>
        <w:tc>
          <w:tcPr>
            <w:tcW w:type="dxa" w:w="7541"/>
          </w:tcPr>
          <w:p>
            <w:pPr>
              <w:spacing w:after="40" w:line="240" w:lineRule="auto"/>
            </w:pPr>
            <w:r/>
            <w:r>
              <w:rPr>
                <w:rFonts w:ascii="Cambria" w:hAnsi="Cambria" w:eastAsia="Cambria"/>
                <w:b w:val="0"/>
                <w:i w:val="0"/>
                <w:sz w:val="22"/>
              </w:rPr>
              <w:t>Faculty–Student Ratio (FSR)</w:t>
            </w:r>
          </w:p>
        </w:tc>
        <w:tc>
          <w:tcPr>
            <w:tcW w:type="dxa" w:w="1020"/>
          </w:tcPr>
          <w:p>
            <w:pPr>
              <w:spacing w:after="40" w:line="240" w:lineRule="auto"/>
              <w:jc w:val="center"/>
            </w:pPr>
            <w:r/>
            <w:r>
              <w:rPr>
                <w:rFonts w:ascii="Cambria" w:hAnsi="Cambria" w:eastAsia="Cambria"/>
                <w:b w:val="0"/>
                <w:i w:val="0"/>
                <w:sz w:val="22"/>
              </w:rPr>
              <w:t>037</w:t>
            </w:r>
          </w:p>
        </w:tc>
      </w:tr>
      <w:tr>
        <w:tc>
          <w:tcPr>
            <w:tcW w:type="dxa" w:w="850"/>
            <w:shd w:val="clear" w:color="auto" w:fill="DCE6F1"/>
          </w:tcPr>
          <w:p>
            <w:pPr>
              <w:spacing w:after="40" w:line="240" w:lineRule="auto"/>
              <w:jc w:val="center"/>
            </w:pPr>
            <w:r/>
            <w:r>
              <w:rPr>
                <w:rFonts w:ascii="Cambria" w:hAnsi="Cambria" w:eastAsia="Cambria"/>
                <w:b w:val="0"/>
                <w:i w:val="0"/>
                <w:sz w:val="22"/>
              </w:rPr>
              <w:t>10</w:t>
            </w:r>
          </w:p>
        </w:tc>
        <w:tc>
          <w:tcPr>
            <w:tcW w:type="dxa" w:w="7541"/>
            <w:shd w:val="clear" w:color="auto" w:fill="DCE6F1"/>
          </w:tcPr>
          <w:p>
            <w:pPr>
              <w:spacing w:after="40" w:line="240" w:lineRule="auto"/>
            </w:pPr>
            <w:r/>
            <w:r>
              <w:rPr>
                <w:rFonts w:ascii="Cambria" w:hAnsi="Cambria" w:eastAsia="Cambria"/>
                <w:b w:val="0"/>
                <w:i w:val="0"/>
                <w:sz w:val="22"/>
              </w:rPr>
              <w:t>Faculty with PhD (or equivalent) and Experience (FQE)</w:t>
            </w:r>
          </w:p>
        </w:tc>
        <w:tc>
          <w:tcPr>
            <w:tcW w:type="dxa" w:w="1020"/>
            <w:shd w:val="clear" w:color="auto" w:fill="DCE6F1"/>
          </w:tcPr>
          <w:p>
            <w:pPr>
              <w:spacing w:after="40" w:line="240" w:lineRule="auto"/>
              <w:jc w:val="center"/>
            </w:pPr>
            <w:r/>
            <w:r>
              <w:rPr>
                <w:rFonts w:ascii="Cambria" w:hAnsi="Cambria" w:eastAsia="Cambria"/>
                <w:b w:val="0"/>
                <w:i w:val="0"/>
                <w:sz w:val="22"/>
              </w:rPr>
              <w:t>039</w:t>
            </w:r>
          </w:p>
        </w:tc>
      </w:tr>
      <w:tr>
        <w:tc>
          <w:tcPr>
            <w:tcW w:type="dxa" w:w="850"/>
          </w:tcPr>
          <w:p>
            <w:pPr>
              <w:spacing w:after="40" w:line="240" w:lineRule="auto"/>
              <w:jc w:val="center"/>
            </w:pPr>
            <w:r/>
            <w:r>
              <w:rPr>
                <w:rFonts w:ascii="Cambria" w:hAnsi="Cambria" w:eastAsia="Cambria"/>
                <w:b w:val="0"/>
                <w:i w:val="0"/>
                <w:sz w:val="22"/>
              </w:rPr>
              <w:t>11</w:t>
            </w:r>
          </w:p>
        </w:tc>
        <w:tc>
          <w:tcPr>
            <w:tcW w:type="dxa" w:w="7541"/>
          </w:tcPr>
          <w:p>
            <w:pPr>
              <w:spacing w:after="40" w:line="240" w:lineRule="auto"/>
            </w:pPr>
            <w:r/>
            <w:r>
              <w:rPr>
                <w:rFonts w:ascii="Cambria" w:hAnsi="Cambria" w:eastAsia="Cambria"/>
                <w:b w:val="0"/>
                <w:i w:val="0"/>
                <w:sz w:val="22"/>
              </w:rPr>
              <w:t>Financial Resources and their Utilisation (FRU)</w:t>
            </w:r>
          </w:p>
        </w:tc>
        <w:tc>
          <w:tcPr>
            <w:tcW w:type="dxa" w:w="1020"/>
          </w:tcPr>
          <w:p>
            <w:pPr>
              <w:spacing w:after="40" w:line="240" w:lineRule="auto"/>
              <w:jc w:val="center"/>
            </w:pPr>
            <w:r/>
            <w:r>
              <w:rPr>
                <w:rFonts w:ascii="Cambria" w:hAnsi="Cambria" w:eastAsia="Cambria"/>
                <w:b w:val="0"/>
                <w:i w:val="0"/>
                <w:sz w:val="22"/>
              </w:rPr>
              <w:t>042</w:t>
            </w:r>
          </w:p>
        </w:tc>
      </w:tr>
      <w:tr>
        <w:tc>
          <w:tcPr>
            <w:tcW w:type="dxa" w:w="850"/>
            <w:shd w:val="clear" w:color="auto" w:fill="DCE6F1"/>
          </w:tcPr>
          <w:p>
            <w:pPr>
              <w:spacing w:after="40" w:line="240" w:lineRule="auto"/>
              <w:jc w:val="center"/>
            </w:pPr>
            <w:r/>
            <w:r>
              <w:rPr>
                <w:rFonts w:ascii="Cambria" w:hAnsi="Cambria" w:eastAsia="Cambria"/>
                <w:b w:val="0"/>
                <w:i w:val="0"/>
                <w:sz w:val="22"/>
              </w:rPr>
              <w:t>12</w:t>
            </w:r>
          </w:p>
        </w:tc>
        <w:tc>
          <w:tcPr>
            <w:tcW w:type="dxa" w:w="7541"/>
            <w:shd w:val="clear" w:color="auto" w:fill="DCE6F1"/>
          </w:tcPr>
          <w:p>
            <w:pPr>
              <w:spacing w:after="40" w:line="240" w:lineRule="auto"/>
            </w:pPr>
            <w:r/>
            <w:r>
              <w:rPr>
                <w:rFonts w:ascii="Cambria" w:hAnsi="Cambria" w:eastAsia="Cambria"/>
                <w:b w:val="0"/>
                <w:i w:val="0"/>
                <w:sz w:val="22"/>
              </w:rPr>
              <w:t>Online Education (OE): Completion of Syllabus, Exams &amp; SWAYAM</w:t>
            </w:r>
          </w:p>
        </w:tc>
        <w:tc>
          <w:tcPr>
            <w:tcW w:type="dxa" w:w="1020"/>
            <w:shd w:val="clear" w:color="auto" w:fill="DCE6F1"/>
          </w:tcPr>
          <w:p>
            <w:pPr>
              <w:spacing w:after="40" w:line="240" w:lineRule="auto"/>
              <w:jc w:val="center"/>
            </w:pPr>
            <w:r/>
            <w:r>
              <w:rPr>
                <w:rFonts w:ascii="Cambria" w:hAnsi="Cambria" w:eastAsia="Cambria"/>
                <w:b w:val="0"/>
                <w:i w:val="0"/>
                <w:sz w:val="22"/>
              </w:rPr>
              <w:t>044</w:t>
            </w:r>
          </w:p>
        </w:tc>
      </w:tr>
      <w:tr>
        <w:tc>
          <w:tcPr>
            <w:tcW w:type="dxa" w:w="850"/>
          </w:tcPr>
          <w:p>
            <w:pPr>
              <w:spacing w:after="40" w:line="240" w:lineRule="auto"/>
              <w:jc w:val="center"/>
            </w:pPr>
            <w:r/>
            <w:r>
              <w:rPr>
                <w:rFonts w:ascii="Cambria" w:hAnsi="Cambria" w:eastAsia="Cambria"/>
                <w:b w:val="0"/>
                <w:i w:val="0"/>
                <w:sz w:val="22"/>
              </w:rPr>
              <w:t>13</w:t>
            </w:r>
          </w:p>
        </w:tc>
        <w:tc>
          <w:tcPr>
            <w:tcW w:type="dxa" w:w="7541"/>
          </w:tcPr>
          <w:p>
            <w:pPr>
              <w:spacing w:after="40" w:line="240" w:lineRule="auto"/>
            </w:pPr>
            <w:r/>
            <w:r>
              <w:rPr>
                <w:rFonts w:ascii="Cambria" w:hAnsi="Cambria" w:eastAsia="Cambria"/>
                <w:b w:val="0"/>
                <w:i w:val="0"/>
                <w:sz w:val="22"/>
              </w:rPr>
              <w:t>Multiple Entry/Exit, Indian Knowledge System (IKS) &amp; Regional Languages (MIR)</w:t>
            </w:r>
          </w:p>
        </w:tc>
        <w:tc>
          <w:tcPr>
            <w:tcW w:type="dxa" w:w="1020"/>
          </w:tcPr>
          <w:p>
            <w:pPr>
              <w:spacing w:after="40" w:line="240" w:lineRule="auto"/>
              <w:jc w:val="center"/>
            </w:pPr>
            <w:r/>
            <w:r>
              <w:rPr>
                <w:rFonts w:ascii="Cambria" w:hAnsi="Cambria" w:eastAsia="Cambria"/>
                <w:b w:val="0"/>
                <w:i w:val="0"/>
                <w:sz w:val="22"/>
              </w:rPr>
              <w:t>048</w:t>
            </w:r>
          </w:p>
        </w:tc>
      </w:tr>
      <w:tr>
        <w:tc>
          <w:tcPr>
            <w:tcW w:type="dxa" w:w="850"/>
            <w:shd w:val="clear" w:color="auto" w:fill="DCE6F1"/>
          </w:tcPr>
          <w:p>
            <w:pPr>
              <w:spacing w:after="40" w:line="240" w:lineRule="auto"/>
              <w:jc w:val="center"/>
            </w:pPr>
            <w:r/>
            <w:r>
              <w:rPr>
                <w:rFonts w:ascii="Cambria" w:hAnsi="Cambria" w:eastAsia="Cambria"/>
                <w:b w:val="0"/>
                <w:i w:val="0"/>
                <w:sz w:val="22"/>
              </w:rPr>
              <w:t>14</w:t>
            </w:r>
          </w:p>
        </w:tc>
        <w:tc>
          <w:tcPr>
            <w:tcW w:type="dxa" w:w="7541"/>
            <w:shd w:val="clear" w:color="auto" w:fill="DCE6F1"/>
          </w:tcPr>
          <w:p>
            <w:pPr>
              <w:spacing w:after="40" w:line="240" w:lineRule="auto"/>
            </w:pPr>
            <w:r/>
            <w:r>
              <w:rPr>
                <w:rFonts w:ascii="Cambria" w:hAnsi="Cambria" w:eastAsia="Cambria"/>
                <w:b w:val="0"/>
                <w:i w:val="0"/>
                <w:sz w:val="22"/>
              </w:rPr>
              <w:t>Research and Professional Practice (RP)</w:t>
            </w:r>
          </w:p>
        </w:tc>
        <w:tc>
          <w:tcPr>
            <w:tcW w:type="dxa" w:w="1020"/>
            <w:shd w:val="clear" w:color="auto" w:fill="DCE6F1"/>
          </w:tcPr>
          <w:p>
            <w:pPr>
              <w:spacing w:after="40" w:line="240" w:lineRule="auto"/>
              <w:jc w:val="center"/>
            </w:pPr>
            <w:r/>
            <w:r>
              <w:rPr>
                <w:rFonts w:ascii="Cambria" w:hAnsi="Cambria" w:eastAsia="Cambria"/>
                <w:b w:val="0"/>
                <w:i w:val="0"/>
                <w:sz w:val="22"/>
              </w:rPr>
              <w:t>051</w:t>
            </w:r>
          </w:p>
        </w:tc>
      </w:tr>
      <w:tr>
        <w:tc>
          <w:tcPr>
            <w:tcW w:type="dxa" w:w="850"/>
          </w:tcPr>
          <w:p>
            <w:pPr>
              <w:spacing w:after="40" w:line="240" w:lineRule="auto"/>
              <w:jc w:val="center"/>
            </w:pPr>
            <w:r/>
            <w:r>
              <w:rPr>
                <w:rFonts w:ascii="Cambria" w:hAnsi="Cambria" w:eastAsia="Cambria"/>
                <w:b w:val="0"/>
                <w:i w:val="0"/>
                <w:sz w:val="22"/>
              </w:rPr>
              <w:t>15</w:t>
            </w:r>
          </w:p>
        </w:tc>
        <w:tc>
          <w:tcPr>
            <w:tcW w:type="dxa" w:w="7541"/>
          </w:tcPr>
          <w:p>
            <w:pPr>
              <w:spacing w:after="40" w:line="240" w:lineRule="auto"/>
            </w:pPr>
            <w:r/>
            <w:r>
              <w:rPr>
                <w:rFonts w:ascii="Cambria" w:hAnsi="Cambria" w:eastAsia="Cambria"/>
                <w:b w:val="0"/>
                <w:i w:val="0"/>
                <w:sz w:val="22"/>
              </w:rPr>
              <w:t>Combined Metric for Publications (PU)</w:t>
            </w:r>
          </w:p>
        </w:tc>
        <w:tc>
          <w:tcPr>
            <w:tcW w:type="dxa" w:w="1020"/>
          </w:tcPr>
          <w:p>
            <w:pPr>
              <w:spacing w:after="40" w:line="240" w:lineRule="auto"/>
              <w:jc w:val="center"/>
            </w:pPr>
            <w:r/>
            <w:r>
              <w:rPr>
                <w:rFonts w:ascii="Cambria" w:hAnsi="Cambria" w:eastAsia="Cambria"/>
                <w:b w:val="0"/>
                <w:i w:val="0"/>
                <w:sz w:val="22"/>
              </w:rPr>
              <w:t>053</w:t>
            </w:r>
          </w:p>
        </w:tc>
      </w:tr>
      <w:tr>
        <w:tc>
          <w:tcPr>
            <w:tcW w:type="dxa" w:w="850"/>
            <w:shd w:val="clear" w:color="auto" w:fill="DCE6F1"/>
          </w:tcPr>
          <w:p>
            <w:pPr>
              <w:spacing w:after="40" w:line="240" w:lineRule="auto"/>
              <w:jc w:val="center"/>
            </w:pPr>
            <w:r/>
            <w:r>
              <w:rPr>
                <w:rFonts w:ascii="Cambria" w:hAnsi="Cambria" w:eastAsia="Cambria"/>
                <w:b w:val="0"/>
                <w:i w:val="0"/>
                <w:sz w:val="22"/>
              </w:rPr>
              <w:t>16</w:t>
            </w:r>
          </w:p>
        </w:tc>
        <w:tc>
          <w:tcPr>
            <w:tcW w:type="dxa" w:w="7541"/>
            <w:shd w:val="clear" w:color="auto" w:fill="DCE6F1"/>
          </w:tcPr>
          <w:p>
            <w:pPr>
              <w:spacing w:after="40" w:line="240" w:lineRule="auto"/>
            </w:pPr>
            <w:r/>
            <w:r>
              <w:rPr>
                <w:rFonts w:ascii="Cambria" w:hAnsi="Cambria" w:eastAsia="Cambria"/>
                <w:b w:val="0"/>
                <w:i w:val="0"/>
                <w:sz w:val="22"/>
              </w:rPr>
              <w:t>Combined Metric for Quality of Publications (QP)</w:t>
            </w:r>
          </w:p>
        </w:tc>
        <w:tc>
          <w:tcPr>
            <w:tcW w:type="dxa" w:w="1020"/>
            <w:shd w:val="clear" w:color="auto" w:fill="DCE6F1"/>
          </w:tcPr>
          <w:p>
            <w:pPr>
              <w:spacing w:after="40" w:line="240" w:lineRule="auto"/>
              <w:jc w:val="center"/>
            </w:pPr>
            <w:r/>
            <w:r>
              <w:rPr>
                <w:rFonts w:ascii="Cambria" w:hAnsi="Cambria" w:eastAsia="Cambria"/>
                <w:b w:val="0"/>
                <w:i w:val="0"/>
                <w:sz w:val="22"/>
              </w:rPr>
              <w:t>055</w:t>
            </w:r>
          </w:p>
        </w:tc>
      </w:tr>
      <w:tr>
        <w:tc>
          <w:tcPr>
            <w:tcW w:type="dxa" w:w="850"/>
          </w:tcPr>
          <w:p>
            <w:pPr>
              <w:spacing w:after="40" w:line="240" w:lineRule="auto"/>
              <w:jc w:val="center"/>
            </w:pPr>
            <w:r/>
            <w:r>
              <w:rPr>
                <w:rFonts w:ascii="Cambria" w:hAnsi="Cambria" w:eastAsia="Cambria"/>
                <w:b w:val="0"/>
                <w:i w:val="0"/>
                <w:sz w:val="22"/>
              </w:rPr>
              <w:t>17</w:t>
            </w:r>
          </w:p>
        </w:tc>
        <w:tc>
          <w:tcPr>
            <w:tcW w:type="dxa" w:w="7541"/>
          </w:tcPr>
          <w:p>
            <w:pPr>
              <w:spacing w:after="40" w:line="240" w:lineRule="auto"/>
            </w:pPr>
            <w:r/>
            <w:r>
              <w:rPr>
                <w:rFonts w:ascii="Cambria" w:hAnsi="Cambria" w:eastAsia="Cambria"/>
                <w:b w:val="0"/>
                <w:i w:val="0"/>
                <w:sz w:val="22"/>
              </w:rPr>
              <w:t>IPR and Patents</w:t>
            </w:r>
          </w:p>
        </w:tc>
        <w:tc>
          <w:tcPr>
            <w:tcW w:type="dxa" w:w="1020"/>
          </w:tcPr>
          <w:p>
            <w:pPr>
              <w:spacing w:after="40" w:line="240" w:lineRule="auto"/>
              <w:jc w:val="center"/>
            </w:pPr>
            <w:r/>
            <w:r>
              <w:rPr>
                <w:rFonts w:ascii="Cambria" w:hAnsi="Cambria" w:eastAsia="Cambria"/>
                <w:b w:val="0"/>
                <w:i w:val="0"/>
                <w:sz w:val="22"/>
              </w:rPr>
              <w:t>057</w:t>
            </w:r>
          </w:p>
        </w:tc>
      </w:tr>
      <w:tr>
        <w:tc>
          <w:tcPr>
            <w:tcW w:type="dxa" w:w="850"/>
            <w:shd w:val="clear" w:color="auto" w:fill="DCE6F1"/>
          </w:tcPr>
          <w:p>
            <w:pPr>
              <w:spacing w:after="40" w:line="240" w:lineRule="auto"/>
              <w:jc w:val="center"/>
            </w:pPr>
            <w:r/>
            <w:r>
              <w:rPr>
                <w:rFonts w:ascii="Cambria" w:hAnsi="Cambria" w:eastAsia="Cambria"/>
                <w:b w:val="0"/>
                <w:i w:val="0"/>
                <w:sz w:val="22"/>
              </w:rPr>
              <w:t>18</w:t>
            </w:r>
          </w:p>
        </w:tc>
        <w:tc>
          <w:tcPr>
            <w:tcW w:type="dxa" w:w="7541"/>
            <w:shd w:val="clear" w:color="auto" w:fill="DCE6F1"/>
          </w:tcPr>
          <w:p>
            <w:pPr>
              <w:spacing w:after="40" w:line="240" w:lineRule="auto"/>
            </w:pPr>
            <w:r/>
            <w:r>
              <w:rPr>
                <w:rFonts w:ascii="Cambria" w:hAnsi="Cambria" w:eastAsia="Cambria"/>
                <w:b w:val="0"/>
                <w:i w:val="0"/>
                <w:sz w:val="22"/>
              </w:rPr>
              <w:t>Footprint of Projects and Professional Practice (FPPP)</w:t>
            </w:r>
          </w:p>
        </w:tc>
        <w:tc>
          <w:tcPr>
            <w:tcW w:type="dxa" w:w="1020"/>
            <w:shd w:val="clear" w:color="auto" w:fill="DCE6F1"/>
          </w:tcPr>
          <w:p>
            <w:pPr>
              <w:spacing w:after="40" w:line="240" w:lineRule="auto"/>
              <w:jc w:val="center"/>
            </w:pPr>
            <w:r/>
            <w:r>
              <w:rPr>
                <w:rFonts w:ascii="Cambria" w:hAnsi="Cambria" w:eastAsia="Cambria"/>
                <w:b w:val="0"/>
                <w:i w:val="0"/>
                <w:sz w:val="22"/>
              </w:rPr>
              <w:t>059</w:t>
            </w:r>
          </w:p>
        </w:tc>
      </w:tr>
      <w:tr>
        <w:tc>
          <w:tcPr>
            <w:tcW w:type="dxa" w:w="850"/>
          </w:tcPr>
          <w:p>
            <w:pPr>
              <w:spacing w:after="40" w:line="240" w:lineRule="auto"/>
              <w:jc w:val="center"/>
            </w:pPr>
            <w:r/>
            <w:r>
              <w:rPr>
                <w:rFonts w:ascii="Cambria" w:hAnsi="Cambria" w:eastAsia="Cambria"/>
                <w:b w:val="0"/>
                <w:i w:val="0"/>
                <w:sz w:val="22"/>
              </w:rPr>
              <w:t>19</w:t>
            </w:r>
          </w:p>
        </w:tc>
        <w:tc>
          <w:tcPr>
            <w:tcW w:type="dxa" w:w="7541"/>
          </w:tcPr>
          <w:p>
            <w:pPr>
              <w:spacing w:after="40" w:line="240" w:lineRule="auto"/>
            </w:pPr>
            <w:r/>
            <w:r>
              <w:rPr>
                <w:rFonts w:ascii="Cambria" w:hAnsi="Cambria" w:eastAsia="Cambria"/>
                <w:b w:val="0"/>
                <w:i w:val="0"/>
                <w:sz w:val="22"/>
              </w:rPr>
              <w:t>Combined Metric for Publications &amp; Citations in SDGs (PSDGs)</w:t>
            </w:r>
          </w:p>
        </w:tc>
        <w:tc>
          <w:tcPr>
            <w:tcW w:type="dxa" w:w="1020"/>
          </w:tcPr>
          <w:p>
            <w:pPr>
              <w:spacing w:after="40" w:line="240" w:lineRule="auto"/>
              <w:jc w:val="center"/>
            </w:pPr>
            <w:r/>
            <w:r>
              <w:rPr>
                <w:rFonts w:ascii="Cambria" w:hAnsi="Cambria" w:eastAsia="Cambria"/>
                <w:b w:val="0"/>
                <w:i w:val="0"/>
                <w:sz w:val="22"/>
              </w:rPr>
              <w:t>062</w:t>
            </w:r>
          </w:p>
        </w:tc>
      </w:tr>
      <w:tr>
        <w:tc>
          <w:tcPr>
            <w:tcW w:type="dxa" w:w="850"/>
            <w:shd w:val="clear" w:color="auto" w:fill="DCE6F1"/>
          </w:tcPr>
          <w:p>
            <w:pPr>
              <w:spacing w:after="40" w:line="240" w:lineRule="auto"/>
              <w:jc w:val="center"/>
            </w:pPr>
            <w:r/>
            <w:r>
              <w:rPr>
                <w:rFonts w:ascii="Cambria" w:hAnsi="Cambria" w:eastAsia="Cambria"/>
                <w:b w:val="0"/>
                <w:i w:val="0"/>
                <w:sz w:val="22"/>
              </w:rPr>
              <w:t>20</w:t>
            </w:r>
          </w:p>
        </w:tc>
        <w:tc>
          <w:tcPr>
            <w:tcW w:type="dxa" w:w="7541"/>
            <w:shd w:val="clear" w:color="auto" w:fill="DCE6F1"/>
          </w:tcPr>
          <w:p>
            <w:pPr>
              <w:spacing w:after="40" w:line="240" w:lineRule="auto"/>
            </w:pPr>
            <w:r/>
            <w:r>
              <w:rPr>
                <w:rFonts w:ascii="Cambria" w:hAnsi="Cambria" w:eastAsia="Cambria"/>
                <w:b w:val="0"/>
                <w:i w:val="0"/>
                <w:sz w:val="22"/>
              </w:rPr>
              <w:t>Graduation Outcomes (GO)</w:t>
            </w:r>
          </w:p>
        </w:tc>
        <w:tc>
          <w:tcPr>
            <w:tcW w:type="dxa" w:w="1020"/>
            <w:shd w:val="clear" w:color="auto" w:fill="DCE6F1"/>
          </w:tcPr>
          <w:p>
            <w:pPr>
              <w:spacing w:after="40" w:line="240" w:lineRule="auto"/>
              <w:jc w:val="center"/>
            </w:pPr>
            <w:r/>
            <w:r>
              <w:rPr>
                <w:rFonts w:ascii="Cambria" w:hAnsi="Cambria" w:eastAsia="Cambria"/>
                <w:b w:val="0"/>
                <w:i w:val="0"/>
                <w:sz w:val="22"/>
              </w:rPr>
              <w:t>064</w:t>
            </w:r>
          </w:p>
        </w:tc>
      </w:tr>
      <w:tr>
        <w:tc>
          <w:tcPr>
            <w:tcW w:type="dxa" w:w="850"/>
          </w:tcPr>
          <w:p>
            <w:pPr>
              <w:spacing w:after="40" w:line="240" w:lineRule="auto"/>
              <w:jc w:val="center"/>
            </w:pPr>
            <w:r/>
            <w:r>
              <w:rPr>
                <w:rFonts w:ascii="Cambria" w:hAnsi="Cambria" w:eastAsia="Cambria"/>
                <w:b w:val="0"/>
                <w:i w:val="0"/>
                <w:sz w:val="22"/>
              </w:rPr>
              <w:t>21</w:t>
            </w:r>
          </w:p>
        </w:tc>
        <w:tc>
          <w:tcPr>
            <w:tcW w:type="dxa" w:w="7541"/>
          </w:tcPr>
          <w:p>
            <w:pPr>
              <w:spacing w:after="40" w:line="240" w:lineRule="auto"/>
            </w:pPr>
            <w:r/>
            <w:r>
              <w:rPr>
                <w:rFonts w:ascii="Cambria" w:hAnsi="Cambria" w:eastAsia="Cambria"/>
                <w:b w:val="0"/>
                <w:i w:val="0"/>
                <w:sz w:val="22"/>
              </w:rPr>
              <w:t>Metric for University Examinations (GUE)</w:t>
            </w:r>
          </w:p>
        </w:tc>
        <w:tc>
          <w:tcPr>
            <w:tcW w:type="dxa" w:w="1020"/>
          </w:tcPr>
          <w:p>
            <w:pPr>
              <w:spacing w:after="40" w:line="240" w:lineRule="auto"/>
              <w:jc w:val="center"/>
            </w:pPr>
            <w:r/>
            <w:r>
              <w:rPr>
                <w:rFonts w:ascii="Cambria" w:hAnsi="Cambria" w:eastAsia="Cambria"/>
                <w:b w:val="0"/>
                <w:i w:val="0"/>
                <w:sz w:val="22"/>
              </w:rPr>
              <w:t>065</w:t>
            </w:r>
          </w:p>
        </w:tc>
      </w:tr>
      <w:tr>
        <w:tc>
          <w:tcPr>
            <w:tcW w:type="dxa" w:w="850"/>
            <w:shd w:val="clear" w:color="auto" w:fill="DCE6F1"/>
          </w:tcPr>
          <w:p>
            <w:pPr>
              <w:spacing w:after="40" w:line="240" w:lineRule="auto"/>
              <w:jc w:val="center"/>
            </w:pPr>
            <w:r/>
            <w:r>
              <w:rPr>
                <w:rFonts w:ascii="Cambria" w:hAnsi="Cambria" w:eastAsia="Cambria"/>
                <w:b w:val="0"/>
                <w:i w:val="0"/>
                <w:sz w:val="22"/>
              </w:rPr>
              <w:t>22</w:t>
            </w:r>
          </w:p>
        </w:tc>
        <w:tc>
          <w:tcPr>
            <w:tcW w:type="dxa" w:w="7541"/>
            <w:shd w:val="clear" w:color="auto" w:fill="DCE6F1"/>
          </w:tcPr>
          <w:p>
            <w:pPr>
              <w:spacing w:after="40" w:line="240" w:lineRule="auto"/>
            </w:pPr>
            <w:r/>
            <w:r>
              <w:rPr>
                <w:rFonts w:ascii="Cambria" w:hAnsi="Cambria" w:eastAsia="Cambria"/>
                <w:b w:val="0"/>
                <w:i w:val="0"/>
                <w:sz w:val="22"/>
              </w:rPr>
              <w:t>Metric for Ph.D. Graduates (GPHD)</w:t>
            </w:r>
          </w:p>
        </w:tc>
        <w:tc>
          <w:tcPr>
            <w:tcW w:type="dxa" w:w="1020"/>
            <w:shd w:val="clear" w:color="auto" w:fill="DCE6F1"/>
          </w:tcPr>
          <w:p>
            <w:pPr>
              <w:spacing w:after="40" w:line="240" w:lineRule="auto"/>
              <w:jc w:val="center"/>
            </w:pPr>
            <w:r/>
            <w:r>
              <w:rPr>
                <w:rFonts w:ascii="Cambria" w:hAnsi="Cambria" w:eastAsia="Cambria"/>
                <w:b w:val="0"/>
                <w:i w:val="0"/>
                <w:sz w:val="22"/>
              </w:rPr>
              <w:t>067</w:t>
            </w:r>
          </w:p>
        </w:tc>
      </w:tr>
      <w:tr>
        <w:tc>
          <w:tcPr>
            <w:tcW w:type="dxa" w:w="850"/>
          </w:tcPr>
          <w:p>
            <w:pPr>
              <w:spacing w:after="40" w:line="240" w:lineRule="auto"/>
              <w:jc w:val="center"/>
            </w:pPr>
            <w:r/>
            <w:r>
              <w:rPr>
                <w:rFonts w:ascii="Cambria" w:hAnsi="Cambria" w:eastAsia="Cambria"/>
                <w:b w:val="0"/>
                <w:i w:val="0"/>
                <w:sz w:val="22"/>
              </w:rPr>
              <w:t>23</w:t>
            </w:r>
          </w:p>
        </w:tc>
        <w:tc>
          <w:tcPr>
            <w:tcW w:type="dxa" w:w="7541"/>
          </w:tcPr>
          <w:p>
            <w:pPr>
              <w:spacing w:after="40" w:line="240" w:lineRule="auto"/>
            </w:pPr>
            <w:r/>
            <w:r>
              <w:rPr>
                <w:rFonts w:ascii="Cambria" w:hAnsi="Cambria" w:eastAsia="Cambria"/>
                <w:b w:val="0"/>
                <w:i w:val="0"/>
                <w:sz w:val="22"/>
              </w:rPr>
              <w:t>Outreach &amp; Inclusivity (OI)</w:t>
            </w:r>
          </w:p>
        </w:tc>
        <w:tc>
          <w:tcPr>
            <w:tcW w:type="dxa" w:w="1020"/>
          </w:tcPr>
          <w:p>
            <w:pPr>
              <w:spacing w:after="40" w:line="240" w:lineRule="auto"/>
              <w:jc w:val="center"/>
            </w:pPr>
            <w:r/>
            <w:r>
              <w:rPr>
                <w:rFonts w:ascii="Cambria" w:hAnsi="Cambria" w:eastAsia="Cambria"/>
                <w:b w:val="0"/>
                <w:i w:val="0"/>
                <w:sz w:val="22"/>
              </w:rPr>
              <w:t>069</w:t>
            </w:r>
          </w:p>
        </w:tc>
      </w:tr>
      <w:tr>
        <w:tc>
          <w:tcPr>
            <w:tcW w:type="dxa" w:w="850"/>
            <w:shd w:val="clear" w:color="auto" w:fill="DCE6F1"/>
          </w:tcPr>
          <w:p>
            <w:pPr>
              <w:spacing w:after="40" w:line="240" w:lineRule="auto"/>
              <w:jc w:val="center"/>
            </w:pPr>
            <w:r/>
            <w:r>
              <w:rPr>
                <w:rFonts w:ascii="Cambria" w:hAnsi="Cambria" w:eastAsia="Cambria"/>
                <w:b w:val="0"/>
                <w:i w:val="0"/>
                <w:sz w:val="22"/>
              </w:rPr>
              <w:t>24</w:t>
            </w:r>
          </w:p>
        </w:tc>
        <w:tc>
          <w:tcPr>
            <w:tcW w:type="dxa" w:w="7541"/>
            <w:shd w:val="clear" w:color="auto" w:fill="DCE6F1"/>
          </w:tcPr>
          <w:p>
            <w:pPr>
              <w:spacing w:after="40" w:line="240" w:lineRule="auto"/>
            </w:pPr>
            <w:r/>
            <w:r>
              <w:rPr>
                <w:rFonts w:ascii="Cambria" w:hAnsi="Cambria" w:eastAsia="Cambria"/>
                <w:b w:val="0"/>
                <w:i w:val="0"/>
                <w:sz w:val="22"/>
              </w:rPr>
              <w:t>Regional Diversity (RD)</w:t>
            </w:r>
          </w:p>
        </w:tc>
        <w:tc>
          <w:tcPr>
            <w:tcW w:type="dxa" w:w="1020"/>
            <w:shd w:val="clear" w:color="auto" w:fill="DCE6F1"/>
          </w:tcPr>
          <w:p>
            <w:pPr>
              <w:spacing w:after="40" w:line="240" w:lineRule="auto"/>
              <w:jc w:val="center"/>
            </w:pPr>
            <w:r/>
            <w:r>
              <w:rPr>
                <w:rFonts w:ascii="Cambria" w:hAnsi="Cambria" w:eastAsia="Cambria"/>
                <w:b w:val="0"/>
                <w:i w:val="0"/>
                <w:sz w:val="22"/>
              </w:rPr>
              <w:t>071</w:t>
            </w:r>
          </w:p>
        </w:tc>
      </w:tr>
      <w:tr>
        <w:tc>
          <w:tcPr>
            <w:tcW w:type="dxa" w:w="850"/>
          </w:tcPr>
          <w:p>
            <w:pPr>
              <w:spacing w:after="40" w:line="240" w:lineRule="auto"/>
              <w:jc w:val="center"/>
            </w:pPr>
            <w:r/>
            <w:r>
              <w:rPr>
                <w:rFonts w:ascii="Cambria" w:hAnsi="Cambria" w:eastAsia="Cambria"/>
                <w:b w:val="0"/>
                <w:i w:val="0"/>
                <w:sz w:val="22"/>
              </w:rPr>
              <w:t>25</w:t>
            </w:r>
          </w:p>
        </w:tc>
        <w:tc>
          <w:tcPr>
            <w:tcW w:type="dxa" w:w="7541"/>
          </w:tcPr>
          <w:p>
            <w:pPr>
              <w:spacing w:after="40" w:line="240" w:lineRule="auto"/>
            </w:pPr>
            <w:r/>
            <w:r>
              <w:rPr>
                <w:rFonts w:ascii="Cambria" w:hAnsi="Cambria" w:eastAsia="Cambria"/>
                <w:b w:val="0"/>
                <w:i w:val="0"/>
                <w:sz w:val="22"/>
              </w:rPr>
              <w:t>Women Diversity (WD)</w:t>
            </w:r>
          </w:p>
        </w:tc>
        <w:tc>
          <w:tcPr>
            <w:tcW w:type="dxa" w:w="1020"/>
          </w:tcPr>
          <w:p>
            <w:pPr>
              <w:spacing w:after="40" w:line="240" w:lineRule="auto"/>
              <w:jc w:val="center"/>
            </w:pPr>
            <w:r/>
            <w:r>
              <w:rPr>
                <w:rFonts w:ascii="Cambria" w:hAnsi="Cambria" w:eastAsia="Cambria"/>
                <w:b w:val="0"/>
                <w:i w:val="0"/>
                <w:sz w:val="22"/>
              </w:rPr>
              <w:t>073</w:t>
            </w:r>
          </w:p>
        </w:tc>
      </w:tr>
      <w:tr>
        <w:tc>
          <w:tcPr>
            <w:tcW w:type="dxa" w:w="850"/>
            <w:shd w:val="clear" w:color="auto" w:fill="DCE6F1"/>
          </w:tcPr>
          <w:p>
            <w:pPr>
              <w:spacing w:after="40" w:line="240" w:lineRule="auto"/>
              <w:jc w:val="center"/>
            </w:pPr>
            <w:r/>
            <w:r>
              <w:rPr>
                <w:rFonts w:ascii="Cambria" w:hAnsi="Cambria" w:eastAsia="Cambria"/>
                <w:b w:val="0"/>
                <w:i w:val="0"/>
                <w:sz w:val="22"/>
              </w:rPr>
              <w:t>26</w:t>
            </w:r>
          </w:p>
        </w:tc>
        <w:tc>
          <w:tcPr>
            <w:tcW w:type="dxa" w:w="7541"/>
            <w:shd w:val="clear" w:color="auto" w:fill="DCE6F1"/>
          </w:tcPr>
          <w:p>
            <w:pPr>
              <w:spacing w:after="40" w:line="240" w:lineRule="auto"/>
            </w:pPr>
            <w:r/>
            <w:r>
              <w:rPr>
                <w:rFonts w:ascii="Cambria" w:hAnsi="Cambria" w:eastAsia="Cambria"/>
                <w:b w:val="0"/>
                <w:i w:val="0"/>
                <w:sz w:val="22"/>
              </w:rPr>
              <w:t>Economically and Socially Challenged Students (ESCS)</w:t>
            </w:r>
          </w:p>
        </w:tc>
        <w:tc>
          <w:tcPr>
            <w:tcW w:type="dxa" w:w="1020"/>
            <w:shd w:val="clear" w:color="auto" w:fill="DCE6F1"/>
          </w:tcPr>
          <w:p>
            <w:pPr>
              <w:spacing w:after="40" w:line="240" w:lineRule="auto"/>
              <w:jc w:val="center"/>
            </w:pPr>
            <w:r/>
            <w:r>
              <w:rPr>
                <w:rFonts w:ascii="Cambria" w:hAnsi="Cambria" w:eastAsia="Cambria"/>
                <w:b w:val="0"/>
                <w:i w:val="0"/>
                <w:sz w:val="22"/>
              </w:rPr>
              <w:t>075</w:t>
            </w:r>
          </w:p>
        </w:tc>
      </w:tr>
      <w:tr>
        <w:tc>
          <w:tcPr>
            <w:tcW w:type="dxa" w:w="850"/>
          </w:tcPr>
          <w:p>
            <w:pPr>
              <w:spacing w:after="40" w:line="240" w:lineRule="auto"/>
              <w:jc w:val="center"/>
            </w:pPr>
            <w:r/>
            <w:r>
              <w:rPr>
                <w:rFonts w:ascii="Cambria" w:hAnsi="Cambria" w:eastAsia="Cambria"/>
                <w:b w:val="0"/>
                <w:i w:val="0"/>
                <w:sz w:val="22"/>
              </w:rPr>
              <w:t>27</w:t>
            </w:r>
          </w:p>
        </w:tc>
        <w:tc>
          <w:tcPr>
            <w:tcW w:type="dxa" w:w="7541"/>
          </w:tcPr>
          <w:p>
            <w:pPr>
              <w:spacing w:after="40" w:line="240" w:lineRule="auto"/>
            </w:pPr>
            <w:r/>
            <w:r>
              <w:rPr>
                <w:rFonts w:ascii="Cambria" w:hAnsi="Cambria" w:eastAsia="Cambria"/>
                <w:b w:val="0"/>
                <w:i w:val="0"/>
                <w:sz w:val="22"/>
              </w:rPr>
              <w:t>Physically Challenged Students (PCS)</w:t>
            </w:r>
          </w:p>
        </w:tc>
        <w:tc>
          <w:tcPr>
            <w:tcW w:type="dxa" w:w="1020"/>
          </w:tcPr>
          <w:p>
            <w:pPr>
              <w:spacing w:after="40" w:line="240" w:lineRule="auto"/>
              <w:jc w:val="center"/>
            </w:pPr>
            <w:r/>
            <w:r>
              <w:rPr>
                <w:rFonts w:ascii="Cambria" w:hAnsi="Cambria" w:eastAsia="Cambria"/>
                <w:b w:val="0"/>
                <w:i w:val="0"/>
                <w:sz w:val="22"/>
              </w:rPr>
              <w:t>077</w:t>
            </w:r>
          </w:p>
        </w:tc>
      </w:tr>
      <w:tr>
        <w:tc>
          <w:tcPr>
            <w:tcW w:type="dxa" w:w="850"/>
            <w:shd w:val="clear" w:color="auto" w:fill="DCE6F1"/>
          </w:tcPr>
          <w:p>
            <w:pPr>
              <w:spacing w:after="40" w:line="240" w:lineRule="auto"/>
              <w:jc w:val="center"/>
            </w:pPr>
            <w:r/>
            <w:r>
              <w:rPr>
                <w:rFonts w:ascii="Cambria" w:hAnsi="Cambria" w:eastAsia="Cambria"/>
                <w:b w:val="0"/>
                <w:i w:val="0"/>
                <w:sz w:val="22"/>
              </w:rPr>
              <w:t>28</w:t>
            </w:r>
          </w:p>
        </w:tc>
        <w:tc>
          <w:tcPr>
            <w:tcW w:type="dxa" w:w="7541"/>
            <w:shd w:val="clear" w:color="auto" w:fill="DCE6F1"/>
          </w:tcPr>
          <w:p>
            <w:pPr>
              <w:spacing w:after="40" w:line="240" w:lineRule="auto"/>
            </w:pPr>
            <w:r/>
            <w:r>
              <w:rPr>
                <w:rFonts w:ascii="Cambria" w:hAnsi="Cambria" w:eastAsia="Cambria"/>
                <w:b w:val="0"/>
                <w:i w:val="0"/>
                <w:sz w:val="22"/>
              </w:rPr>
              <w:t>Perception (PR)</w:t>
            </w:r>
          </w:p>
        </w:tc>
        <w:tc>
          <w:tcPr>
            <w:tcW w:type="dxa" w:w="1020"/>
            <w:shd w:val="clear" w:color="auto" w:fill="DCE6F1"/>
          </w:tcPr>
          <w:p>
            <w:pPr>
              <w:spacing w:after="40" w:line="240" w:lineRule="auto"/>
              <w:jc w:val="center"/>
            </w:pPr>
            <w:r/>
            <w:r>
              <w:rPr>
                <w:rFonts w:ascii="Cambria" w:hAnsi="Cambria" w:eastAsia="Cambria"/>
                <w:b w:val="0"/>
                <w:i w:val="0"/>
                <w:sz w:val="22"/>
              </w:rPr>
              <w:t>079</w:t>
            </w:r>
          </w:p>
        </w:tc>
      </w:tr>
      <w:tr>
        <w:tc>
          <w:tcPr>
            <w:tcW w:type="dxa" w:w="850"/>
          </w:tcPr>
          <w:p>
            <w:pPr>
              <w:spacing w:after="40" w:line="240" w:lineRule="auto"/>
              <w:jc w:val="center"/>
            </w:pPr>
            <w:r/>
            <w:r>
              <w:rPr>
                <w:rFonts w:ascii="Cambria" w:hAnsi="Cambria" w:eastAsia="Cambria"/>
                <w:b w:val="0"/>
                <w:i w:val="0"/>
                <w:sz w:val="22"/>
              </w:rPr>
              <w:t>29</w:t>
            </w:r>
          </w:p>
        </w:tc>
        <w:tc>
          <w:tcPr>
            <w:tcW w:type="dxa" w:w="7541"/>
          </w:tcPr>
          <w:p>
            <w:pPr>
              <w:spacing w:after="40" w:line="240" w:lineRule="auto"/>
            </w:pPr>
            <w:r/>
            <w:r>
              <w:rPr>
                <w:rFonts w:ascii="Cambria" w:hAnsi="Cambria" w:eastAsia="Cambria"/>
                <w:b w:val="0"/>
                <w:i w:val="0"/>
                <w:sz w:val="22"/>
              </w:rPr>
              <w:t>Teaching, Learning &amp; Resources (TLR) – NIRF 2024</w:t>
            </w:r>
          </w:p>
        </w:tc>
        <w:tc>
          <w:tcPr>
            <w:tcW w:type="dxa" w:w="1020"/>
          </w:tcPr>
          <w:p>
            <w:pPr>
              <w:spacing w:after="40" w:line="240" w:lineRule="auto"/>
              <w:jc w:val="center"/>
            </w:pPr>
            <w:r/>
            <w:r>
              <w:rPr>
                <w:rFonts w:ascii="Cambria" w:hAnsi="Cambria" w:eastAsia="Cambria"/>
                <w:b w:val="0"/>
                <w:i w:val="0"/>
                <w:sz w:val="22"/>
              </w:rPr>
              <w:t>081</w:t>
            </w:r>
          </w:p>
        </w:tc>
      </w:tr>
      <w:tr>
        <w:tc>
          <w:tcPr>
            <w:tcW w:type="dxa" w:w="850"/>
            <w:shd w:val="clear" w:color="auto" w:fill="DCE6F1"/>
          </w:tcPr>
          <w:p>
            <w:pPr>
              <w:spacing w:after="40" w:line="240" w:lineRule="auto"/>
              <w:jc w:val="center"/>
            </w:pPr>
            <w:r/>
            <w:r>
              <w:rPr>
                <w:rFonts w:ascii="Cambria" w:hAnsi="Cambria" w:eastAsia="Cambria"/>
                <w:b w:val="0"/>
                <w:i w:val="0"/>
                <w:sz w:val="22"/>
              </w:rPr>
              <w:t>30</w:t>
            </w:r>
          </w:p>
        </w:tc>
        <w:tc>
          <w:tcPr>
            <w:tcW w:type="dxa" w:w="7541"/>
            <w:shd w:val="clear" w:color="auto" w:fill="DCE6F1"/>
          </w:tcPr>
          <w:p>
            <w:pPr>
              <w:spacing w:after="40" w:line="240" w:lineRule="auto"/>
            </w:pPr>
            <w:r/>
            <w:r>
              <w:rPr>
                <w:rFonts w:ascii="Cambria" w:hAnsi="Cambria" w:eastAsia="Cambria"/>
                <w:b w:val="0"/>
                <w:i w:val="0"/>
                <w:sz w:val="22"/>
              </w:rPr>
              <w:t>Research and Professional Practice (RP) – NIRF 2024</w:t>
            </w:r>
          </w:p>
        </w:tc>
        <w:tc>
          <w:tcPr>
            <w:tcW w:type="dxa" w:w="1020"/>
            <w:shd w:val="clear" w:color="auto" w:fill="DCE6F1"/>
          </w:tcPr>
          <w:p>
            <w:pPr>
              <w:spacing w:after="40" w:line="240" w:lineRule="auto"/>
              <w:jc w:val="center"/>
            </w:pPr>
            <w:r/>
            <w:r>
              <w:rPr>
                <w:rFonts w:ascii="Cambria" w:hAnsi="Cambria" w:eastAsia="Cambria"/>
                <w:b w:val="0"/>
                <w:i w:val="0"/>
                <w:sz w:val="22"/>
              </w:rPr>
              <w:t>088</w:t>
            </w:r>
          </w:p>
        </w:tc>
      </w:tr>
      <w:tr>
        <w:tc>
          <w:tcPr>
            <w:tcW w:type="dxa" w:w="850"/>
          </w:tcPr>
          <w:p>
            <w:pPr>
              <w:spacing w:after="40" w:line="240" w:lineRule="auto"/>
              <w:jc w:val="center"/>
            </w:pPr>
            <w:r/>
            <w:r>
              <w:rPr>
                <w:rFonts w:ascii="Cambria" w:hAnsi="Cambria" w:eastAsia="Cambria"/>
                <w:b w:val="0"/>
                <w:i w:val="0"/>
                <w:sz w:val="22"/>
              </w:rPr>
              <w:t>31</w:t>
            </w:r>
          </w:p>
        </w:tc>
        <w:tc>
          <w:tcPr>
            <w:tcW w:type="dxa" w:w="7541"/>
          </w:tcPr>
          <w:p>
            <w:pPr>
              <w:spacing w:after="40" w:line="240" w:lineRule="auto"/>
            </w:pPr>
            <w:r/>
            <w:r>
              <w:rPr>
                <w:rFonts w:ascii="Cambria" w:hAnsi="Cambria" w:eastAsia="Cambria"/>
                <w:b w:val="0"/>
                <w:i w:val="0"/>
                <w:sz w:val="22"/>
              </w:rPr>
              <w:t>Graduation Outcomes (GO) – NIRF 2024</w:t>
            </w:r>
          </w:p>
        </w:tc>
        <w:tc>
          <w:tcPr>
            <w:tcW w:type="dxa" w:w="1020"/>
          </w:tcPr>
          <w:p>
            <w:pPr>
              <w:spacing w:after="40" w:line="240" w:lineRule="auto"/>
              <w:jc w:val="center"/>
            </w:pPr>
            <w:r/>
            <w:r>
              <w:rPr>
                <w:rFonts w:ascii="Cambria" w:hAnsi="Cambria" w:eastAsia="Cambria"/>
                <w:b w:val="0"/>
                <w:i w:val="0"/>
                <w:sz w:val="22"/>
              </w:rPr>
              <w:t>095</w:t>
            </w:r>
          </w:p>
        </w:tc>
      </w:tr>
      <w:tr>
        <w:tc>
          <w:tcPr>
            <w:tcW w:type="dxa" w:w="850"/>
            <w:shd w:val="clear" w:color="auto" w:fill="DCE6F1"/>
          </w:tcPr>
          <w:p>
            <w:pPr>
              <w:spacing w:after="40" w:line="240" w:lineRule="auto"/>
              <w:jc w:val="center"/>
            </w:pPr>
            <w:r/>
            <w:r>
              <w:rPr>
                <w:rFonts w:ascii="Cambria" w:hAnsi="Cambria" w:eastAsia="Cambria"/>
                <w:b w:val="0"/>
                <w:i w:val="0"/>
                <w:sz w:val="22"/>
              </w:rPr>
              <w:t>32</w:t>
            </w:r>
          </w:p>
        </w:tc>
        <w:tc>
          <w:tcPr>
            <w:tcW w:type="dxa" w:w="7541"/>
            <w:shd w:val="clear" w:color="auto" w:fill="DCE6F1"/>
          </w:tcPr>
          <w:p>
            <w:pPr>
              <w:spacing w:after="40" w:line="240" w:lineRule="auto"/>
            </w:pPr>
            <w:r/>
            <w:r>
              <w:rPr>
                <w:rFonts w:ascii="Cambria" w:hAnsi="Cambria" w:eastAsia="Cambria"/>
                <w:b w:val="0"/>
                <w:i w:val="0"/>
                <w:sz w:val="22"/>
              </w:rPr>
              <w:t>Outreach &amp; Inclusivity (OI) – NIRF 2024</w:t>
            </w:r>
          </w:p>
        </w:tc>
        <w:tc>
          <w:tcPr>
            <w:tcW w:type="dxa" w:w="1020"/>
            <w:shd w:val="clear" w:color="auto" w:fill="DCE6F1"/>
          </w:tcPr>
          <w:p>
            <w:pPr>
              <w:spacing w:after="40" w:line="240" w:lineRule="auto"/>
              <w:jc w:val="center"/>
            </w:pPr>
            <w:r/>
            <w:r>
              <w:rPr>
                <w:rFonts w:ascii="Cambria" w:hAnsi="Cambria" w:eastAsia="Cambria"/>
                <w:b w:val="0"/>
                <w:i w:val="0"/>
                <w:sz w:val="22"/>
              </w:rPr>
              <w:t>097</w:t>
            </w:r>
          </w:p>
        </w:tc>
      </w:tr>
      <w:tr>
        <w:tc>
          <w:tcPr>
            <w:tcW w:type="dxa" w:w="850"/>
          </w:tcPr>
          <w:p>
            <w:pPr>
              <w:spacing w:after="40" w:line="240" w:lineRule="auto"/>
              <w:jc w:val="center"/>
            </w:pPr>
            <w:r/>
            <w:r>
              <w:rPr>
                <w:rFonts w:ascii="Cambria" w:hAnsi="Cambria" w:eastAsia="Cambria"/>
                <w:b w:val="0"/>
                <w:i w:val="0"/>
                <w:sz w:val="22"/>
              </w:rPr>
              <w:t>33</w:t>
            </w:r>
          </w:p>
        </w:tc>
        <w:tc>
          <w:tcPr>
            <w:tcW w:type="dxa" w:w="7541"/>
          </w:tcPr>
          <w:p>
            <w:pPr>
              <w:spacing w:after="40" w:line="240" w:lineRule="auto"/>
            </w:pPr>
            <w:r/>
            <w:r>
              <w:rPr>
                <w:rFonts w:ascii="Cambria" w:hAnsi="Cambria" w:eastAsia="Cambria"/>
                <w:b w:val="0"/>
                <w:i w:val="0"/>
                <w:sz w:val="22"/>
              </w:rPr>
              <w:t>Perception (PR) – NIRF 2024</w:t>
            </w:r>
          </w:p>
        </w:tc>
        <w:tc>
          <w:tcPr>
            <w:tcW w:type="dxa" w:w="1020"/>
          </w:tcPr>
          <w:p>
            <w:pPr>
              <w:spacing w:after="40" w:line="240" w:lineRule="auto"/>
              <w:jc w:val="center"/>
            </w:pPr>
            <w:r/>
            <w:r>
              <w:rPr>
                <w:rFonts w:ascii="Cambria" w:hAnsi="Cambria" w:eastAsia="Cambria"/>
                <w:b w:val="0"/>
                <w:i w:val="0"/>
                <w:sz w:val="22"/>
              </w:rPr>
              <w:t>101</w:t>
            </w:r>
          </w:p>
        </w:tc>
      </w:tr>
      <w:tr>
        <w:tc>
          <w:tcPr>
            <w:tcW w:type="dxa" w:w="850"/>
            <w:shd w:val="clear" w:color="auto" w:fill="DCE6F1"/>
          </w:tcPr>
          <w:p>
            <w:pPr>
              <w:spacing w:after="40" w:line="240" w:lineRule="auto"/>
              <w:jc w:val="center"/>
            </w:pPr>
            <w:r/>
            <w:r>
              <w:rPr>
                <w:rFonts w:ascii="Cambria" w:hAnsi="Cambria" w:eastAsia="Cambria"/>
                <w:b w:val="0"/>
                <w:i w:val="0"/>
                <w:sz w:val="22"/>
              </w:rPr>
              <w:t>34</w:t>
            </w:r>
          </w:p>
        </w:tc>
        <w:tc>
          <w:tcPr>
            <w:tcW w:type="dxa" w:w="7541"/>
            <w:shd w:val="clear" w:color="auto" w:fill="DCE6F1"/>
          </w:tcPr>
          <w:p>
            <w:pPr>
              <w:spacing w:after="40" w:line="240" w:lineRule="auto"/>
            </w:pPr>
            <w:r/>
            <w:r>
              <w:rPr>
                <w:rFonts w:ascii="Cambria" w:hAnsi="Cambria" w:eastAsia="Cambria"/>
                <w:b w:val="0"/>
                <w:i w:val="0"/>
                <w:sz w:val="22"/>
              </w:rPr>
              <w:t>NIRF 2024 ranking framework for the Engineering discipline</w:t>
            </w:r>
          </w:p>
        </w:tc>
        <w:tc>
          <w:tcPr>
            <w:tcW w:type="dxa" w:w="1020"/>
            <w:shd w:val="clear" w:color="auto" w:fill="DCE6F1"/>
          </w:tcPr>
          <w:p>
            <w:pPr>
              <w:spacing w:after="40" w:line="240" w:lineRule="auto"/>
              <w:jc w:val="center"/>
            </w:pPr>
            <w:r/>
            <w:r>
              <w:rPr>
                <w:rFonts w:ascii="Cambria" w:hAnsi="Cambria" w:eastAsia="Cambria"/>
                <w:b w:val="0"/>
                <w:i w:val="0"/>
                <w:sz w:val="22"/>
              </w:rPr>
              <w:t>103</w:t>
            </w:r>
          </w:p>
        </w:tc>
      </w:tr>
      <w:tr>
        <w:tc>
          <w:tcPr>
            <w:tcW w:type="dxa" w:w="850"/>
          </w:tcPr>
          <w:p>
            <w:pPr>
              <w:spacing w:after="40" w:line="240" w:lineRule="auto"/>
              <w:jc w:val="center"/>
            </w:pPr>
            <w:r/>
            <w:r>
              <w:rPr>
                <w:rFonts w:ascii="Cambria" w:hAnsi="Cambria" w:eastAsia="Cambria"/>
                <w:b w:val="0"/>
                <w:i w:val="0"/>
                <w:sz w:val="22"/>
              </w:rPr>
              <w:t>35</w:t>
            </w:r>
          </w:p>
        </w:tc>
        <w:tc>
          <w:tcPr>
            <w:tcW w:type="dxa" w:w="7541"/>
          </w:tcPr>
          <w:p>
            <w:pPr>
              <w:spacing w:after="40" w:line="240" w:lineRule="auto"/>
            </w:pPr>
            <w:r/>
            <w:r>
              <w:rPr>
                <w:rFonts w:ascii="Cambria" w:hAnsi="Cambria" w:eastAsia="Cambria"/>
                <w:b w:val="0"/>
                <w:i w:val="0"/>
                <w:sz w:val="22"/>
              </w:rPr>
              <w:t>Placement &amp; Higher Studies (GPH)</w:t>
            </w:r>
          </w:p>
        </w:tc>
        <w:tc>
          <w:tcPr>
            <w:tcW w:type="dxa" w:w="1020"/>
          </w:tcPr>
          <w:p>
            <w:pPr>
              <w:spacing w:after="40" w:line="240" w:lineRule="auto"/>
              <w:jc w:val="center"/>
            </w:pPr>
            <w:r/>
            <w:r>
              <w:rPr>
                <w:rFonts w:ascii="Cambria" w:hAnsi="Cambria" w:eastAsia="Cambria"/>
                <w:b w:val="0"/>
                <w:i w:val="0"/>
                <w:sz w:val="22"/>
              </w:rPr>
              <w:t>106</w:t>
            </w:r>
          </w:p>
        </w:tc>
      </w:tr>
      <w:tr>
        <w:tc>
          <w:tcPr>
            <w:tcW w:type="dxa" w:w="850"/>
            <w:shd w:val="clear" w:color="auto" w:fill="DCE6F1"/>
          </w:tcPr>
          <w:p>
            <w:pPr>
              <w:spacing w:after="40" w:line="240" w:lineRule="auto"/>
              <w:jc w:val="center"/>
            </w:pPr>
            <w:r/>
            <w:r>
              <w:rPr>
                <w:rFonts w:ascii="Cambria" w:hAnsi="Cambria" w:eastAsia="Cambria"/>
                <w:b w:val="0"/>
                <w:i w:val="0"/>
                <w:sz w:val="22"/>
              </w:rPr>
              <w:t>36</w:t>
            </w:r>
          </w:p>
        </w:tc>
        <w:tc>
          <w:tcPr>
            <w:tcW w:type="dxa" w:w="7541"/>
            <w:shd w:val="clear" w:color="auto" w:fill="DCE6F1"/>
          </w:tcPr>
          <w:p>
            <w:pPr>
              <w:spacing w:after="40" w:line="240" w:lineRule="auto"/>
            </w:pPr>
            <w:r/>
            <w:r>
              <w:rPr>
                <w:rFonts w:ascii="Cambria" w:hAnsi="Cambria" w:eastAsia="Cambria"/>
                <w:b w:val="0"/>
                <w:i w:val="0"/>
                <w:sz w:val="22"/>
              </w:rPr>
              <w:t>Median Salary (GMS)</w:t>
            </w:r>
          </w:p>
        </w:tc>
        <w:tc>
          <w:tcPr>
            <w:tcW w:type="dxa" w:w="1020"/>
            <w:shd w:val="clear" w:color="auto" w:fill="DCE6F1"/>
          </w:tcPr>
          <w:p>
            <w:pPr>
              <w:spacing w:after="40" w:line="240" w:lineRule="auto"/>
              <w:jc w:val="center"/>
            </w:pPr>
            <w:r/>
            <w:r>
              <w:rPr>
                <w:rFonts w:ascii="Cambria" w:hAnsi="Cambria" w:eastAsia="Cambria"/>
                <w:b w:val="0"/>
                <w:i w:val="0"/>
                <w:sz w:val="22"/>
              </w:rPr>
              <w:t>108</w:t>
            </w:r>
          </w:p>
        </w:tc>
      </w:tr>
      <w:tr>
        <w:tc>
          <w:tcPr>
            <w:tcW w:type="dxa" w:w="850"/>
          </w:tcPr>
          <w:p>
            <w:pPr>
              <w:spacing w:after="40" w:line="240" w:lineRule="auto"/>
              <w:jc w:val="center"/>
            </w:pPr>
            <w:r/>
            <w:r>
              <w:rPr>
                <w:rFonts w:ascii="Cambria" w:hAnsi="Cambria" w:eastAsia="Cambria"/>
                <w:b w:val="0"/>
                <w:i w:val="0"/>
                <w:sz w:val="22"/>
              </w:rPr>
              <w:t>37</w:t>
            </w:r>
          </w:p>
        </w:tc>
        <w:tc>
          <w:tcPr>
            <w:tcW w:type="dxa" w:w="7541"/>
          </w:tcPr>
          <w:p>
            <w:pPr>
              <w:spacing w:after="40" w:line="240" w:lineRule="auto"/>
            </w:pPr>
            <w:r/>
            <w:r>
              <w:rPr>
                <w:rFonts w:ascii="Cambria" w:hAnsi="Cambria" w:eastAsia="Cambria"/>
                <w:b w:val="0"/>
                <w:i w:val="0"/>
                <w:sz w:val="22"/>
              </w:rPr>
              <w:t>NIRF 2024 framework for the Management discipline</w:t>
            </w:r>
          </w:p>
        </w:tc>
        <w:tc>
          <w:tcPr>
            <w:tcW w:type="dxa" w:w="1020"/>
          </w:tcPr>
          <w:p>
            <w:pPr>
              <w:spacing w:after="40" w:line="240" w:lineRule="auto"/>
              <w:jc w:val="center"/>
            </w:pPr>
            <w:r/>
            <w:r>
              <w:rPr>
                <w:rFonts w:ascii="Cambria" w:hAnsi="Cambria" w:eastAsia="Cambria"/>
                <w:b w:val="0"/>
                <w:i w:val="0"/>
                <w:sz w:val="22"/>
              </w:rPr>
              <w:t>110</w:t>
            </w:r>
          </w:p>
        </w:tc>
      </w:tr>
      <w:tr>
        <w:tc>
          <w:tcPr>
            <w:tcW w:type="dxa" w:w="850"/>
            <w:shd w:val="clear" w:color="auto" w:fill="DCE6F1"/>
          </w:tcPr>
          <w:p>
            <w:pPr>
              <w:spacing w:after="40" w:line="240" w:lineRule="auto"/>
              <w:jc w:val="center"/>
            </w:pPr>
            <w:r/>
            <w:r>
              <w:rPr>
                <w:rFonts w:ascii="Cambria" w:hAnsi="Cambria" w:eastAsia="Cambria"/>
                <w:b w:val="0"/>
                <w:i w:val="0"/>
                <w:sz w:val="22"/>
              </w:rPr>
              <w:t>38</w:t>
            </w:r>
          </w:p>
        </w:tc>
        <w:tc>
          <w:tcPr>
            <w:tcW w:type="dxa" w:w="7541"/>
            <w:shd w:val="clear" w:color="auto" w:fill="DCE6F1"/>
          </w:tcPr>
          <w:p>
            <w:pPr>
              <w:spacing w:after="40" w:line="240" w:lineRule="auto"/>
            </w:pPr>
            <w:r/>
            <w:r>
              <w:rPr>
                <w:rFonts w:ascii="Cambria" w:hAnsi="Cambria" w:eastAsia="Cambria"/>
                <w:b w:val="0"/>
                <w:i w:val="0"/>
                <w:sz w:val="22"/>
              </w:rPr>
              <w:t>NIRF 2024 framework for the Medical discipline</w:t>
            </w:r>
          </w:p>
        </w:tc>
        <w:tc>
          <w:tcPr>
            <w:tcW w:type="dxa" w:w="1020"/>
            <w:shd w:val="clear" w:color="auto" w:fill="DCE6F1"/>
          </w:tcPr>
          <w:p>
            <w:pPr>
              <w:spacing w:after="40" w:line="240" w:lineRule="auto"/>
              <w:jc w:val="center"/>
            </w:pPr>
            <w:r/>
            <w:r>
              <w:rPr>
                <w:rFonts w:ascii="Cambria" w:hAnsi="Cambria" w:eastAsia="Cambria"/>
                <w:b w:val="0"/>
                <w:i w:val="0"/>
                <w:sz w:val="22"/>
              </w:rPr>
              <w:t>113</w:t>
            </w:r>
          </w:p>
        </w:tc>
      </w:tr>
      <w:tr>
        <w:tc>
          <w:tcPr>
            <w:tcW w:type="dxa" w:w="850"/>
          </w:tcPr>
          <w:p>
            <w:pPr>
              <w:spacing w:after="40" w:line="240" w:lineRule="auto"/>
              <w:jc w:val="center"/>
            </w:pPr>
            <w:r/>
            <w:r>
              <w:rPr>
                <w:rFonts w:ascii="Cambria" w:hAnsi="Cambria" w:eastAsia="Cambria"/>
                <w:b w:val="0"/>
                <w:i w:val="0"/>
                <w:sz w:val="22"/>
              </w:rPr>
              <w:t>39</w:t>
            </w:r>
          </w:p>
        </w:tc>
        <w:tc>
          <w:tcPr>
            <w:tcW w:type="dxa" w:w="7541"/>
          </w:tcPr>
          <w:p>
            <w:pPr>
              <w:spacing w:after="40" w:line="240" w:lineRule="auto"/>
            </w:pPr>
            <w:r/>
            <w:r>
              <w:rPr>
                <w:rFonts w:ascii="Cambria" w:hAnsi="Cambria" w:eastAsia="Cambria"/>
                <w:b w:val="0"/>
                <w:i w:val="0"/>
                <w:sz w:val="22"/>
              </w:rPr>
              <w:t>PG Students Graduated (GPG)</w:t>
            </w:r>
          </w:p>
        </w:tc>
        <w:tc>
          <w:tcPr>
            <w:tcW w:type="dxa" w:w="1020"/>
          </w:tcPr>
          <w:p>
            <w:pPr>
              <w:spacing w:after="40" w:line="240" w:lineRule="auto"/>
              <w:jc w:val="center"/>
            </w:pPr>
            <w:r/>
            <w:r>
              <w:rPr>
                <w:rFonts w:ascii="Cambria" w:hAnsi="Cambria" w:eastAsia="Cambria"/>
                <w:b w:val="0"/>
                <w:i w:val="0"/>
                <w:sz w:val="22"/>
              </w:rPr>
              <w:t>116</w:t>
            </w:r>
          </w:p>
        </w:tc>
      </w:tr>
      <w:tr>
        <w:tc>
          <w:tcPr>
            <w:tcW w:type="dxa" w:w="850"/>
            <w:shd w:val="clear" w:color="auto" w:fill="DCE6F1"/>
          </w:tcPr>
          <w:p>
            <w:pPr>
              <w:spacing w:after="40" w:line="240" w:lineRule="auto"/>
              <w:jc w:val="center"/>
            </w:pPr>
            <w:r/>
            <w:r>
              <w:rPr>
                <w:rFonts w:ascii="Cambria" w:hAnsi="Cambria" w:eastAsia="Cambria"/>
                <w:b w:val="0"/>
                <w:i w:val="0"/>
                <w:sz w:val="22"/>
              </w:rPr>
              <w:t>40</w:t>
            </w:r>
          </w:p>
        </w:tc>
        <w:tc>
          <w:tcPr>
            <w:tcW w:type="dxa" w:w="7541"/>
            <w:shd w:val="clear" w:color="auto" w:fill="DCE6F1"/>
          </w:tcPr>
          <w:p>
            <w:pPr>
              <w:spacing w:after="40" w:line="240" w:lineRule="auto"/>
            </w:pPr>
            <w:r/>
            <w:r>
              <w:rPr>
                <w:rFonts w:ascii="Cambria" w:hAnsi="Cambria" w:eastAsia="Cambria"/>
                <w:b w:val="0"/>
                <w:i w:val="0"/>
                <w:sz w:val="22"/>
              </w:rPr>
              <w:t>Super Specialty Students Graduated (GSS)</w:t>
            </w:r>
          </w:p>
        </w:tc>
        <w:tc>
          <w:tcPr>
            <w:tcW w:type="dxa" w:w="1020"/>
            <w:shd w:val="clear" w:color="auto" w:fill="DCE6F1"/>
          </w:tcPr>
          <w:p>
            <w:pPr>
              <w:spacing w:after="40" w:line="240" w:lineRule="auto"/>
              <w:jc w:val="center"/>
            </w:pPr>
            <w:r/>
            <w:r>
              <w:rPr>
                <w:rFonts w:ascii="Cambria" w:hAnsi="Cambria" w:eastAsia="Cambria"/>
                <w:b w:val="0"/>
                <w:i w:val="0"/>
                <w:sz w:val="22"/>
              </w:rPr>
              <w:t>117</w:t>
            </w:r>
          </w:p>
        </w:tc>
      </w:tr>
      <w:tr>
        <w:tc>
          <w:tcPr>
            <w:tcW w:type="dxa" w:w="850"/>
          </w:tcPr>
          <w:p>
            <w:pPr>
              <w:spacing w:after="40" w:line="240" w:lineRule="auto"/>
              <w:jc w:val="center"/>
            </w:pPr>
            <w:r/>
            <w:r>
              <w:rPr>
                <w:rFonts w:ascii="Cambria" w:hAnsi="Cambria" w:eastAsia="Cambria"/>
                <w:b w:val="0"/>
                <w:i w:val="0"/>
                <w:sz w:val="22"/>
              </w:rPr>
              <w:t>41</w:t>
            </w:r>
          </w:p>
        </w:tc>
        <w:tc>
          <w:tcPr>
            <w:tcW w:type="dxa" w:w="7541"/>
          </w:tcPr>
          <w:p>
            <w:pPr>
              <w:spacing w:after="40" w:line="240" w:lineRule="auto"/>
            </w:pPr>
            <w:r/>
            <w:r>
              <w:rPr>
                <w:rFonts w:ascii="Cambria" w:hAnsi="Cambria" w:eastAsia="Cambria"/>
                <w:b w:val="0"/>
                <w:i w:val="0"/>
                <w:sz w:val="22"/>
              </w:rPr>
              <w:t>NIRF 2024 framework for Colleges</w:t>
            </w:r>
          </w:p>
        </w:tc>
        <w:tc>
          <w:tcPr>
            <w:tcW w:type="dxa" w:w="1020"/>
          </w:tcPr>
          <w:p>
            <w:pPr>
              <w:spacing w:after="40" w:line="240" w:lineRule="auto"/>
              <w:jc w:val="center"/>
            </w:pPr>
            <w:r/>
            <w:r>
              <w:rPr>
                <w:rFonts w:ascii="Cambria" w:hAnsi="Cambria" w:eastAsia="Cambria"/>
                <w:b w:val="0"/>
                <w:i w:val="0"/>
                <w:sz w:val="22"/>
              </w:rPr>
              <w:t>118</w:t>
            </w:r>
          </w:p>
        </w:tc>
      </w:tr>
      <w:tr>
        <w:tc>
          <w:tcPr>
            <w:tcW w:type="dxa" w:w="850"/>
            <w:shd w:val="clear" w:color="auto" w:fill="DCE6F1"/>
          </w:tcPr>
          <w:p>
            <w:pPr>
              <w:spacing w:after="40" w:line="240" w:lineRule="auto"/>
              <w:jc w:val="center"/>
            </w:pPr>
            <w:r/>
            <w:r>
              <w:rPr>
                <w:rFonts w:ascii="Cambria" w:hAnsi="Cambria" w:eastAsia="Cambria"/>
                <w:b w:val="0"/>
                <w:i w:val="0"/>
                <w:sz w:val="22"/>
              </w:rPr>
              <w:t>42</w:t>
            </w:r>
          </w:p>
        </w:tc>
        <w:tc>
          <w:tcPr>
            <w:tcW w:type="dxa" w:w="7541"/>
            <w:shd w:val="clear" w:color="auto" w:fill="DCE6F1"/>
          </w:tcPr>
          <w:p>
            <w:pPr>
              <w:spacing w:after="40" w:line="240" w:lineRule="auto"/>
            </w:pPr>
            <w:r/>
            <w:r>
              <w:rPr>
                <w:rFonts w:ascii="Cambria" w:hAnsi="Cambria" w:eastAsia="Cambria"/>
                <w:b w:val="0"/>
                <w:i w:val="0"/>
                <w:sz w:val="22"/>
              </w:rPr>
              <w:t>NIRF 2024 framework for Law Institutions</w:t>
            </w:r>
          </w:p>
        </w:tc>
        <w:tc>
          <w:tcPr>
            <w:tcW w:type="dxa" w:w="1020"/>
            <w:shd w:val="clear" w:color="auto" w:fill="DCE6F1"/>
          </w:tcPr>
          <w:p>
            <w:pPr>
              <w:spacing w:after="40" w:line="240" w:lineRule="auto"/>
              <w:jc w:val="center"/>
            </w:pPr>
            <w:r/>
            <w:r>
              <w:rPr>
                <w:rFonts w:ascii="Cambria" w:hAnsi="Cambria" w:eastAsia="Cambria"/>
                <w:b w:val="0"/>
                <w:i w:val="0"/>
                <w:sz w:val="22"/>
              </w:rPr>
              <w:t>121</w:t>
            </w:r>
          </w:p>
        </w:tc>
      </w:tr>
      <w:tr>
        <w:tc>
          <w:tcPr>
            <w:tcW w:type="dxa" w:w="850"/>
          </w:tcPr>
          <w:p>
            <w:pPr>
              <w:spacing w:after="40" w:line="240" w:lineRule="auto"/>
              <w:jc w:val="center"/>
            </w:pPr>
            <w:r/>
            <w:r>
              <w:rPr>
                <w:rFonts w:ascii="Cambria" w:hAnsi="Cambria" w:eastAsia="Cambria"/>
                <w:b w:val="0"/>
                <w:i w:val="0"/>
                <w:sz w:val="22"/>
              </w:rPr>
              <w:t>43</w:t>
            </w:r>
          </w:p>
        </w:tc>
        <w:tc>
          <w:tcPr>
            <w:tcW w:type="dxa" w:w="7541"/>
          </w:tcPr>
          <w:p>
            <w:pPr>
              <w:spacing w:after="40" w:line="240" w:lineRule="auto"/>
            </w:pPr>
            <w:r/>
            <w:r>
              <w:rPr>
                <w:rFonts w:ascii="Cambria" w:hAnsi="Cambria" w:eastAsia="Cambria"/>
                <w:b w:val="0"/>
                <w:i w:val="0"/>
                <w:sz w:val="22"/>
              </w:rPr>
              <w:t>NIRF 2024 framework for Pharmacy institutions</w:t>
            </w:r>
          </w:p>
        </w:tc>
        <w:tc>
          <w:tcPr>
            <w:tcW w:type="dxa" w:w="1020"/>
          </w:tcPr>
          <w:p>
            <w:pPr>
              <w:spacing w:after="40" w:line="240" w:lineRule="auto"/>
              <w:jc w:val="center"/>
            </w:pPr>
            <w:r/>
            <w:r>
              <w:rPr>
                <w:rFonts w:ascii="Cambria" w:hAnsi="Cambria" w:eastAsia="Cambria"/>
                <w:b w:val="0"/>
                <w:i w:val="0"/>
                <w:sz w:val="22"/>
              </w:rPr>
              <w:t>124</w:t>
            </w:r>
          </w:p>
        </w:tc>
      </w:tr>
      <w:tr>
        <w:tc>
          <w:tcPr>
            <w:tcW w:type="dxa" w:w="850"/>
            <w:shd w:val="clear" w:color="auto" w:fill="DCE6F1"/>
          </w:tcPr>
          <w:p>
            <w:pPr>
              <w:spacing w:after="40" w:line="240" w:lineRule="auto"/>
              <w:jc w:val="center"/>
            </w:pPr>
            <w:r/>
            <w:r>
              <w:rPr>
                <w:rFonts w:ascii="Cambria" w:hAnsi="Cambria" w:eastAsia="Cambria"/>
                <w:b w:val="0"/>
                <w:i w:val="0"/>
                <w:sz w:val="22"/>
              </w:rPr>
              <w:t>44</w:t>
            </w:r>
          </w:p>
        </w:tc>
        <w:tc>
          <w:tcPr>
            <w:tcW w:type="dxa" w:w="7541"/>
            <w:shd w:val="clear" w:color="auto" w:fill="DCE6F1"/>
          </w:tcPr>
          <w:p>
            <w:pPr>
              <w:spacing w:after="40" w:line="240" w:lineRule="auto"/>
            </w:pPr>
            <w:r/>
            <w:r>
              <w:rPr>
                <w:rFonts w:ascii="Cambria" w:hAnsi="Cambria" w:eastAsia="Cambria"/>
                <w:b w:val="0"/>
                <w:i w:val="0"/>
                <w:sz w:val="22"/>
              </w:rPr>
              <w:t>NIRF 2024 framework for Research Institutions</w:t>
            </w:r>
          </w:p>
        </w:tc>
        <w:tc>
          <w:tcPr>
            <w:tcW w:type="dxa" w:w="1020"/>
            <w:shd w:val="clear" w:color="auto" w:fill="DCE6F1"/>
          </w:tcPr>
          <w:p>
            <w:pPr>
              <w:spacing w:after="40" w:line="240" w:lineRule="auto"/>
              <w:jc w:val="center"/>
            </w:pPr>
            <w:r/>
            <w:r>
              <w:rPr>
                <w:rFonts w:ascii="Cambria" w:hAnsi="Cambria" w:eastAsia="Cambria"/>
                <w:b w:val="0"/>
                <w:i w:val="0"/>
                <w:sz w:val="22"/>
              </w:rPr>
              <w:t>127</w:t>
            </w:r>
          </w:p>
        </w:tc>
      </w:tr>
      <w:tr>
        <w:tc>
          <w:tcPr>
            <w:tcW w:type="dxa" w:w="850"/>
          </w:tcPr>
          <w:p>
            <w:pPr>
              <w:spacing w:after="40" w:line="240" w:lineRule="auto"/>
              <w:jc w:val="center"/>
            </w:pPr>
            <w:r/>
            <w:r>
              <w:rPr>
                <w:rFonts w:ascii="Cambria" w:hAnsi="Cambria" w:eastAsia="Cambria"/>
                <w:b w:val="0"/>
                <w:i w:val="0"/>
                <w:sz w:val="22"/>
              </w:rPr>
              <w:t>45</w:t>
            </w:r>
          </w:p>
        </w:tc>
        <w:tc>
          <w:tcPr>
            <w:tcW w:type="dxa" w:w="7541"/>
          </w:tcPr>
          <w:p>
            <w:pPr>
              <w:spacing w:after="40" w:line="240" w:lineRule="auto"/>
            </w:pPr>
            <w:r/>
            <w:r>
              <w:rPr>
                <w:rFonts w:ascii="Cambria" w:hAnsi="Cambria" w:eastAsia="Cambria"/>
                <w:b w:val="0"/>
                <w:i w:val="0"/>
                <w:sz w:val="22"/>
              </w:rPr>
              <w:t>Metric for Quantitative Research (QNR), which applies to Research Institutions</w:t>
            </w:r>
          </w:p>
        </w:tc>
        <w:tc>
          <w:tcPr>
            <w:tcW w:type="dxa" w:w="1020"/>
          </w:tcPr>
          <w:p>
            <w:pPr>
              <w:spacing w:after="40" w:line="240" w:lineRule="auto"/>
              <w:jc w:val="center"/>
            </w:pPr>
            <w:r/>
            <w:r>
              <w:rPr>
                <w:rFonts w:ascii="Cambria" w:hAnsi="Cambria" w:eastAsia="Cambria"/>
                <w:b w:val="0"/>
                <w:i w:val="0"/>
                <w:sz w:val="22"/>
              </w:rPr>
              <w:t>130</w:t>
            </w:r>
          </w:p>
        </w:tc>
      </w:tr>
      <w:tr>
        <w:tc>
          <w:tcPr>
            <w:tcW w:type="dxa" w:w="850"/>
            <w:shd w:val="clear" w:color="auto" w:fill="DCE6F1"/>
          </w:tcPr>
          <w:p>
            <w:pPr>
              <w:spacing w:after="40" w:line="240" w:lineRule="auto"/>
              <w:jc w:val="center"/>
            </w:pPr>
            <w:r/>
            <w:r>
              <w:rPr>
                <w:rFonts w:ascii="Cambria" w:hAnsi="Cambria" w:eastAsia="Cambria"/>
                <w:b w:val="0"/>
                <w:i w:val="0"/>
                <w:sz w:val="22"/>
              </w:rPr>
              <w:t>46</w:t>
            </w:r>
          </w:p>
        </w:tc>
        <w:tc>
          <w:tcPr>
            <w:tcW w:type="dxa" w:w="7541"/>
            <w:shd w:val="clear" w:color="auto" w:fill="DCE6F1"/>
          </w:tcPr>
          <w:p>
            <w:pPr>
              <w:spacing w:after="40" w:line="240" w:lineRule="auto"/>
            </w:pPr>
            <w:r/>
            <w:r>
              <w:rPr>
                <w:rFonts w:ascii="Cambria" w:hAnsi="Cambria" w:eastAsia="Cambria"/>
                <w:b w:val="0"/>
                <w:i w:val="0"/>
                <w:sz w:val="22"/>
              </w:rPr>
              <w:t>H-Index (HI)</w:t>
            </w:r>
          </w:p>
        </w:tc>
        <w:tc>
          <w:tcPr>
            <w:tcW w:type="dxa" w:w="1020"/>
            <w:shd w:val="clear" w:color="auto" w:fill="DCE6F1"/>
          </w:tcPr>
          <w:p>
            <w:pPr>
              <w:spacing w:after="40" w:line="240" w:lineRule="auto"/>
              <w:jc w:val="center"/>
            </w:pPr>
            <w:r/>
            <w:r>
              <w:rPr>
                <w:rFonts w:ascii="Cambria" w:hAnsi="Cambria" w:eastAsia="Cambria"/>
                <w:b w:val="0"/>
                <w:i w:val="0"/>
                <w:sz w:val="22"/>
              </w:rPr>
              <w:t>132</w:t>
            </w:r>
          </w:p>
        </w:tc>
      </w:tr>
      <w:tr>
        <w:tc>
          <w:tcPr>
            <w:tcW w:type="dxa" w:w="850"/>
          </w:tcPr>
          <w:p>
            <w:pPr>
              <w:spacing w:after="40" w:line="240" w:lineRule="auto"/>
              <w:jc w:val="center"/>
            </w:pPr>
            <w:r/>
            <w:r>
              <w:rPr>
                <w:rFonts w:ascii="Cambria" w:hAnsi="Cambria" w:eastAsia="Cambria"/>
                <w:b w:val="0"/>
                <w:i w:val="0"/>
                <w:sz w:val="22"/>
              </w:rPr>
              <w:t>47</w:t>
            </w:r>
          </w:p>
        </w:tc>
        <w:tc>
          <w:tcPr>
            <w:tcW w:type="dxa" w:w="7541"/>
          </w:tcPr>
          <w:p>
            <w:pPr>
              <w:spacing w:after="40" w:line="240" w:lineRule="auto"/>
            </w:pPr>
            <w:r/>
            <w:r>
              <w:rPr>
                <w:rFonts w:ascii="Cambria" w:hAnsi="Cambria" w:eastAsia="Cambria"/>
                <w:b w:val="0"/>
                <w:i w:val="0"/>
                <w:sz w:val="22"/>
              </w:rPr>
              <w:t>Student Strength (SS)</w:t>
            </w:r>
          </w:p>
        </w:tc>
        <w:tc>
          <w:tcPr>
            <w:tcW w:type="dxa" w:w="1020"/>
          </w:tcPr>
          <w:p>
            <w:pPr>
              <w:spacing w:after="40" w:line="240" w:lineRule="auto"/>
              <w:jc w:val="center"/>
            </w:pPr>
            <w:r/>
            <w:r>
              <w:rPr>
                <w:rFonts w:ascii="Cambria" w:hAnsi="Cambria" w:eastAsia="Cambria"/>
                <w:b w:val="0"/>
                <w:i w:val="0"/>
                <w:sz w:val="22"/>
              </w:rPr>
              <w:t>134</w:t>
            </w:r>
          </w:p>
        </w:tc>
      </w:tr>
      <w:tr>
        <w:tc>
          <w:tcPr>
            <w:tcW w:type="dxa" w:w="850"/>
            <w:shd w:val="clear" w:color="auto" w:fill="DCE6F1"/>
          </w:tcPr>
          <w:p>
            <w:pPr>
              <w:spacing w:after="40" w:line="240" w:lineRule="auto"/>
              <w:jc w:val="center"/>
            </w:pPr>
            <w:r/>
            <w:r>
              <w:rPr>
                <w:rFonts w:ascii="Cambria" w:hAnsi="Cambria" w:eastAsia="Cambria"/>
                <w:b w:val="0"/>
                <w:i w:val="0"/>
                <w:sz w:val="22"/>
              </w:rPr>
              <w:t>48</w:t>
            </w:r>
          </w:p>
        </w:tc>
        <w:tc>
          <w:tcPr>
            <w:tcW w:type="dxa" w:w="7541"/>
            <w:shd w:val="clear" w:color="auto" w:fill="DCE6F1"/>
          </w:tcPr>
          <w:p>
            <w:pPr>
              <w:spacing w:after="40" w:line="240" w:lineRule="auto"/>
            </w:pPr>
            <w:r/>
            <w:r>
              <w:rPr>
                <w:rFonts w:ascii="Cambria" w:hAnsi="Cambria" w:eastAsia="Cambria"/>
                <w:b w:val="0"/>
                <w:i w:val="0"/>
                <w:sz w:val="22"/>
              </w:rPr>
              <w:t>FQE Metric</w:t>
            </w:r>
          </w:p>
        </w:tc>
        <w:tc>
          <w:tcPr>
            <w:tcW w:type="dxa" w:w="1020"/>
            <w:shd w:val="clear" w:color="auto" w:fill="DCE6F1"/>
          </w:tcPr>
          <w:p>
            <w:pPr>
              <w:spacing w:after="40" w:line="240" w:lineRule="auto"/>
              <w:jc w:val="center"/>
            </w:pPr>
            <w:r/>
            <w:r>
              <w:rPr>
                <w:rFonts w:ascii="Cambria" w:hAnsi="Cambria" w:eastAsia="Cambria"/>
                <w:b w:val="0"/>
                <w:i w:val="0"/>
                <w:sz w:val="22"/>
              </w:rPr>
              <w:t>135</w:t>
            </w:r>
          </w:p>
        </w:tc>
      </w:tr>
      <w:tr>
        <w:tc>
          <w:tcPr>
            <w:tcW w:type="dxa" w:w="850"/>
          </w:tcPr>
          <w:p>
            <w:pPr>
              <w:spacing w:after="40" w:line="240" w:lineRule="auto"/>
              <w:jc w:val="center"/>
            </w:pPr>
            <w:r/>
            <w:r>
              <w:rPr>
                <w:rFonts w:ascii="Cambria" w:hAnsi="Cambria" w:eastAsia="Cambria"/>
                <w:b w:val="0"/>
                <w:i w:val="0"/>
                <w:sz w:val="22"/>
              </w:rPr>
              <w:t>49</w:t>
            </w:r>
          </w:p>
        </w:tc>
        <w:tc>
          <w:tcPr>
            <w:tcW w:type="dxa" w:w="7541"/>
          </w:tcPr>
          <w:p>
            <w:pPr>
              <w:spacing w:after="40" w:line="240" w:lineRule="auto"/>
            </w:pPr>
            <w:r/>
            <w:r>
              <w:rPr>
                <w:rFonts w:ascii="Cambria" w:hAnsi="Cambria" w:eastAsia="Cambria"/>
                <w:b w:val="0"/>
                <w:i w:val="0"/>
                <w:sz w:val="22"/>
              </w:rPr>
              <w:t>Publications in 1st Quartile JCR (JCRQ1)</w:t>
            </w:r>
          </w:p>
        </w:tc>
        <w:tc>
          <w:tcPr>
            <w:tcW w:type="dxa" w:w="1020"/>
          </w:tcPr>
          <w:p>
            <w:pPr>
              <w:spacing w:after="40" w:line="240" w:lineRule="auto"/>
              <w:jc w:val="center"/>
            </w:pPr>
            <w:r/>
            <w:r>
              <w:rPr>
                <w:rFonts w:ascii="Cambria" w:hAnsi="Cambria" w:eastAsia="Cambria"/>
                <w:b w:val="0"/>
                <w:i w:val="0"/>
                <w:sz w:val="22"/>
              </w:rPr>
              <w:t>136</w:t>
            </w:r>
          </w:p>
        </w:tc>
      </w:tr>
      <w:tr>
        <w:tc>
          <w:tcPr>
            <w:tcW w:type="dxa" w:w="850"/>
            <w:shd w:val="clear" w:color="auto" w:fill="DCE6F1"/>
          </w:tcPr>
          <w:p>
            <w:pPr>
              <w:spacing w:after="40" w:line="240" w:lineRule="auto"/>
              <w:jc w:val="center"/>
            </w:pPr>
            <w:r/>
            <w:r>
              <w:rPr>
                <w:rFonts w:ascii="Cambria" w:hAnsi="Cambria" w:eastAsia="Cambria"/>
                <w:b w:val="0"/>
                <w:i w:val="0"/>
                <w:sz w:val="22"/>
              </w:rPr>
              <w:t>50</w:t>
            </w:r>
          </w:p>
        </w:tc>
        <w:tc>
          <w:tcPr>
            <w:tcW w:type="dxa" w:w="7541"/>
            <w:shd w:val="clear" w:color="auto" w:fill="DCE6F1"/>
          </w:tcPr>
          <w:p>
            <w:pPr>
              <w:spacing w:after="40" w:line="240" w:lineRule="auto"/>
            </w:pPr>
            <w:r/>
            <w:r>
              <w:rPr>
                <w:rFonts w:ascii="Cambria" w:hAnsi="Cambria" w:eastAsia="Cambria"/>
                <w:b w:val="0"/>
                <w:i w:val="0"/>
                <w:sz w:val="22"/>
              </w:rPr>
              <w:t>Publications in Top 25% (TOP25)</w:t>
            </w:r>
          </w:p>
        </w:tc>
        <w:tc>
          <w:tcPr>
            <w:tcW w:type="dxa" w:w="1020"/>
            <w:shd w:val="clear" w:color="auto" w:fill="DCE6F1"/>
          </w:tcPr>
          <w:p>
            <w:pPr>
              <w:spacing w:after="40" w:line="240" w:lineRule="auto"/>
              <w:jc w:val="center"/>
            </w:pPr>
            <w:r/>
            <w:r>
              <w:rPr>
                <w:rFonts w:ascii="Cambria" w:hAnsi="Cambria" w:eastAsia="Cambria"/>
                <w:b w:val="0"/>
                <w:i w:val="0"/>
                <w:sz w:val="22"/>
              </w:rPr>
              <w:t>138</w:t>
            </w:r>
          </w:p>
        </w:tc>
      </w:tr>
      <w:tr>
        <w:tc>
          <w:tcPr>
            <w:tcW w:type="dxa" w:w="850"/>
          </w:tcPr>
          <w:p>
            <w:pPr>
              <w:spacing w:after="40" w:line="240" w:lineRule="auto"/>
              <w:jc w:val="center"/>
            </w:pPr>
            <w:r/>
            <w:r>
              <w:rPr>
                <w:rFonts w:ascii="Cambria" w:hAnsi="Cambria" w:eastAsia="Cambria"/>
                <w:b w:val="0"/>
                <w:i w:val="0"/>
                <w:sz w:val="22"/>
              </w:rPr>
              <w:t>51</w:t>
            </w:r>
          </w:p>
        </w:tc>
        <w:tc>
          <w:tcPr>
            <w:tcW w:type="dxa" w:w="7541"/>
          </w:tcPr>
          <w:p>
            <w:pPr>
              <w:spacing w:after="40" w:line="240" w:lineRule="auto"/>
            </w:pPr>
            <w:r/>
            <w:r>
              <w:rPr>
                <w:rFonts w:ascii="Cambria" w:hAnsi="Cambria" w:eastAsia="Cambria"/>
                <w:b w:val="0"/>
                <w:i w:val="0"/>
                <w:sz w:val="22"/>
              </w:rPr>
              <w:t>NIRF 2024 framework for Skill Universities</w:t>
            </w:r>
          </w:p>
        </w:tc>
        <w:tc>
          <w:tcPr>
            <w:tcW w:type="dxa" w:w="1020"/>
          </w:tcPr>
          <w:p>
            <w:pPr>
              <w:spacing w:after="40" w:line="240" w:lineRule="auto"/>
              <w:jc w:val="center"/>
            </w:pPr>
            <w:r/>
            <w:r>
              <w:rPr>
                <w:rFonts w:ascii="Cambria" w:hAnsi="Cambria" w:eastAsia="Cambria"/>
                <w:b w:val="0"/>
                <w:i w:val="0"/>
                <w:sz w:val="22"/>
              </w:rPr>
              <w:t>140</w:t>
            </w:r>
          </w:p>
        </w:tc>
      </w:tr>
      <w:tr>
        <w:tc>
          <w:tcPr>
            <w:tcW w:type="dxa" w:w="850"/>
            <w:shd w:val="clear" w:color="auto" w:fill="DCE6F1"/>
          </w:tcPr>
          <w:p>
            <w:pPr>
              <w:spacing w:after="40" w:line="240" w:lineRule="auto"/>
              <w:jc w:val="center"/>
            </w:pPr>
            <w:r/>
            <w:r>
              <w:rPr>
                <w:rFonts w:ascii="Cambria" w:hAnsi="Cambria" w:eastAsia="Cambria"/>
                <w:b w:val="0"/>
                <w:i w:val="0"/>
                <w:sz w:val="22"/>
              </w:rPr>
              <w:t>52</w:t>
            </w:r>
          </w:p>
        </w:tc>
        <w:tc>
          <w:tcPr>
            <w:tcW w:type="dxa" w:w="7541"/>
            <w:shd w:val="clear" w:color="auto" w:fill="DCE6F1"/>
          </w:tcPr>
          <w:p>
            <w:pPr>
              <w:spacing w:after="40" w:line="240" w:lineRule="auto"/>
            </w:pPr>
            <w:r/>
            <w:r>
              <w:rPr>
                <w:rFonts w:ascii="Cambria" w:hAnsi="Cambria" w:eastAsia="Cambria"/>
                <w:b w:val="0"/>
                <w:i w:val="0"/>
                <w:sz w:val="22"/>
              </w:rPr>
              <w:t>Metric for Vocational Certificate Courses (VCC)</w:t>
            </w:r>
          </w:p>
        </w:tc>
        <w:tc>
          <w:tcPr>
            <w:tcW w:type="dxa" w:w="1020"/>
            <w:shd w:val="clear" w:color="auto" w:fill="DCE6F1"/>
          </w:tcPr>
          <w:p>
            <w:pPr>
              <w:spacing w:after="40" w:line="240" w:lineRule="auto"/>
              <w:jc w:val="center"/>
            </w:pPr>
            <w:r/>
            <w:r>
              <w:rPr>
                <w:rFonts w:ascii="Cambria" w:hAnsi="Cambria" w:eastAsia="Cambria"/>
                <w:b w:val="0"/>
                <w:i w:val="0"/>
                <w:sz w:val="22"/>
              </w:rPr>
              <w:t>143</w:t>
            </w:r>
          </w:p>
        </w:tc>
      </w:tr>
      <w:tr>
        <w:tc>
          <w:tcPr>
            <w:tcW w:type="dxa" w:w="850"/>
          </w:tcPr>
          <w:p>
            <w:pPr>
              <w:spacing w:after="40" w:line="240" w:lineRule="auto"/>
              <w:jc w:val="center"/>
            </w:pPr>
            <w:r/>
            <w:r>
              <w:rPr>
                <w:rFonts w:ascii="Cambria" w:hAnsi="Cambria" w:eastAsia="Cambria"/>
                <w:b w:val="0"/>
                <w:i w:val="0"/>
                <w:sz w:val="22"/>
              </w:rPr>
              <w:t>53</w:t>
            </w:r>
          </w:p>
        </w:tc>
        <w:tc>
          <w:tcPr>
            <w:tcW w:type="dxa" w:w="7541"/>
          </w:tcPr>
          <w:p>
            <w:pPr>
              <w:spacing w:after="40" w:line="240" w:lineRule="auto"/>
            </w:pPr>
            <w:r/>
            <w:r>
              <w:rPr>
                <w:rFonts w:ascii="Cambria" w:hAnsi="Cambria" w:eastAsia="Cambria"/>
                <w:b w:val="0"/>
                <w:i w:val="0"/>
                <w:sz w:val="22"/>
              </w:rPr>
              <w:t>Combined Metric for Placement &amp; Entrepreneurship in Certificate Programs (PECP)</w:t>
            </w:r>
          </w:p>
        </w:tc>
        <w:tc>
          <w:tcPr>
            <w:tcW w:type="dxa" w:w="1020"/>
          </w:tcPr>
          <w:p>
            <w:pPr>
              <w:spacing w:after="40" w:line="240" w:lineRule="auto"/>
              <w:jc w:val="center"/>
            </w:pPr>
            <w:r/>
            <w:r>
              <w:rPr>
                <w:rFonts w:ascii="Cambria" w:hAnsi="Cambria" w:eastAsia="Cambria"/>
                <w:b w:val="0"/>
                <w:i w:val="0"/>
                <w:sz w:val="22"/>
              </w:rPr>
              <w:t>145</w:t>
            </w:r>
          </w:p>
        </w:tc>
      </w:tr>
      <w:tr>
        <w:tc>
          <w:tcPr>
            <w:tcW w:type="dxa" w:w="850"/>
            <w:shd w:val="clear" w:color="auto" w:fill="DCE6F1"/>
          </w:tcPr>
          <w:p>
            <w:pPr>
              <w:spacing w:after="40" w:line="240" w:lineRule="auto"/>
              <w:jc w:val="center"/>
            </w:pPr>
            <w:r/>
            <w:r>
              <w:rPr>
                <w:rFonts w:ascii="Cambria" w:hAnsi="Cambria" w:eastAsia="Cambria"/>
                <w:b w:val="0"/>
                <w:i w:val="0"/>
                <w:sz w:val="22"/>
              </w:rPr>
              <w:t>54</w:t>
            </w:r>
          </w:p>
        </w:tc>
        <w:tc>
          <w:tcPr>
            <w:tcW w:type="dxa" w:w="7541"/>
            <w:shd w:val="clear" w:color="auto" w:fill="DCE6F1"/>
          </w:tcPr>
          <w:p>
            <w:pPr>
              <w:spacing w:after="40" w:line="240" w:lineRule="auto"/>
            </w:pPr>
            <w:r/>
            <w:r>
              <w:rPr>
                <w:rFonts w:ascii="Cambria" w:hAnsi="Cambria" w:eastAsia="Cambria"/>
                <w:b w:val="0"/>
                <w:i w:val="0"/>
                <w:sz w:val="22"/>
              </w:rPr>
              <w:t>NIRF 2024 framework for Open Universities</w:t>
            </w:r>
          </w:p>
        </w:tc>
        <w:tc>
          <w:tcPr>
            <w:tcW w:type="dxa" w:w="1020"/>
            <w:shd w:val="clear" w:color="auto" w:fill="DCE6F1"/>
          </w:tcPr>
          <w:p>
            <w:pPr>
              <w:spacing w:after="40" w:line="240" w:lineRule="auto"/>
              <w:jc w:val="center"/>
            </w:pPr>
            <w:r/>
            <w:r>
              <w:rPr>
                <w:rFonts w:ascii="Cambria" w:hAnsi="Cambria" w:eastAsia="Cambria"/>
                <w:b w:val="0"/>
                <w:i w:val="0"/>
                <w:sz w:val="22"/>
              </w:rPr>
              <w:t>147</w:t>
            </w:r>
          </w:p>
        </w:tc>
      </w:tr>
      <w:tr>
        <w:tc>
          <w:tcPr>
            <w:tcW w:type="dxa" w:w="850"/>
          </w:tcPr>
          <w:p>
            <w:pPr>
              <w:spacing w:after="40" w:line="240" w:lineRule="auto"/>
              <w:jc w:val="center"/>
            </w:pPr>
            <w:r/>
            <w:r>
              <w:rPr>
                <w:rFonts w:ascii="Cambria" w:hAnsi="Cambria" w:eastAsia="Cambria"/>
                <w:b w:val="0"/>
                <w:i w:val="0"/>
                <w:sz w:val="22"/>
              </w:rPr>
              <w:t>55</w:t>
            </w:r>
          </w:p>
        </w:tc>
        <w:tc>
          <w:tcPr>
            <w:tcW w:type="dxa" w:w="7541"/>
          </w:tcPr>
          <w:p>
            <w:pPr>
              <w:spacing w:after="40" w:line="240" w:lineRule="auto"/>
            </w:pPr>
            <w:r/>
            <w:r>
              <w:rPr>
                <w:rFonts w:ascii="Cambria" w:hAnsi="Cambria" w:eastAsia="Cambria"/>
                <w:b w:val="0"/>
                <w:i w:val="0"/>
                <w:sz w:val="22"/>
              </w:rPr>
              <w:t>NIRF 2024 framework for Innovation Ranking</w:t>
            </w:r>
          </w:p>
        </w:tc>
        <w:tc>
          <w:tcPr>
            <w:tcW w:type="dxa" w:w="1020"/>
          </w:tcPr>
          <w:p>
            <w:pPr>
              <w:spacing w:after="40" w:line="240" w:lineRule="auto"/>
              <w:jc w:val="center"/>
            </w:pPr>
            <w:r/>
            <w:r>
              <w:rPr>
                <w:rFonts w:ascii="Cambria" w:hAnsi="Cambria" w:eastAsia="Cambria"/>
                <w:b w:val="0"/>
                <w:i w:val="0"/>
                <w:sz w:val="22"/>
              </w:rPr>
              <w:t>150</w:t>
            </w:r>
          </w:p>
        </w:tc>
      </w:tr>
      <w:tr>
        <w:tc>
          <w:tcPr>
            <w:tcW w:type="dxa" w:w="850"/>
            <w:shd w:val="clear" w:color="auto" w:fill="DCE6F1"/>
          </w:tcPr>
          <w:p>
            <w:pPr>
              <w:spacing w:after="40" w:line="240" w:lineRule="auto"/>
              <w:jc w:val="center"/>
            </w:pPr>
            <w:r/>
            <w:r>
              <w:rPr>
                <w:rFonts w:ascii="Cambria" w:hAnsi="Cambria" w:eastAsia="Cambria"/>
                <w:b w:val="0"/>
                <w:i w:val="0"/>
                <w:sz w:val="22"/>
              </w:rPr>
              <w:t>56</w:t>
            </w:r>
          </w:p>
        </w:tc>
        <w:tc>
          <w:tcPr>
            <w:tcW w:type="dxa" w:w="7541"/>
            <w:shd w:val="clear" w:color="auto" w:fill="DCE6F1"/>
          </w:tcPr>
          <w:p>
            <w:pPr>
              <w:spacing w:after="40" w:line="240" w:lineRule="auto"/>
            </w:pPr>
            <w:r/>
            <w:r>
              <w:rPr>
                <w:rFonts w:ascii="Cambria" w:hAnsi="Cambria" w:eastAsia="Cambria"/>
                <w:b w:val="0"/>
                <w:i w:val="0"/>
                <w:sz w:val="22"/>
              </w:rPr>
              <w:t>Registered on NISP Portal (NISP)</w:t>
            </w:r>
          </w:p>
        </w:tc>
        <w:tc>
          <w:tcPr>
            <w:tcW w:type="dxa" w:w="1020"/>
            <w:shd w:val="clear" w:color="auto" w:fill="DCE6F1"/>
          </w:tcPr>
          <w:p>
            <w:pPr>
              <w:spacing w:after="40" w:line="240" w:lineRule="auto"/>
              <w:jc w:val="center"/>
            </w:pPr>
            <w:r/>
            <w:r>
              <w:rPr>
                <w:rFonts w:ascii="Cambria" w:hAnsi="Cambria" w:eastAsia="Cambria"/>
                <w:b w:val="0"/>
                <w:i w:val="0"/>
                <w:sz w:val="22"/>
              </w:rPr>
              <w:t>153</w:t>
            </w:r>
          </w:p>
        </w:tc>
      </w:tr>
      <w:tr>
        <w:tc>
          <w:tcPr>
            <w:tcW w:type="dxa" w:w="850"/>
          </w:tcPr>
          <w:p>
            <w:pPr>
              <w:spacing w:after="40" w:line="240" w:lineRule="auto"/>
              <w:jc w:val="center"/>
            </w:pPr>
            <w:r/>
            <w:r>
              <w:rPr>
                <w:rFonts w:ascii="Cambria" w:hAnsi="Cambria" w:eastAsia="Cambria"/>
                <w:b w:val="0"/>
                <w:i w:val="0"/>
                <w:sz w:val="22"/>
              </w:rPr>
              <w:t>57</w:t>
            </w:r>
          </w:p>
        </w:tc>
        <w:tc>
          <w:tcPr>
            <w:tcW w:type="dxa" w:w="7541"/>
          </w:tcPr>
          <w:p>
            <w:pPr>
              <w:spacing w:after="40" w:line="240" w:lineRule="auto"/>
            </w:pPr>
            <w:r/>
            <w:r>
              <w:rPr>
                <w:rFonts w:ascii="Cambria" w:hAnsi="Cambria" w:eastAsia="Cambria"/>
                <w:b w:val="0"/>
                <w:i w:val="0"/>
                <w:sz w:val="22"/>
              </w:rPr>
              <w:t>Participation in KAPILA Portal (KAPILA)</w:t>
            </w:r>
          </w:p>
        </w:tc>
        <w:tc>
          <w:tcPr>
            <w:tcW w:type="dxa" w:w="1020"/>
          </w:tcPr>
          <w:p>
            <w:pPr>
              <w:spacing w:after="40" w:line="240" w:lineRule="auto"/>
              <w:jc w:val="center"/>
            </w:pPr>
            <w:r/>
            <w:r>
              <w:rPr>
                <w:rFonts w:ascii="Cambria" w:hAnsi="Cambria" w:eastAsia="Cambria"/>
                <w:b w:val="0"/>
                <w:i w:val="0"/>
                <w:sz w:val="22"/>
              </w:rPr>
              <w:t>155</w:t>
            </w:r>
          </w:p>
        </w:tc>
      </w:tr>
      <w:tr>
        <w:tc>
          <w:tcPr>
            <w:tcW w:type="dxa" w:w="850"/>
            <w:shd w:val="clear" w:color="auto" w:fill="DCE6F1"/>
          </w:tcPr>
          <w:p>
            <w:pPr>
              <w:spacing w:after="40" w:line="240" w:lineRule="auto"/>
              <w:jc w:val="center"/>
            </w:pPr>
            <w:r/>
            <w:r>
              <w:rPr>
                <w:rFonts w:ascii="Cambria" w:hAnsi="Cambria" w:eastAsia="Cambria"/>
                <w:b w:val="0"/>
                <w:i w:val="0"/>
                <w:sz w:val="22"/>
              </w:rPr>
              <w:t>58</w:t>
            </w:r>
          </w:p>
        </w:tc>
        <w:tc>
          <w:tcPr>
            <w:tcW w:type="dxa" w:w="7541"/>
            <w:shd w:val="clear" w:color="auto" w:fill="DCE6F1"/>
          </w:tcPr>
          <w:p>
            <w:pPr>
              <w:spacing w:after="40" w:line="240" w:lineRule="auto"/>
            </w:pPr>
            <w:r/>
            <w:r>
              <w:rPr>
                <w:rFonts w:ascii="Cambria" w:hAnsi="Cambria" w:eastAsia="Cambria"/>
                <w:b w:val="0"/>
                <w:i w:val="0"/>
                <w:sz w:val="22"/>
              </w:rPr>
              <w:t>Annual Performance of Institution's Innovation Councils (IICs)</w:t>
            </w:r>
          </w:p>
        </w:tc>
        <w:tc>
          <w:tcPr>
            <w:tcW w:type="dxa" w:w="1020"/>
            <w:shd w:val="clear" w:color="auto" w:fill="DCE6F1"/>
          </w:tcPr>
          <w:p>
            <w:pPr>
              <w:spacing w:after="40" w:line="240" w:lineRule="auto"/>
              <w:jc w:val="center"/>
            </w:pPr>
            <w:r/>
            <w:r>
              <w:rPr>
                <w:rFonts w:ascii="Cambria" w:hAnsi="Cambria" w:eastAsia="Cambria"/>
                <w:b w:val="0"/>
                <w:i w:val="0"/>
                <w:sz w:val="22"/>
              </w:rPr>
              <w:t>156</w:t>
            </w:r>
          </w:p>
        </w:tc>
      </w:tr>
      <w:tr>
        <w:tc>
          <w:tcPr>
            <w:tcW w:type="dxa" w:w="850"/>
          </w:tcPr>
          <w:p>
            <w:pPr>
              <w:spacing w:after="40" w:line="240" w:lineRule="auto"/>
              <w:jc w:val="center"/>
            </w:pPr>
            <w:r/>
            <w:r>
              <w:rPr>
                <w:rFonts w:ascii="Cambria" w:hAnsi="Cambria" w:eastAsia="Cambria"/>
                <w:b w:val="0"/>
                <w:i w:val="0"/>
                <w:sz w:val="22"/>
              </w:rPr>
              <w:t>59</w:t>
            </w:r>
          </w:p>
        </w:tc>
        <w:tc>
          <w:tcPr>
            <w:tcW w:type="dxa" w:w="7541"/>
          </w:tcPr>
          <w:p>
            <w:pPr>
              <w:spacing w:after="40" w:line="240" w:lineRule="auto"/>
            </w:pPr>
            <w:r/>
            <w:r>
              <w:rPr>
                <w:rFonts w:ascii="Cambria" w:hAnsi="Cambria" w:eastAsia="Cambria"/>
                <w:b w:val="0"/>
                <w:i w:val="0"/>
                <w:sz w:val="22"/>
              </w:rPr>
              <w:t>Credit Courses in Innovation (CCI)</w:t>
            </w:r>
          </w:p>
        </w:tc>
        <w:tc>
          <w:tcPr>
            <w:tcW w:type="dxa" w:w="1020"/>
          </w:tcPr>
          <w:p>
            <w:pPr>
              <w:spacing w:after="40" w:line="240" w:lineRule="auto"/>
              <w:jc w:val="center"/>
            </w:pPr>
            <w:r/>
            <w:r>
              <w:rPr>
                <w:rFonts w:ascii="Cambria" w:hAnsi="Cambria" w:eastAsia="Cambria"/>
                <w:b w:val="0"/>
                <w:i w:val="0"/>
                <w:sz w:val="22"/>
              </w:rPr>
              <w:t>157</w:t>
            </w:r>
          </w:p>
        </w:tc>
      </w:tr>
      <w:tr>
        <w:tc>
          <w:tcPr>
            <w:tcW w:type="dxa" w:w="850"/>
            <w:shd w:val="clear" w:color="auto" w:fill="DCE6F1"/>
          </w:tcPr>
          <w:p>
            <w:pPr>
              <w:spacing w:after="40" w:line="240" w:lineRule="auto"/>
              <w:jc w:val="center"/>
            </w:pPr>
            <w:r/>
            <w:r>
              <w:rPr>
                <w:rFonts w:ascii="Cambria" w:hAnsi="Cambria" w:eastAsia="Cambria"/>
                <w:b w:val="0"/>
                <w:i w:val="0"/>
                <w:sz w:val="22"/>
              </w:rPr>
              <w:t>60</w:t>
            </w:r>
          </w:p>
        </w:tc>
        <w:tc>
          <w:tcPr>
            <w:tcW w:type="dxa" w:w="7541"/>
            <w:shd w:val="clear" w:color="auto" w:fill="DCE6F1"/>
          </w:tcPr>
          <w:p>
            <w:pPr>
              <w:spacing w:after="40" w:line="240" w:lineRule="auto"/>
            </w:pPr>
            <w:r/>
            <w:r>
              <w:rPr>
                <w:rFonts w:ascii="Cambria" w:hAnsi="Cambria" w:eastAsia="Cambria"/>
                <w:b w:val="0"/>
                <w:i w:val="0"/>
                <w:sz w:val="22"/>
              </w:rPr>
              <w:t>Faculty Development Programs in Innovation (FDP)</w:t>
            </w:r>
          </w:p>
        </w:tc>
        <w:tc>
          <w:tcPr>
            <w:tcW w:type="dxa" w:w="1020"/>
            <w:shd w:val="clear" w:color="auto" w:fill="DCE6F1"/>
          </w:tcPr>
          <w:p>
            <w:pPr>
              <w:spacing w:after="40" w:line="240" w:lineRule="auto"/>
              <w:jc w:val="center"/>
            </w:pPr>
            <w:r/>
            <w:r>
              <w:rPr>
                <w:rFonts w:ascii="Cambria" w:hAnsi="Cambria" w:eastAsia="Cambria"/>
                <w:b w:val="0"/>
                <w:i w:val="0"/>
                <w:sz w:val="22"/>
              </w:rPr>
              <w:t>158</w:t>
            </w:r>
          </w:p>
        </w:tc>
      </w:tr>
      <w:tr>
        <w:tc>
          <w:tcPr>
            <w:tcW w:type="dxa" w:w="850"/>
          </w:tcPr>
          <w:p>
            <w:pPr>
              <w:spacing w:after="40" w:line="240" w:lineRule="auto"/>
              <w:jc w:val="center"/>
            </w:pPr>
            <w:r/>
            <w:r>
              <w:rPr>
                <w:rFonts w:ascii="Cambria" w:hAnsi="Cambria" w:eastAsia="Cambria"/>
                <w:b w:val="0"/>
                <w:i w:val="0"/>
                <w:sz w:val="22"/>
              </w:rPr>
              <w:t>61</w:t>
            </w:r>
          </w:p>
        </w:tc>
        <w:tc>
          <w:tcPr>
            <w:tcW w:type="dxa" w:w="7541"/>
          </w:tcPr>
          <w:p>
            <w:pPr>
              <w:spacing w:after="40" w:line="240" w:lineRule="auto"/>
            </w:pPr>
            <w:r/>
            <w:r>
              <w:rPr>
                <w:rFonts w:ascii="Cambria" w:hAnsi="Cambria" w:eastAsia="Cambria"/>
                <w:b w:val="0"/>
                <w:i w:val="0"/>
                <w:sz w:val="22"/>
              </w:rPr>
              <w:t>Pre-Incubation (PI)</w:t>
            </w:r>
          </w:p>
        </w:tc>
        <w:tc>
          <w:tcPr>
            <w:tcW w:type="dxa" w:w="1020"/>
          </w:tcPr>
          <w:p>
            <w:pPr>
              <w:spacing w:after="40" w:line="240" w:lineRule="auto"/>
              <w:jc w:val="center"/>
            </w:pPr>
            <w:r/>
            <w:r>
              <w:rPr>
                <w:rFonts w:ascii="Cambria" w:hAnsi="Cambria" w:eastAsia="Cambria"/>
                <w:b w:val="0"/>
                <w:i w:val="0"/>
                <w:sz w:val="22"/>
              </w:rPr>
              <w:t>159</w:t>
            </w:r>
          </w:p>
        </w:tc>
      </w:tr>
      <w:tr>
        <w:tc>
          <w:tcPr>
            <w:tcW w:type="dxa" w:w="850"/>
            <w:shd w:val="clear" w:color="auto" w:fill="DCE6F1"/>
          </w:tcPr>
          <w:p>
            <w:pPr>
              <w:spacing w:after="40" w:line="240" w:lineRule="auto"/>
              <w:jc w:val="center"/>
            </w:pPr>
            <w:r/>
            <w:r>
              <w:rPr>
                <w:rFonts w:ascii="Cambria" w:hAnsi="Cambria" w:eastAsia="Cambria"/>
                <w:b w:val="0"/>
                <w:i w:val="0"/>
                <w:sz w:val="22"/>
              </w:rPr>
              <w:t>62</w:t>
            </w:r>
          </w:p>
        </w:tc>
        <w:tc>
          <w:tcPr>
            <w:tcW w:type="dxa" w:w="7541"/>
            <w:shd w:val="clear" w:color="auto" w:fill="DCE6F1"/>
          </w:tcPr>
          <w:p>
            <w:pPr>
              <w:spacing w:after="40" w:line="240" w:lineRule="auto"/>
            </w:pPr>
            <w:r/>
            <w:r>
              <w:rPr>
                <w:rFonts w:ascii="Cambria" w:hAnsi="Cambria" w:eastAsia="Cambria"/>
                <w:b w:val="0"/>
                <w:i w:val="0"/>
                <w:sz w:val="22"/>
              </w:rPr>
              <w:t>Incubation (IIE)</w:t>
            </w:r>
          </w:p>
        </w:tc>
        <w:tc>
          <w:tcPr>
            <w:tcW w:type="dxa" w:w="1020"/>
            <w:shd w:val="clear" w:color="auto" w:fill="DCE6F1"/>
          </w:tcPr>
          <w:p>
            <w:pPr>
              <w:spacing w:after="40" w:line="240" w:lineRule="auto"/>
              <w:jc w:val="center"/>
            </w:pPr>
            <w:r/>
            <w:r>
              <w:rPr>
                <w:rFonts w:ascii="Cambria" w:hAnsi="Cambria" w:eastAsia="Cambria"/>
                <w:b w:val="0"/>
                <w:i w:val="0"/>
                <w:sz w:val="22"/>
              </w:rPr>
              <w:t>161</w:t>
            </w:r>
          </w:p>
        </w:tc>
      </w:tr>
      <w:tr>
        <w:tc>
          <w:tcPr>
            <w:tcW w:type="dxa" w:w="850"/>
          </w:tcPr>
          <w:p>
            <w:pPr>
              <w:spacing w:after="40" w:line="240" w:lineRule="auto"/>
              <w:jc w:val="center"/>
            </w:pPr>
            <w:r/>
            <w:r>
              <w:rPr>
                <w:rFonts w:ascii="Cambria" w:hAnsi="Cambria" w:eastAsia="Cambria"/>
                <w:b w:val="0"/>
                <w:i w:val="0"/>
                <w:sz w:val="22"/>
              </w:rPr>
              <w:t>63</w:t>
            </w:r>
          </w:p>
        </w:tc>
        <w:tc>
          <w:tcPr>
            <w:tcW w:type="dxa" w:w="7541"/>
          </w:tcPr>
          <w:p>
            <w:pPr>
              <w:spacing w:after="40" w:line="240" w:lineRule="auto"/>
            </w:pPr>
            <w:r/>
            <w:r>
              <w:rPr>
                <w:rFonts w:ascii="Cambria" w:hAnsi="Cambria" w:eastAsia="Cambria"/>
                <w:b w:val="0"/>
                <w:i w:val="0"/>
                <w:sz w:val="22"/>
              </w:rPr>
              <w:t>Patent Commercialization &amp; Technology Transfer</w:t>
            </w:r>
          </w:p>
        </w:tc>
        <w:tc>
          <w:tcPr>
            <w:tcW w:type="dxa" w:w="1020"/>
          </w:tcPr>
          <w:p>
            <w:pPr>
              <w:spacing w:after="40" w:line="240" w:lineRule="auto"/>
              <w:jc w:val="center"/>
            </w:pPr>
            <w:r/>
            <w:r>
              <w:rPr>
                <w:rFonts w:ascii="Cambria" w:hAnsi="Cambria" w:eastAsia="Cambria"/>
                <w:b w:val="0"/>
                <w:i w:val="0"/>
                <w:sz w:val="22"/>
              </w:rPr>
              <w:t>163</w:t>
            </w:r>
          </w:p>
        </w:tc>
      </w:tr>
      <w:tr>
        <w:tc>
          <w:tcPr>
            <w:tcW w:type="dxa" w:w="850"/>
            <w:shd w:val="clear" w:color="auto" w:fill="DCE6F1"/>
          </w:tcPr>
          <w:p>
            <w:pPr>
              <w:spacing w:after="40" w:line="240" w:lineRule="auto"/>
              <w:jc w:val="center"/>
            </w:pPr>
            <w:r/>
            <w:r>
              <w:rPr>
                <w:rFonts w:ascii="Cambria" w:hAnsi="Cambria" w:eastAsia="Cambria"/>
                <w:b w:val="0"/>
                <w:i w:val="0"/>
                <w:sz w:val="22"/>
              </w:rPr>
              <w:t>64</w:t>
            </w:r>
          </w:p>
        </w:tc>
        <w:tc>
          <w:tcPr>
            <w:tcW w:type="dxa" w:w="7541"/>
            <w:shd w:val="clear" w:color="auto" w:fill="DCE6F1"/>
          </w:tcPr>
          <w:p>
            <w:pPr>
              <w:spacing w:after="40" w:line="240" w:lineRule="auto"/>
            </w:pPr>
            <w:r/>
            <w:r>
              <w:rPr>
                <w:rFonts w:ascii="Cambria" w:hAnsi="Cambria" w:eastAsia="Cambria"/>
                <w:b w:val="0"/>
                <w:i w:val="0"/>
                <w:sz w:val="22"/>
              </w:rPr>
              <w:t>IPR &amp; Patents (IPR)</w:t>
            </w:r>
          </w:p>
        </w:tc>
        <w:tc>
          <w:tcPr>
            <w:tcW w:type="dxa" w:w="1020"/>
            <w:shd w:val="clear" w:color="auto" w:fill="DCE6F1"/>
          </w:tcPr>
          <w:p>
            <w:pPr>
              <w:spacing w:after="40" w:line="240" w:lineRule="auto"/>
              <w:jc w:val="center"/>
            </w:pPr>
            <w:r/>
            <w:r>
              <w:rPr>
                <w:rFonts w:ascii="Cambria" w:hAnsi="Cambria" w:eastAsia="Cambria"/>
                <w:b w:val="0"/>
                <w:i w:val="0"/>
                <w:sz w:val="22"/>
              </w:rPr>
              <w:t>165</w:t>
            </w:r>
          </w:p>
        </w:tc>
      </w:tr>
      <w:tr>
        <w:tc>
          <w:tcPr>
            <w:tcW w:type="dxa" w:w="850"/>
          </w:tcPr>
          <w:p>
            <w:pPr>
              <w:spacing w:after="40" w:line="240" w:lineRule="auto"/>
              <w:jc w:val="center"/>
            </w:pPr>
            <w:r/>
            <w:r>
              <w:rPr>
                <w:rFonts w:ascii="Cambria" w:hAnsi="Cambria" w:eastAsia="Cambria"/>
                <w:b w:val="0"/>
                <w:i w:val="0"/>
                <w:sz w:val="22"/>
              </w:rPr>
              <w:t>65</w:t>
            </w:r>
          </w:p>
        </w:tc>
        <w:tc>
          <w:tcPr>
            <w:tcW w:type="dxa" w:w="7541"/>
          </w:tcPr>
          <w:p>
            <w:pPr>
              <w:spacing w:after="40" w:line="240" w:lineRule="auto"/>
            </w:pPr>
            <w:r/>
            <w:r>
              <w:rPr>
                <w:rFonts w:ascii="Cambria" w:hAnsi="Cambria" w:eastAsia="Cambria"/>
                <w:b w:val="0"/>
                <w:i w:val="0"/>
                <w:sz w:val="22"/>
              </w:rPr>
              <w:t>Publications in SCI Journals (PU)</w:t>
            </w:r>
          </w:p>
        </w:tc>
        <w:tc>
          <w:tcPr>
            <w:tcW w:type="dxa" w:w="1020"/>
          </w:tcPr>
          <w:p>
            <w:pPr>
              <w:spacing w:after="40" w:line="240" w:lineRule="auto"/>
              <w:jc w:val="center"/>
            </w:pPr>
            <w:r/>
            <w:r>
              <w:rPr>
                <w:rFonts w:ascii="Cambria" w:hAnsi="Cambria" w:eastAsia="Cambria"/>
                <w:b w:val="0"/>
                <w:i w:val="0"/>
                <w:sz w:val="22"/>
              </w:rPr>
              <w:t>166</w:t>
            </w:r>
          </w:p>
        </w:tc>
      </w:tr>
      <w:tr>
        <w:tc>
          <w:tcPr>
            <w:tcW w:type="dxa" w:w="850"/>
            <w:shd w:val="clear" w:color="auto" w:fill="DCE6F1"/>
          </w:tcPr>
          <w:p>
            <w:pPr>
              <w:spacing w:after="40" w:line="240" w:lineRule="auto"/>
              <w:jc w:val="center"/>
            </w:pPr>
            <w:r/>
            <w:r>
              <w:rPr>
                <w:rFonts w:ascii="Cambria" w:hAnsi="Cambria" w:eastAsia="Cambria"/>
                <w:b w:val="0"/>
                <w:i w:val="0"/>
                <w:sz w:val="22"/>
              </w:rPr>
              <w:t>66</w:t>
            </w:r>
          </w:p>
        </w:tc>
        <w:tc>
          <w:tcPr>
            <w:tcW w:type="dxa" w:w="7541"/>
            <w:shd w:val="clear" w:color="auto" w:fill="DCE6F1"/>
          </w:tcPr>
          <w:p>
            <w:pPr>
              <w:spacing w:after="40" w:line="240" w:lineRule="auto"/>
            </w:pPr>
            <w:r/>
            <w:r>
              <w:rPr>
                <w:rFonts w:ascii="Cambria" w:hAnsi="Cambria" w:eastAsia="Cambria"/>
                <w:b w:val="0"/>
                <w:i w:val="0"/>
                <w:sz w:val="22"/>
              </w:rPr>
              <w:t>Quality of Publications (CI)</w:t>
            </w:r>
          </w:p>
        </w:tc>
        <w:tc>
          <w:tcPr>
            <w:tcW w:type="dxa" w:w="1020"/>
            <w:shd w:val="clear" w:color="auto" w:fill="DCE6F1"/>
          </w:tcPr>
          <w:p>
            <w:pPr>
              <w:spacing w:after="40" w:line="240" w:lineRule="auto"/>
              <w:jc w:val="center"/>
            </w:pPr>
            <w:r/>
            <w:r>
              <w:rPr>
                <w:rFonts w:ascii="Cambria" w:hAnsi="Cambria" w:eastAsia="Cambria"/>
                <w:b w:val="0"/>
                <w:i w:val="0"/>
                <w:sz w:val="22"/>
              </w:rPr>
              <w:t>168</w:t>
            </w:r>
          </w:p>
        </w:tc>
      </w:tr>
      <w:tr>
        <w:tc>
          <w:tcPr>
            <w:tcW w:type="dxa" w:w="850"/>
          </w:tcPr>
          <w:p>
            <w:pPr>
              <w:spacing w:after="40" w:line="240" w:lineRule="auto"/>
              <w:jc w:val="center"/>
            </w:pPr>
            <w:r/>
            <w:r>
              <w:rPr>
                <w:rFonts w:ascii="Cambria" w:hAnsi="Cambria" w:eastAsia="Cambria"/>
                <w:b w:val="0"/>
                <w:i w:val="0"/>
                <w:sz w:val="22"/>
              </w:rPr>
              <w:t>67</w:t>
            </w:r>
          </w:p>
        </w:tc>
        <w:tc>
          <w:tcPr>
            <w:tcW w:type="dxa" w:w="7541"/>
          </w:tcPr>
          <w:p>
            <w:pPr>
              <w:spacing w:after="40" w:line="240" w:lineRule="auto"/>
            </w:pPr>
            <w:r/>
            <w:r>
              <w:rPr>
                <w:rFonts w:ascii="Cambria" w:hAnsi="Cambria" w:eastAsia="Cambria"/>
                <w:b w:val="0"/>
                <w:i w:val="0"/>
                <w:sz w:val="22"/>
              </w:rPr>
              <w:t>Ventures/Startups recognized by DPIIT/Startup India (SU)</w:t>
            </w:r>
          </w:p>
        </w:tc>
        <w:tc>
          <w:tcPr>
            <w:tcW w:type="dxa" w:w="1020"/>
          </w:tcPr>
          <w:p>
            <w:pPr>
              <w:spacing w:after="40" w:line="240" w:lineRule="auto"/>
              <w:jc w:val="center"/>
            </w:pPr>
            <w:r/>
            <w:r>
              <w:rPr>
                <w:rFonts w:ascii="Cambria" w:hAnsi="Cambria" w:eastAsia="Cambria"/>
                <w:b w:val="0"/>
                <w:i w:val="0"/>
                <w:sz w:val="22"/>
              </w:rPr>
              <w:t>170</w:t>
            </w:r>
          </w:p>
        </w:tc>
      </w:tr>
      <w:tr>
        <w:tc>
          <w:tcPr>
            <w:tcW w:type="dxa" w:w="850"/>
            <w:shd w:val="clear" w:color="auto" w:fill="DCE6F1"/>
          </w:tcPr>
          <w:p>
            <w:pPr>
              <w:spacing w:after="40" w:line="240" w:lineRule="auto"/>
              <w:jc w:val="center"/>
            </w:pPr>
            <w:r/>
            <w:r>
              <w:rPr>
                <w:rFonts w:ascii="Cambria" w:hAnsi="Cambria" w:eastAsia="Cambria"/>
                <w:b w:val="0"/>
                <w:i w:val="0"/>
                <w:sz w:val="22"/>
              </w:rPr>
              <w:t>68</w:t>
            </w:r>
          </w:p>
        </w:tc>
        <w:tc>
          <w:tcPr>
            <w:tcW w:type="dxa" w:w="7541"/>
            <w:shd w:val="clear" w:color="auto" w:fill="DCE6F1"/>
          </w:tcPr>
          <w:p>
            <w:pPr>
              <w:spacing w:after="40" w:line="240" w:lineRule="auto"/>
            </w:pPr>
            <w:r/>
            <w:r>
              <w:rPr>
                <w:rFonts w:ascii="Cambria" w:hAnsi="Cambria" w:eastAsia="Cambria"/>
                <w:b w:val="0"/>
                <w:i w:val="0"/>
                <w:sz w:val="22"/>
              </w:rPr>
              <w:t>Ventures/Startups receiving VC Investment (VCI)</w:t>
            </w:r>
          </w:p>
        </w:tc>
        <w:tc>
          <w:tcPr>
            <w:tcW w:type="dxa" w:w="1020"/>
            <w:shd w:val="clear" w:color="auto" w:fill="DCE6F1"/>
          </w:tcPr>
          <w:p>
            <w:pPr>
              <w:spacing w:after="40" w:line="240" w:lineRule="auto"/>
              <w:jc w:val="center"/>
            </w:pPr>
            <w:r/>
            <w:r>
              <w:rPr>
                <w:rFonts w:ascii="Cambria" w:hAnsi="Cambria" w:eastAsia="Cambria"/>
                <w:b w:val="0"/>
                <w:i w:val="0"/>
                <w:sz w:val="22"/>
              </w:rPr>
              <w:t>171</w:t>
            </w:r>
          </w:p>
        </w:tc>
      </w:tr>
      <w:tr>
        <w:tc>
          <w:tcPr>
            <w:tcW w:type="dxa" w:w="850"/>
          </w:tcPr>
          <w:p>
            <w:pPr>
              <w:spacing w:after="40" w:line="240" w:lineRule="auto"/>
              <w:jc w:val="center"/>
            </w:pPr>
            <w:r/>
            <w:r>
              <w:rPr>
                <w:rFonts w:ascii="Cambria" w:hAnsi="Cambria" w:eastAsia="Cambria"/>
                <w:b w:val="0"/>
                <w:i w:val="0"/>
                <w:sz w:val="22"/>
              </w:rPr>
              <w:t>69</w:t>
            </w:r>
          </w:p>
        </w:tc>
        <w:tc>
          <w:tcPr>
            <w:tcW w:type="dxa" w:w="7541"/>
          </w:tcPr>
          <w:p>
            <w:pPr>
              <w:spacing w:after="40" w:line="240" w:lineRule="auto"/>
            </w:pPr>
            <w:r/>
            <w:r>
              <w:rPr>
                <w:rFonts w:ascii="Cambria" w:hAnsi="Cambria" w:eastAsia="Cambria"/>
                <w:b w:val="0"/>
                <w:i w:val="0"/>
                <w:sz w:val="22"/>
              </w:rPr>
              <w:t>FDI Investment in Ventures/Startups (FDII)</w:t>
            </w:r>
          </w:p>
        </w:tc>
        <w:tc>
          <w:tcPr>
            <w:tcW w:type="dxa" w:w="1020"/>
          </w:tcPr>
          <w:p>
            <w:pPr>
              <w:spacing w:after="40" w:line="240" w:lineRule="auto"/>
              <w:jc w:val="center"/>
            </w:pPr>
            <w:r/>
            <w:r>
              <w:rPr>
                <w:rFonts w:ascii="Cambria" w:hAnsi="Cambria" w:eastAsia="Cambria"/>
                <w:b w:val="0"/>
                <w:i w:val="0"/>
                <w:sz w:val="22"/>
              </w:rPr>
              <w:t>172</w:t>
            </w:r>
          </w:p>
        </w:tc>
      </w:tr>
      <w:tr>
        <w:tc>
          <w:tcPr>
            <w:tcW w:type="dxa" w:w="850"/>
            <w:shd w:val="clear" w:color="auto" w:fill="DCE6F1"/>
          </w:tcPr>
          <w:p>
            <w:pPr>
              <w:spacing w:after="40" w:line="240" w:lineRule="auto"/>
              <w:jc w:val="center"/>
            </w:pPr>
            <w:r/>
            <w:r>
              <w:rPr>
                <w:rFonts w:ascii="Cambria" w:hAnsi="Cambria" w:eastAsia="Cambria"/>
                <w:b w:val="0"/>
                <w:i w:val="0"/>
                <w:sz w:val="22"/>
              </w:rPr>
              <w:t>70</w:t>
            </w:r>
          </w:p>
        </w:tc>
        <w:tc>
          <w:tcPr>
            <w:tcW w:type="dxa" w:w="7541"/>
            <w:shd w:val="clear" w:color="auto" w:fill="DCE6F1"/>
          </w:tcPr>
          <w:p>
            <w:pPr>
              <w:spacing w:after="40" w:line="240" w:lineRule="auto"/>
            </w:pPr>
            <w:r/>
            <w:r>
              <w:rPr>
                <w:rFonts w:ascii="Cambria" w:hAnsi="Cambria" w:eastAsia="Cambria"/>
                <w:b w:val="0"/>
                <w:i w:val="0"/>
                <w:sz w:val="22"/>
              </w:rPr>
              <w:t>Innovation Grants from Government (IG)</w:t>
            </w:r>
          </w:p>
        </w:tc>
        <w:tc>
          <w:tcPr>
            <w:tcW w:type="dxa" w:w="1020"/>
            <w:shd w:val="clear" w:color="auto" w:fill="DCE6F1"/>
          </w:tcPr>
          <w:p>
            <w:pPr>
              <w:spacing w:after="40" w:line="240" w:lineRule="auto"/>
              <w:jc w:val="center"/>
            </w:pPr>
            <w:r/>
            <w:r>
              <w:rPr>
                <w:rFonts w:ascii="Cambria" w:hAnsi="Cambria" w:eastAsia="Cambria"/>
                <w:b w:val="0"/>
                <w:i w:val="0"/>
                <w:sz w:val="22"/>
              </w:rPr>
              <w:t>173</w:t>
            </w:r>
          </w:p>
        </w:tc>
      </w:tr>
      <w:tr>
        <w:tc>
          <w:tcPr>
            <w:tcW w:type="dxa" w:w="850"/>
          </w:tcPr>
          <w:p>
            <w:pPr>
              <w:spacing w:after="40" w:line="240" w:lineRule="auto"/>
              <w:jc w:val="center"/>
            </w:pPr>
            <w:r/>
            <w:r>
              <w:rPr>
                <w:rFonts w:ascii="Cambria" w:hAnsi="Cambria" w:eastAsia="Cambria"/>
                <w:b w:val="0"/>
                <w:i w:val="0"/>
                <w:sz w:val="22"/>
              </w:rPr>
              <w:t>71</w:t>
            </w:r>
          </w:p>
        </w:tc>
        <w:tc>
          <w:tcPr>
            <w:tcW w:type="dxa" w:w="7541"/>
          </w:tcPr>
          <w:p>
            <w:pPr>
              <w:spacing w:after="40" w:line="240" w:lineRule="auto"/>
            </w:pPr>
            <w:r/>
            <w:r>
              <w:rPr>
                <w:rFonts w:ascii="Cambria" w:hAnsi="Cambria" w:eastAsia="Cambria"/>
                <w:b w:val="0"/>
                <w:i w:val="0"/>
                <w:sz w:val="22"/>
              </w:rPr>
              <w:t>Innovations at various Technology Readiness Levels (ITRL)</w:t>
            </w:r>
          </w:p>
        </w:tc>
        <w:tc>
          <w:tcPr>
            <w:tcW w:type="dxa" w:w="1020"/>
          </w:tcPr>
          <w:p>
            <w:pPr>
              <w:spacing w:after="40" w:line="240" w:lineRule="auto"/>
              <w:jc w:val="center"/>
            </w:pPr>
            <w:r/>
            <w:r>
              <w:rPr>
                <w:rFonts w:ascii="Cambria" w:hAnsi="Cambria" w:eastAsia="Cambria"/>
                <w:b w:val="0"/>
                <w:i w:val="0"/>
                <w:sz w:val="22"/>
              </w:rPr>
              <w:t>175</w:t>
            </w:r>
          </w:p>
        </w:tc>
      </w:tr>
      <w:tr>
        <w:tc>
          <w:tcPr>
            <w:tcW w:type="dxa" w:w="850"/>
            <w:shd w:val="clear" w:color="auto" w:fill="DCE6F1"/>
          </w:tcPr>
          <w:p>
            <w:pPr>
              <w:spacing w:after="40" w:line="240" w:lineRule="auto"/>
              <w:jc w:val="center"/>
            </w:pPr>
            <w:r/>
            <w:r>
              <w:rPr>
                <w:rFonts w:ascii="Cambria" w:hAnsi="Cambria" w:eastAsia="Cambria"/>
                <w:b w:val="0"/>
                <w:i w:val="0"/>
                <w:sz w:val="22"/>
              </w:rPr>
              <w:t>72</w:t>
            </w:r>
          </w:p>
        </w:tc>
        <w:tc>
          <w:tcPr>
            <w:tcW w:type="dxa" w:w="7541"/>
            <w:shd w:val="clear" w:color="auto" w:fill="DCE6F1"/>
          </w:tcPr>
          <w:p>
            <w:pPr>
              <w:spacing w:after="40" w:line="240" w:lineRule="auto"/>
            </w:pPr>
            <w:r/>
            <w:r>
              <w:rPr>
                <w:rFonts w:ascii="Cambria" w:hAnsi="Cambria" w:eastAsia="Cambria"/>
                <w:b w:val="0"/>
                <w:i w:val="0"/>
                <w:sz w:val="22"/>
              </w:rPr>
              <w:t>Ventures/Startups with Turnover ≥ ₹50 lakhs (NVS)</w:t>
            </w:r>
          </w:p>
        </w:tc>
        <w:tc>
          <w:tcPr>
            <w:tcW w:type="dxa" w:w="1020"/>
            <w:shd w:val="clear" w:color="auto" w:fill="DCE6F1"/>
          </w:tcPr>
          <w:p>
            <w:pPr>
              <w:spacing w:after="40" w:line="240" w:lineRule="auto"/>
              <w:jc w:val="center"/>
            </w:pPr>
            <w:r/>
            <w:r>
              <w:rPr>
                <w:rFonts w:ascii="Cambria" w:hAnsi="Cambria" w:eastAsia="Cambria"/>
                <w:b w:val="0"/>
                <w:i w:val="0"/>
                <w:sz w:val="22"/>
              </w:rPr>
              <w:t>177</w:t>
            </w:r>
          </w:p>
        </w:tc>
      </w:tr>
      <w:tr>
        <w:tc>
          <w:tcPr>
            <w:tcW w:type="dxa" w:w="850"/>
          </w:tcPr>
          <w:p>
            <w:pPr>
              <w:spacing w:after="40" w:line="240" w:lineRule="auto"/>
              <w:jc w:val="center"/>
            </w:pPr>
            <w:r/>
            <w:r>
              <w:rPr>
                <w:rFonts w:ascii="Cambria" w:hAnsi="Cambria" w:eastAsia="Cambria"/>
                <w:b w:val="0"/>
                <w:i w:val="0"/>
                <w:sz w:val="22"/>
              </w:rPr>
              <w:t>73</w:t>
            </w:r>
          </w:p>
        </w:tc>
        <w:tc>
          <w:tcPr>
            <w:tcW w:type="dxa" w:w="7541"/>
          </w:tcPr>
          <w:p>
            <w:pPr>
              <w:spacing w:after="40" w:line="240" w:lineRule="auto"/>
            </w:pPr>
            <w:r/>
            <w:r>
              <w:rPr>
                <w:rFonts w:ascii="Cambria" w:hAnsi="Cambria" w:eastAsia="Cambria"/>
                <w:b w:val="0"/>
                <w:i w:val="0"/>
                <w:sz w:val="22"/>
              </w:rPr>
              <w:t>Alumni Founders of Forbes/Fortune 500 Companies (AFF)</w:t>
            </w:r>
          </w:p>
        </w:tc>
        <w:tc>
          <w:tcPr>
            <w:tcW w:type="dxa" w:w="1020"/>
          </w:tcPr>
          <w:p>
            <w:pPr>
              <w:spacing w:after="40" w:line="240" w:lineRule="auto"/>
              <w:jc w:val="center"/>
            </w:pPr>
            <w:r/>
            <w:r>
              <w:rPr>
                <w:rFonts w:ascii="Cambria" w:hAnsi="Cambria" w:eastAsia="Cambria"/>
                <w:b w:val="0"/>
                <w:i w:val="0"/>
                <w:sz w:val="22"/>
              </w:rPr>
              <w:t>178</w:t>
            </w:r>
          </w:p>
        </w:tc>
      </w:tr>
      <w:tr>
        <w:tc>
          <w:tcPr>
            <w:tcW w:type="dxa" w:w="850"/>
            <w:shd w:val="clear" w:color="auto" w:fill="DCE6F1"/>
          </w:tcPr>
          <w:p>
            <w:pPr>
              <w:spacing w:after="40" w:line="240" w:lineRule="auto"/>
              <w:jc w:val="center"/>
            </w:pPr>
            <w:r/>
            <w:r>
              <w:rPr>
                <w:rFonts w:ascii="Cambria" w:hAnsi="Cambria" w:eastAsia="Cambria"/>
                <w:b w:val="0"/>
                <w:i w:val="0"/>
                <w:sz w:val="22"/>
              </w:rPr>
              <w:t>74</w:t>
            </w:r>
          </w:p>
        </w:tc>
        <w:tc>
          <w:tcPr>
            <w:tcW w:type="dxa" w:w="7541"/>
            <w:shd w:val="clear" w:color="auto" w:fill="DCE6F1"/>
          </w:tcPr>
          <w:p>
            <w:pPr>
              <w:spacing w:after="40" w:line="240" w:lineRule="auto"/>
            </w:pPr>
            <w:r/>
            <w:r>
              <w:rPr>
                <w:rFonts w:ascii="Cambria" w:hAnsi="Cambria" w:eastAsia="Cambria"/>
                <w:b w:val="0"/>
                <w:i w:val="0"/>
                <w:sz w:val="22"/>
              </w:rPr>
              <w:t>Participation in Smart India Hackathon (SIH)</w:t>
            </w:r>
          </w:p>
        </w:tc>
        <w:tc>
          <w:tcPr>
            <w:tcW w:type="dxa" w:w="1020"/>
            <w:shd w:val="clear" w:color="auto" w:fill="DCE6F1"/>
          </w:tcPr>
          <w:p>
            <w:pPr>
              <w:spacing w:after="40" w:line="240" w:lineRule="auto"/>
              <w:jc w:val="center"/>
            </w:pPr>
            <w:r/>
            <w:r>
              <w:rPr>
                <w:rFonts w:ascii="Cambria" w:hAnsi="Cambria" w:eastAsia="Cambria"/>
                <w:b w:val="0"/>
                <w:i w:val="0"/>
                <w:sz w:val="22"/>
              </w:rPr>
              <w:t>180</w:t>
            </w:r>
          </w:p>
        </w:tc>
      </w:tr>
      <w:tr>
        <w:tc>
          <w:tcPr>
            <w:tcW w:type="dxa" w:w="850"/>
          </w:tcPr>
          <w:p>
            <w:pPr>
              <w:spacing w:after="40" w:line="240" w:lineRule="auto"/>
              <w:jc w:val="center"/>
            </w:pPr>
            <w:r/>
            <w:r>
              <w:rPr>
                <w:rFonts w:ascii="Cambria" w:hAnsi="Cambria" w:eastAsia="Cambria"/>
                <w:b w:val="0"/>
                <w:i w:val="0"/>
                <w:sz w:val="22"/>
              </w:rPr>
              <w:t>75</w:t>
            </w:r>
          </w:p>
        </w:tc>
        <w:tc>
          <w:tcPr>
            <w:tcW w:type="dxa" w:w="7541"/>
          </w:tcPr>
          <w:p>
            <w:pPr>
              <w:spacing w:after="40" w:line="240" w:lineRule="auto"/>
            </w:pPr>
            <w:r/>
            <w:r>
              <w:rPr>
                <w:rFonts w:ascii="Cambria" w:hAnsi="Cambria" w:eastAsia="Cambria"/>
                <w:b w:val="0"/>
                <w:i w:val="0"/>
                <w:sz w:val="22"/>
              </w:rPr>
              <w:t>NIRF 2024 framework for Architecture &amp; Planning institutions</w:t>
            </w:r>
          </w:p>
        </w:tc>
        <w:tc>
          <w:tcPr>
            <w:tcW w:type="dxa" w:w="1020"/>
          </w:tcPr>
          <w:p>
            <w:pPr>
              <w:spacing w:after="40" w:line="240" w:lineRule="auto"/>
              <w:jc w:val="center"/>
            </w:pPr>
            <w:r/>
            <w:r>
              <w:rPr>
                <w:rFonts w:ascii="Cambria" w:hAnsi="Cambria" w:eastAsia="Cambria"/>
                <w:b w:val="0"/>
                <w:i w:val="0"/>
                <w:sz w:val="22"/>
              </w:rPr>
              <w:t>182</w:t>
            </w:r>
          </w:p>
        </w:tc>
      </w:tr>
      <w:tr>
        <w:tc>
          <w:tcPr>
            <w:tcW w:type="dxa" w:w="850"/>
            <w:shd w:val="clear" w:color="auto" w:fill="DCE6F1"/>
          </w:tcPr>
          <w:p>
            <w:pPr>
              <w:spacing w:after="40" w:line="240" w:lineRule="auto"/>
              <w:jc w:val="center"/>
            </w:pPr>
            <w:r/>
            <w:r>
              <w:rPr>
                <w:rFonts w:ascii="Cambria" w:hAnsi="Cambria" w:eastAsia="Cambria"/>
                <w:b w:val="0"/>
                <w:i w:val="0"/>
                <w:sz w:val="22"/>
              </w:rPr>
              <w:t>76</w:t>
            </w:r>
          </w:p>
        </w:tc>
        <w:tc>
          <w:tcPr>
            <w:tcW w:type="dxa" w:w="7541"/>
            <w:shd w:val="clear" w:color="auto" w:fill="DCE6F1"/>
          </w:tcPr>
          <w:p>
            <w:pPr>
              <w:spacing w:after="40" w:line="240" w:lineRule="auto"/>
            </w:pPr>
            <w:r/>
            <w:r>
              <w:rPr>
                <w:rFonts w:ascii="Cambria" w:hAnsi="Cambria" w:eastAsia="Cambria"/>
                <w:b w:val="0"/>
                <w:i w:val="0"/>
                <w:sz w:val="22"/>
              </w:rPr>
              <w:t>NIRF 2024 framework for Agriculture &amp; Allied Sectors institutions</w:t>
            </w:r>
          </w:p>
        </w:tc>
        <w:tc>
          <w:tcPr>
            <w:tcW w:type="dxa" w:w="1020"/>
            <w:shd w:val="clear" w:color="auto" w:fill="DCE6F1"/>
          </w:tcPr>
          <w:p>
            <w:pPr>
              <w:spacing w:after="40" w:line="240" w:lineRule="auto"/>
              <w:jc w:val="center"/>
            </w:pPr>
            <w:r/>
            <w:r>
              <w:rPr>
                <w:rFonts w:ascii="Cambria" w:hAnsi="Cambria" w:eastAsia="Cambria"/>
                <w:b w:val="0"/>
                <w:i w:val="0"/>
                <w:sz w:val="22"/>
              </w:rPr>
              <w:t>185</w:t>
            </w:r>
          </w:p>
        </w:tc>
      </w:tr>
      <w:tr>
        <w:tc>
          <w:tcPr>
            <w:tcW w:type="dxa" w:w="850"/>
          </w:tcPr>
          <w:p>
            <w:pPr>
              <w:spacing w:after="40" w:line="240" w:lineRule="auto"/>
              <w:jc w:val="center"/>
            </w:pPr>
            <w:r/>
            <w:r>
              <w:rPr>
                <w:rFonts w:ascii="Cambria" w:hAnsi="Cambria" w:eastAsia="Cambria"/>
                <w:b w:val="0"/>
                <w:i w:val="0"/>
                <w:sz w:val="22"/>
              </w:rPr>
              <w:t>77</w:t>
            </w:r>
          </w:p>
        </w:tc>
        <w:tc>
          <w:tcPr>
            <w:tcW w:type="dxa" w:w="7541"/>
          </w:tcPr>
          <w:p>
            <w:pPr>
              <w:spacing w:after="40" w:line="240" w:lineRule="auto"/>
            </w:pPr>
            <w:r/>
            <w:r>
              <w:rPr>
                <w:rFonts w:ascii="Cambria" w:hAnsi="Cambria" w:eastAsia="Cambria"/>
                <w:b w:val="0"/>
                <w:i w:val="0"/>
                <w:sz w:val="22"/>
              </w:rPr>
              <w:t>NIRF 2024 framework for Dental institutions</w:t>
            </w:r>
          </w:p>
        </w:tc>
        <w:tc>
          <w:tcPr>
            <w:tcW w:type="dxa" w:w="1020"/>
          </w:tcPr>
          <w:p>
            <w:pPr>
              <w:spacing w:after="40" w:line="240" w:lineRule="auto"/>
              <w:jc w:val="center"/>
            </w:pPr>
            <w:r/>
            <w:r>
              <w:rPr>
                <w:rFonts w:ascii="Cambria" w:hAnsi="Cambria" w:eastAsia="Cambria"/>
                <w:b w:val="0"/>
                <w:i w:val="0"/>
                <w:sz w:val="22"/>
              </w:rPr>
              <w:t>188</w:t>
            </w:r>
          </w:p>
        </w:tc>
      </w:tr>
      <w:tr>
        <w:tc>
          <w:tcPr>
            <w:tcW w:type="dxa" w:w="850"/>
            <w:shd w:val="clear" w:color="auto" w:fill="DCE6F1"/>
          </w:tcPr>
          <w:p>
            <w:pPr>
              <w:spacing w:after="40" w:line="240" w:lineRule="auto"/>
              <w:jc w:val="center"/>
            </w:pPr>
            <w:r/>
            <w:r>
              <w:rPr>
                <w:rFonts w:ascii="Cambria" w:hAnsi="Cambria" w:eastAsia="Cambria"/>
                <w:b w:val="0"/>
                <w:i w:val="0"/>
                <w:sz w:val="22"/>
              </w:rPr>
              <w:t>78</w:t>
            </w:r>
          </w:p>
        </w:tc>
        <w:tc>
          <w:tcPr>
            <w:tcW w:type="dxa" w:w="7541"/>
            <w:shd w:val="clear" w:color="auto" w:fill="DCE6F1"/>
          </w:tcPr>
          <w:p>
            <w:pPr>
              <w:spacing w:after="40" w:line="240" w:lineRule="auto"/>
            </w:pPr>
            <w:r/>
            <w:r>
              <w:rPr>
                <w:rFonts w:ascii="Cambria" w:hAnsi="Cambria" w:eastAsia="Cambria"/>
                <w:b w:val="0"/>
                <w:i w:val="0"/>
                <w:sz w:val="22"/>
              </w:rPr>
              <w:t>References</w:t>
            </w:r>
          </w:p>
        </w:tc>
        <w:tc>
          <w:tcPr>
            <w:tcW w:type="dxa" w:w="1020"/>
            <w:shd w:val="clear" w:color="auto" w:fill="DCE6F1"/>
          </w:tcPr>
          <w:p>
            <w:pPr>
              <w:spacing w:after="40" w:line="240" w:lineRule="auto"/>
              <w:jc w:val="center"/>
            </w:pPr>
            <w:r/>
            <w:r>
              <w:rPr>
                <w:rFonts w:ascii="Cambria" w:hAnsi="Cambria" w:eastAsia="Cambria"/>
                <w:b w:val="0"/>
                <w:i w:val="0"/>
                <w:sz w:val="22"/>
              </w:rPr>
              <w:t>191</w:t>
            </w:r>
          </w:p>
        </w:tc>
      </w:tr>
    </w:tbl>
    <w:p>
      <w:r>
        <w:br w:type="page"/>
      </w:r>
    </w:p>
    <w:p>
      <w:pPr>
        <w:keepNext/>
        <w:spacing w:before="360" w:after="160"/>
      </w:pPr>
      <w:r>
        <w:rPr>
          <w:rFonts w:ascii="Cambria" w:hAnsi="Cambria" w:eastAsia="Cambria"/>
          <w:b/>
          <w:i w:val="0"/>
          <w:color w:val="1F3A5F"/>
          <w:sz w:val="36"/>
        </w:rPr>
        <w:t>1. Introduction</w:t>
      </w:r>
    </w:p>
    <w:p>
      <w:pPr>
        <w:spacing w:after="120" w:line="276" w:lineRule="auto"/>
        <w:jc w:val="both"/>
      </w:pPr>
      <w:r>
        <w:rPr>
          <w:rFonts w:ascii="Cambria" w:hAnsi="Cambria" w:eastAsia="Cambria"/>
          <w:b w:val="0"/>
          <w:i w:val="0"/>
          <w:sz w:val="22"/>
        </w:rPr>
        <w:t>The National Institutional Ranking Framework (NIRF) was launched in 2015 by the Ministry of Education, Government of India, to provide a structured and transparent methodology for ranking higher education institutions. Prior to its introduction, India lacked a standardized national system for evaluating universities and colleges, resulting in fragmented perceptions of quality. NIRF was designed to fill this gap by adopting a holistic approach that integrates teaching quality, research performance, inclusivity, student success, and reputation into a single measurable framework. Its introduction marked a paradigm shift, aligning India's higher education evaluation system with international practices while contextualizing it to national priorities.</w:t>
      </w:r>
    </w:p>
    <w:p>
      <w:pPr>
        <w:spacing w:after="120" w:line="276" w:lineRule="auto"/>
        <w:jc w:val="both"/>
      </w:pPr>
      <w:r>
        <w:rPr>
          <w:rFonts w:ascii="Cambria" w:hAnsi="Cambria" w:eastAsia="Cambria"/>
          <w:b w:val="0"/>
          <w:i w:val="0"/>
          <w:sz w:val="22"/>
        </w:rPr>
        <w:t>NIRF evaluates institutions under five core parameters: Teaching, Learning and Resources (TLR); Research and Professional Practice (RP); Graduation Outcomes (GO); Outreach and Inclusivity (OI); and Perception (PR). Each parameter carries specific weightages that vary across categories such as universities, engineering institutions, management schools, law colleges, and medical colleges. For example, research productivity and patents are weighted more heavily for technical and research-focused institutions, while inclusivity and perception carry greater importance for colleges and multidisciplinary universities. This differential weighting ensures fairness while recognizing the diversity of Indian higher education institutions.</w:t>
      </w:r>
    </w:p>
    <w:p>
      <w:pPr>
        <w:spacing w:after="120" w:line="276" w:lineRule="auto"/>
        <w:jc w:val="both"/>
      </w:pPr>
      <w:r>
        <w:rPr>
          <w:rFonts w:ascii="Cambria" w:hAnsi="Cambria" w:eastAsia="Cambria"/>
          <w:b w:val="0"/>
          <w:i w:val="0"/>
          <w:sz w:val="22"/>
        </w:rPr>
        <w:t>The framework relies on a combination of institution-submitted primary data and externally verified third-party sources. Institutions provide inputs on faculty strength, financial resources, research projects, placements, and inclusivity initiatives, which are validated against records from regulatory bodies (UGC, AICTE, PCI, COA, NAAC, NBA) and global bibliometric databases (Scopus, Web of Science, PubMed). This hybrid verification approach strengthens the reliability of the rankings and prevents inflation or manipulation of claims. Additionally, NIRF emphasizes data transparency by making institutional submissions publicly available for stakeholders to cross-check.</w:t>
      </w:r>
    </w:p>
    <w:p>
      <w:pPr>
        <w:spacing w:after="120" w:line="276" w:lineRule="auto"/>
        <w:jc w:val="both"/>
      </w:pPr>
      <w:r>
        <w:rPr>
          <w:rFonts w:ascii="Cambria" w:hAnsi="Cambria" w:eastAsia="Cambria"/>
          <w:b w:val="0"/>
          <w:i w:val="0"/>
          <w:sz w:val="22"/>
        </w:rPr>
        <w:t>Over the years, NIRF has moved beyond its initial purpose of ranking to become a benchmarking and policy tool. Institutions now actively use NIRF parameters as performance indicators for internal audits, faculty recruitment policies, and research investments. Policymakers, on the other hand, employ NIRF outcomes to inform funding allocations, policy interventions, and institutional recognition schemes such as the Institutions of Eminence (IoE) and Higher Education Financing Agency (HEFA) initiatives. For students and parents, NIRF provides a credible reference point for making admission choices, particularly in a country with thousands of institutions offering similar programs.</w:t>
      </w:r>
    </w:p>
    <w:p>
      <w:pPr>
        <w:spacing w:after="120" w:line="276" w:lineRule="auto"/>
        <w:jc w:val="both"/>
      </w:pPr>
      <w:r>
        <w:rPr>
          <w:rFonts w:ascii="Cambria" w:hAnsi="Cambria" w:eastAsia="Cambria"/>
          <w:b w:val="0"/>
          <w:i w:val="0"/>
          <w:sz w:val="22"/>
        </w:rPr>
        <w:t>Another significant impact of NIRF lies in its role in promoting equity and inclusivity. Through its Outreach and Inclusivity (OI) parameter, NIRF encourages institutions to diversify their student and faculty demographics across gender, socio-economic background, geography, and disability status. This aspect resonates with the goals of the National Education Policy (NEP) 2020, which emphasizes inclusivity, accessibility, and holistic learning. Moreover, the emphasis on innovation, entrepreneurship, patents, and industry partnerships under the Research and Professional Practice (RP) category has motivated institutions to go beyond traditional teaching and move towards contributing to India's innovation and startup ecosystem.</w:t>
      </w:r>
    </w:p>
    <w:p>
      <w:pPr>
        <w:spacing w:after="120" w:line="276" w:lineRule="auto"/>
        <w:jc w:val="both"/>
      </w:pPr>
      <w:r>
        <w:rPr>
          <w:rFonts w:ascii="Cambria" w:hAnsi="Cambria" w:eastAsia="Cambria"/>
          <w:b w:val="0"/>
          <w:i w:val="0"/>
          <w:sz w:val="22"/>
        </w:rPr>
        <w:t>In conclusion, the National Institutional Ranking Framework is not merely a tool for ranking institutions but a comprehensive quality assurance mechanism. By focusing on teaching, research, outcomes, inclusivity, and perception, NIRF addresses the multidimensional nature of higher education. It fosters competition, drives institutions towards continuous improvement, and enhances India's global educational visibility. As it continues to evolve in alignment with NEP 2020 and global benchmarks, NIRF is poised to become an indispensable pillar of India's higher education reforms, shaping institutions to deliver academic excellence, societal impact, and global competitiveness.</w:t>
      </w:r>
    </w:p>
    <w:p>
      <w:pPr>
        <w:keepNext/>
        <w:spacing w:before="360" w:after="160"/>
      </w:pPr>
      <w:r>
        <w:rPr>
          <w:rFonts w:ascii="Cambria" w:hAnsi="Cambria" w:eastAsia="Cambria"/>
          <w:b/>
          <w:i w:val="0"/>
          <w:color w:val="1F3A5F"/>
          <w:sz w:val="36"/>
        </w:rPr>
        <w:t>2. Salient Features</w:t>
      </w:r>
    </w:p>
    <w:p>
      <w:pPr>
        <w:spacing w:after="120" w:line="276" w:lineRule="auto"/>
        <w:jc w:val="both"/>
      </w:pPr>
      <w:r>
        <w:rPr>
          <w:rFonts w:ascii="Cambria" w:hAnsi="Cambria" w:eastAsia="Cambria"/>
          <w:b w:val="0"/>
          <w:i w:val="0"/>
          <w:sz w:val="22"/>
        </w:rPr>
        <w:t>The National Institutional Ranking Framework (NIRF) represents a nationally accepted, transparent, and data-driven methodology for assessing and ranking higher education institutions in India. Its design emphasizes credibility, objectivity, and fairness through the use of five broad parameters—Teaching, Learning and Resources (TLR), Research and Professional Practices (RP), Graduation Outcomes (GO), Outreach and Inclusivity (OI), and Perception (PR). Each of these parameters carries a predefined weightage, further divided into sub-parameters to ensure a balanced and fine-grained evaluation of institutional performance. Data for these indicators is sourced both from institutions themselves and third-party repositories such as Scopus, Web of Science, and government records, with a strong emphasis on verifiability and ease of access. Scores are calculated for each sub-parameter using standardized metrics, aggregated with weightages, and normalized to an overall score out of 100, which is then used to rank institutions in specific categories such as universities, engineering, management, pharmacy, law, and medical, alongside an overall ranking. The rankings are published annually by the Ministry of Education, offering a reliable benchmark for students, parents, policymakers, and institutions, while also encouraging continuous improvement, transparency, and alignment with both national priorities and global standards.</w:t>
      </w:r>
    </w:p>
    <w:p>
      <w:pPr>
        <w:keepNext/>
        <w:spacing w:before="200" w:after="100"/>
      </w:pPr>
      <w:r>
        <w:rPr>
          <w:rFonts w:ascii="Cambria" w:hAnsi="Cambria" w:eastAsia="Cambria"/>
          <w:b/>
          <w:i w:val="0"/>
          <w:color w:val="1F3A5F"/>
          <w:sz w:val="26"/>
        </w:rPr>
        <w:t>NIRF Methodology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Core Idea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methodology is built on a set of well-defined metrics to evaluate and rank higher education institutions in India.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These metrics are standardized, quantifiable, and transparent, ensuring fairness across institutions of different types.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Role of the Core Committee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Parameters and metrics were finalized by the NIRF Core Committee after extensive consultation with academia, policymakers, and industry.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chosen parameters reflect the overall quality and performance of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Five Broad Parameters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 xml:space="preserve">Teaching, Learning &amp; Resources (TLR) – </w:t>
      </w:r>
      <w:r>
        <w:rPr>
          <w:rFonts w:ascii="Cambria" w:hAnsi="Cambria" w:eastAsia="Cambria"/>
          <w:b w:val="0"/>
          <w:i w:val="0"/>
          <w:sz w:val="22"/>
        </w:rPr>
        <w:t>assessing faculty strength, infrastructure, and student–teacher ratio.</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 xml:space="preserve">Research &amp; Professional Practices (RP) – </w:t>
      </w:r>
      <w:r>
        <w:rPr>
          <w:rFonts w:ascii="Cambria" w:hAnsi="Cambria" w:eastAsia="Cambria"/>
          <w:b w:val="0"/>
          <w:i w:val="0"/>
          <w:sz w:val="22"/>
        </w:rPr>
        <w:t>measuring publications, patents, research funding, and quality of outputs.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 xml:space="preserve">Graduation Outcomes (GO) – </w:t>
      </w:r>
      <w:r>
        <w:rPr>
          <w:rFonts w:ascii="Cambria" w:hAnsi="Cambria" w:eastAsia="Cambria"/>
          <w:b w:val="0"/>
          <w:i w:val="0"/>
          <w:sz w:val="22"/>
        </w:rPr>
        <w:t>focusing on placements, higher studies, competitive exams, and entrepreneurship.</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 xml:space="preserve">Outreach &amp; Inclusivity (OI) – </w:t>
      </w:r>
      <w:r>
        <w:rPr>
          <w:rFonts w:ascii="Cambria" w:hAnsi="Cambria" w:eastAsia="Cambria"/>
          <w:b w:val="0"/>
          <w:i w:val="0"/>
          <w:sz w:val="22"/>
        </w:rPr>
        <w:t>evaluating diversity, gender balance, and inclusion of socially/economically disadvantaged groups.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 xml:space="preserve">Perception (PR) – </w:t>
      </w:r>
      <w:r>
        <w:rPr>
          <w:rFonts w:ascii="Cambria" w:hAnsi="Cambria" w:eastAsia="Cambria"/>
          <w:b w:val="0"/>
          <w:i w:val="0"/>
          <w:sz w:val="22"/>
        </w:rPr>
        <w:t>capturing employer, peer, and public reputation.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Sub-Parameters &amp; Weightage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broad parameter is broken into sub-parameters, e.g., faculty qualifications, research publications, placements.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Appropriate weightage is assigned both at parameter and sub-parameter levels.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ensures balanced evaluation across teaching, research, outcomes, inclusivity, and reputation.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Data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provide structured data through the NIRF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External third-party sources (e.g., Scopus, Web of Science, government databases) are used for validation.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Emphasis on easily verifiable data to maintain credibility.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Scoring 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sub-parameter is computed into a score using standard formulas.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Sub-scores → aggregated into parameter score.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Parameter scores → weighted sum → overall institutional score (out of 100).</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Ranking Outcome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rank-ordered based on total score.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Separate rankings for categories such as universities, engineering, management, pharmacy, law, medical,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Enables students, parents, policymakers, and institutions to make informed decisions.</w:t>
      </w:r>
    </w:p>
    <w:p>
      <w:pPr>
        <w:spacing w:after="80" w:line="276" w:lineRule="auto"/>
      </w:pPr>
      <w:r>
        <w:rPr>
          <w:rFonts w:ascii="Cambria" w:hAnsi="Cambria" w:eastAsia="Cambria"/>
          <w:b/>
          <w:i w:val="0"/>
          <w:sz w:val="22"/>
        </w:rPr>
        <w:t>NIRF Parameters → Broad Heads → Sub-Heads with Weightage Distribution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Five Broad Heads (Main Parameters)</w:t>
      </w:r>
    </w:p>
    <w:p>
      <w:pPr>
        <w:spacing w:line="276" w:lineRule="auto" w:after="40"/>
        <w:ind w:left="357" w:hanging="357"/>
      </w:pPr>
      <w:r>
        <w:rPr>
          <w:rFonts w:ascii="Cambria" w:hAnsi="Cambria" w:eastAsia="Cambria"/>
          <w:b w:val="0"/>
          <w:i w:val="0"/>
          <w:sz w:val="22"/>
        </w:rPr>
        <w:t>1.</w:t>
        <w:tab/>
      </w:r>
      <w:r>
        <w:rPr>
          <w:rFonts w:ascii="Cambria" w:hAnsi="Cambria" w:eastAsia="Cambria"/>
          <w:b w:val="0"/>
          <w:i w:val="0"/>
          <w:sz w:val="22"/>
        </w:rPr>
        <w:t>Teaching, Learning &amp; Resources (TLR)</w:t>
      </w:r>
    </w:p>
    <w:p>
      <w:pPr>
        <w:spacing w:line="276" w:lineRule="auto" w:after="40"/>
        <w:ind w:left="357" w:hanging="357"/>
      </w:pPr>
      <w:r>
        <w:rPr>
          <w:rFonts w:ascii="Cambria" w:hAnsi="Cambria" w:eastAsia="Cambria"/>
          <w:b w:val="0"/>
          <w:i w:val="0"/>
          <w:sz w:val="22"/>
        </w:rPr>
        <w:t>2.</w:t>
        <w:tab/>
      </w:r>
      <w:r>
        <w:rPr>
          <w:rFonts w:ascii="Cambria" w:hAnsi="Cambria" w:eastAsia="Cambria"/>
          <w:b w:val="0"/>
          <w:i w:val="0"/>
          <w:sz w:val="22"/>
        </w:rPr>
        <w:t>Research &amp; Professional Practices (RP)</w:t>
      </w:r>
    </w:p>
    <w:p>
      <w:pPr>
        <w:spacing w:line="276" w:lineRule="auto" w:after="40"/>
        <w:ind w:left="357" w:hanging="357"/>
      </w:pPr>
      <w:r>
        <w:rPr>
          <w:rFonts w:ascii="Cambria" w:hAnsi="Cambria" w:eastAsia="Cambria"/>
          <w:b w:val="0"/>
          <w:i w:val="0"/>
          <w:sz w:val="22"/>
        </w:rPr>
        <w:t>3.</w:t>
        <w:tab/>
      </w:r>
      <w:r>
        <w:rPr>
          <w:rFonts w:ascii="Cambria" w:hAnsi="Cambria" w:eastAsia="Cambria"/>
          <w:b w:val="0"/>
          <w:i w:val="0"/>
          <w:sz w:val="22"/>
        </w:rPr>
        <w:t>Graduation Outcomes (GO)</w:t>
      </w:r>
    </w:p>
    <w:p>
      <w:pPr>
        <w:spacing w:line="276" w:lineRule="auto" w:after="40"/>
        <w:ind w:left="357" w:hanging="357"/>
      </w:pPr>
      <w:r>
        <w:rPr>
          <w:rFonts w:ascii="Cambria" w:hAnsi="Cambria" w:eastAsia="Cambria"/>
          <w:b w:val="0"/>
          <w:i w:val="0"/>
          <w:sz w:val="22"/>
        </w:rPr>
        <w:t>4.</w:t>
        <w:tab/>
      </w:r>
      <w:r>
        <w:rPr>
          <w:rFonts w:ascii="Cambria" w:hAnsi="Cambria" w:eastAsia="Cambria"/>
          <w:b w:val="0"/>
          <w:i w:val="0"/>
          <w:sz w:val="22"/>
        </w:rPr>
        <w:t>Outreach &amp; Inclusivity (OI)</w:t>
      </w:r>
    </w:p>
    <w:p>
      <w:pPr>
        <w:spacing w:line="276" w:lineRule="auto" w:after="40"/>
        <w:ind w:left="357" w:hanging="357"/>
      </w:pPr>
      <w:r>
        <w:rPr>
          <w:rFonts w:ascii="Cambria" w:hAnsi="Cambria" w:eastAsia="Cambria"/>
          <w:b w:val="0"/>
          <w:i w:val="0"/>
          <w:sz w:val="22"/>
        </w:rPr>
        <w:t>5.</w:t>
        <w:tab/>
      </w:r>
      <w:r>
        <w:rPr>
          <w:rFonts w:ascii="Cambria" w:hAnsi="Cambria" w:eastAsia="Cambria"/>
          <w:b w:val="0"/>
          <w:i w:val="0"/>
          <w:sz w:val="22"/>
        </w:rPr>
        <w:t>Perception (PR)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Weightage Assigned to Each Head</w:t>
      </w:r>
    </w:p>
    <w:p>
      <w:pPr>
        <w:spacing w:line="276" w:lineRule="auto" w:after="40"/>
        <w:ind w:left="357" w:hanging="357"/>
      </w:pPr>
      <w:r>
        <w:rPr>
          <w:rFonts w:ascii="Cambria" w:hAnsi="Cambria" w:eastAsia="Cambria"/>
          <w:b w:val="0"/>
          <w:i w:val="0"/>
          <w:sz w:val="22"/>
        </w:rPr>
        <w:t>1.</w:t>
        <w:tab/>
      </w:r>
      <w:r>
        <w:rPr>
          <w:rFonts w:ascii="Cambria" w:hAnsi="Cambria" w:eastAsia="Cambria"/>
          <w:b w:val="0"/>
          <w:i w:val="0"/>
          <w:sz w:val="22"/>
        </w:rPr>
        <w:t>TLR: 30%</w:t>
      </w:r>
    </w:p>
    <w:p>
      <w:pPr>
        <w:spacing w:line="276" w:lineRule="auto" w:after="40"/>
        <w:ind w:left="357" w:hanging="357"/>
      </w:pPr>
      <w:r>
        <w:rPr>
          <w:rFonts w:ascii="Cambria" w:hAnsi="Cambria" w:eastAsia="Cambria"/>
          <w:b w:val="0"/>
          <w:i w:val="0"/>
          <w:sz w:val="22"/>
        </w:rPr>
        <w:t>2.</w:t>
        <w:tab/>
      </w:r>
      <w:r>
        <w:rPr>
          <w:rFonts w:ascii="Cambria" w:hAnsi="Cambria" w:eastAsia="Cambria"/>
          <w:b w:val="0"/>
          <w:i w:val="0"/>
          <w:sz w:val="22"/>
        </w:rPr>
        <w:t>RP: 30%</w:t>
      </w:r>
    </w:p>
    <w:p>
      <w:pPr>
        <w:spacing w:line="276" w:lineRule="auto" w:after="40"/>
        <w:ind w:left="357" w:hanging="357"/>
      </w:pPr>
      <w:r>
        <w:rPr>
          <w:rFonts w:ascii="Cambria" w:hAnsi="Cambria" w:eastAsia="Cambria"/>
          <w:b w:val="0"/>
          <w:i w:val="0"/>
          <w:sz w:val="22"/>
        </w:rPr>
        <w:t>3.</w:t>
        <w:tab/>
      </w:r>
      <w:r>
        <w:rPr>
          <w:rFonts w:ascii="Cambria" w:hAnsi="Cambria" w:eastAsia="Cambria"/>
          <w:b w:val="0"/>
          <w:i w:val="0"/>
          <w:sz w:val="22"/>
        </w:rPr>
        <w:t>GO: 20%</w:t>
      </w:r>
    </w:p>
    <w:p>
      <w:pPr>
        <w:spacing w:line="276" w:lineRule="auto" w:after="40"/>
        <w:ind w:left="357" w:hanging="357"/>
      </w:pPr>
      <w:r>
        <w:rPr>
          <w:rFonts w:ascii="Cambria" w:hAnsi="Cambria" w:eastAsia="Cambria"/>
          <w:b w:val="0"/>
          <w:i w:val="0"/>
          <w:sz w:val="22"/>
        </w:rPr>
        <w:t>4.</w:t>
        <w:tab/>
      </w:r>
      <w:r>
        <w:rPr>
          <w:rFonts w:ascii="Cambria" w:hAnsi="Cambria" w:eastAsia="Cambria"/>
          <w:b w:val="0"/>
          <w:i w:val="0"/>
          <w:sz w:val="22"/>
        </w:rPr>
        <w:t>OI: 10%</w:t>
      </w:r>
    </w:p>
    <w:p>
      <w:pPr>
        <w:spacing w:line="276" w:lineRule="auto" w:after="40"/>
        <w:ind w:left="357" w:hanging="357"/>
      </w:pPr>
      <w:r>
        <w:rPr>
          <w:rFonts w:ascii="Cambria" w:hAnsi="Cambria" w:eastAsia="Cambria"/>
          <w:b w:val="0"/>
          <w:i w:val="0"/>
          <w:sz w:val="22"/>
        </w:rPr>
        <w:t>5.</w:t>
        <w:tab/>
      </w:r>
      <w:r>
        <w:rPr>
          <w:rFonts w:ascii="Cambria" w:hAnsi="Cambria" w:eastAsia="Cambria"/>
          <w:b w:val="0"/>
          <w:i w:val="0"/>
          <w:sz w:val="22"/>
        </w:rPr>
        <w:t>PR: 10%</w:t>
      </w:r>
    </w:p>
    <w:p>
      <w:pPr>
        <w:spacing w:line="276" w:lineRule="auto" w:after="40"/>
        <w:ind w:left="357" w:hanging="357"/>
      </w:pPr>
      <w:r>
        <w:rPr>
          <w:rFonts w:ascii="Cambria" w:hAnsi="Cambria" w:eastAsia="Cambria"/>
          <w:b w:val="0"/>
          <w:i w:val="0"/>
          <w:sz w:val="22"/>
        </w:rPr>
        <w:t>6.</w:t>
        <w:tab/>
      </w:r>
      <w:r>
        <w:rPr>
          <w:rFonts w:ascii="Cambria" w:hAnsi="Cambria" w:eastAsia="Cambria"/>
          <w:b/>
          <w:i w:val="0"/>
          <w:sz w:val="22"/>
        </w:rPr>
        <w:t>Total = 100%</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Sub-Heads Under Each Head</w:t>
      </w:r>
    </w:p>
    <w:p>
      <w:pPr>
        <w:spacing w:after="40" w:line="276" w:lineRule="auto"/>
        <w:ind w:left="357"/>
      </w:pPr>
      <w:r>
        <w:rPr>
          <w:rFonts w:ascii="Cambria" w:hAnsi="Cambria" w:eastAsia="Cambria"/>
          <w:b/>
          <w:i w:val="0"/>
          <w:sz w:val="22"/>
        </w:rPr>
        <w:t>1. Teaching, Learning &amp; Resources (30%)</w:t>
      </w:r>
    </w:p>
    <w:p>
      <w:pPr>
        <w:spacing w:line="276" w:lineRule="auto" w:after="40"/>
        <w:ind w:left="357" w:hanging="357"/>
      </w:pPr>
      <w:r>
        <w:rPr>
          <w:rFonts w:ascii="Cambria" w:hAnsi="Cambria" w:eastAsia="Cambria"/>
          <w:b w:val="0"/>
          <w:i w:val="0"/>
          <w:sz w:val="22"/>
        </w:rPr>
        <w:t>1.</w:t>
        <w:tab/>
      </w:r>
      <w:r>
        <w:rPr>
          <w:rFonts w:ascii="Cambria" w:hAnsi="Cambria" w:eastAsia="Cambria"/>
          <w:b w:val="0"/>
          <w:i w:val="0"/>
          <w:sz w:val="22"/>
        </w:rPr>
        <w:t>Faculty–Student Ratio (FSR) with emphasis on permanent faculty → 30% of TLR</w:t>
      </w:r>
    </w:p>
    <w:p>
      <w:pPr>
        <w:spacing w:line="276" w:lineRule="auto" w:after="40"/>
        <w:ind w:left="357" w:hanging="357"/>
      </w:pPr>
      <w:r>
        <w:rPr>
          <w:rFonts w:ascii="Cambria" w:hAnsi="Cambria" w:eastAsia="Cambria"/>
          <w:b w:val="0"/>
          <w:i w:val="0"/>
          <w:sz w:val="22"/>
        </w:rPr>
        <w:t>2.</w:t>
        <w:tab/>
      </w:r>
      <w:r>
        <w:rPr>
          <w:rFonts w:ascii="Cambria" w:hAnsi="Cambria" w:eastAsia="Cambria"/>
          <w:b w:val="0"/>
          <w:i w:val="0"/>
          <w:sz w:val="22"/>
        </w:rPr>
        <w:t>Faculty with Ph.D. and Experience (FQE) → 20% of TLR</w:t>
      </w:r>
    </w:p>
    <w:p>
      <w:pPr>
        <w:spacing w:line="276" w:lineRule="auto" w:after="40"/>
        <w:ind w:left="357" w:hanging="357"/>
      </w:pPr>
      <w:r>
        <w:rPr>
          <w:rFonts w:ascii="Cambria" w:hAnsi="Cambria" w:eastAsia="Cambria"/>
          <w:b w:val="0"/>
          <w:i w:val="0"/>
          <w:sz w:val="22"/>
        </w:rPr>
        <w:t>3.</w:t>
        <w:tab/>
      </w:r>
      <w:r>
        <w:rPr>
          <w:rFonts w:ascii="Cambria" w:hAnsi="Cambria" w:eastAsia="Cambria"/>
          <w:b w:val="0"/>
          <w:i w:val="0"/>
          <w:sz w:val="22"/>
        </w:rPr>
        <w:t>Financial Resources and their Utilization (FRU) → 30% of TLR</w:t>
      </w:r>
    </w:p>
    <w:p>
      <w:pPr>
        <w:spacing w:line="276" w:lineRule="auto" w:after="40"/>
        <w:ind w:left="357" w:hanging="357"/>
      </w:pPr>
      <w:r>
        <w:rPr>
          <w:rFonts w:ascii="Cambria" w:hAnsi="Cambria" w:eastAsia="Cambria"/>
          <w:b w:val="0"/>
          <w:i w:val="0"/>
          <w:sz w:val="22"/>
        </w:rPr>
        <w:t>4.</w:t>
        <w:tab/>
      </w:r>
      <w:r>
        <w:rPr>
          <w:rFonts w:ascii="Cambria" w:hAnsi="Cambria" w:eastAsia="Cambria"/>
          <w:b w:val="0"/>
          <w:i w:val="0"/>
          <w:sz w:val="22"/>
        </w:rPr>
        <w:t>Student Strength including Doctoral Students (SS) → 20% of TLR</w:t>
      </w:r>
    </w:p>
    <w:p>
      <w:pPr>
        <w:spacing w:after="40" w:line="276" w:lineRule="auto"/>
        <w:ind w:left="357"/>
      </w:pPr>
      <w:r>
        <w:rPr>
          <w:rFonts w:ascii="Cambria" w:hAnsi="Cambria" w:eastAsia="Cambria"/>
          <w:b/>
          <w:i w:val="0"/>
          <w:sz w:val="22"/>
        </w:rPr>
        <w:t>2. Research &amp; Professional Practices (30%)</w:t>
      </w:r>
    </w:p>
    <w:p>
      <w:pPr>
        <w:spacing w:line="276" w:lineRule="auto" w:after="40"/>
        <w:ind w:left="357" w:hanging="357"/>
      </w:pPr>
      <w:r>
        <w:rPr>
          <w:rFonts w:ascii="Cambria" w:hAnsi="Cambria" w:eastAsia="Cambria"/>
          <w:b w:val="0"/>
          <w:i w:val="0"/>
          <w:sz w:val="22"/>
        </w:rPr>
        <w:t>5.</w:t>
        <w:tab/>
      </w:r>
      <w:r>
        <w:rPr>
          <w:rFonts w:ascii="Cambria" w:hAnsi="Cambria" w:eastAsia="Cambria"/>
          <w:b w:val="0"/>
          <w:i w:val="0"/>
          <w:sz w:val="22"/>
        </w:rPr>
        <w:t>Publications (PU) → 35% of RP</w:t>
      </w:r>
    </w:p>
    <w:p>
      <w:pPr>
        <w:spacing w:line="276" w:lineRule="auto" w:after="40"/>
        <w:ind w:left="357" w:hanging="357"/>
      </w:pPr>
      <w:r>
        <w:rPr>
          <w:rFonts w:ascii="Cambria" w:hAnsi="Cambria" w:eastAsia="Cambria"/>
          <w:b w:val="0"/>
          <w:i w:val="0"/>
          <w:sz w:val="22"/>
        </w:rPr>
        <w:t>6.</w:t>
        <w:tab/>
      </w:r>
      <w:r>
        <w:rPr>
          <w:rFonts w:ascii="Cambria" w:hAnsi="Cambria" w:eastAsia="Cambria"/>
          <w:b w:val="0"/>
          <w:i w:val="0"/>
          <w:sz w:val="22"/>
        </w:rPr>
        <w:t>Quality of Publications (QP, indexed in Scopus/WoS, citation impact) → 35% of RP</w:t>
      </w:r>
    </w:p>
    <w:p>
      <w:pPr>
        <w:spacing w:line="276" w:lineRule="auto" w:after="40"/>
        <w:ind w:left="357" w:hanging="357"/>
      </w:pPr>
      <w:r>
        <w:rPr>
          <w:rFonts w:ascii="Cambria" w:hAnsi="Cambria" w:eastAsia="Cambria"/>
          <w:b w:val="0"/>
          <w:i w:val="0"/>
          <w:sz w:val="22"/>
        </w:rPr>
        <w:t>7.</w:t>
        <w:tab/>
      </w:r>
      <w:r>
        <w:rPr>
          <w:rFonts w:ascii="Cambria" w:hAnsi="Cambria" w:eastAsia="Cambria"/>
          <w:b w:val="0"/>
          <w:i w:val="0"/>
          <w:sz w:val="22"/>
        </w:rPr>
        <w:t>IPR &amp; Patents (IPR) → 15% of RP</w:t>
      </w:r>
    </w:p>
    <w:p>
      <w:pPr>
        <w:spacing w:line="276" w:lineRule="auto" w:after="40"/>
        <w:ind w:left="357" w:hanging="357"/>
      </w:pPr>
      <w:r>
        <w:rPr>
          <w:rFonts w:ascii="Cambria" w:hAnsi="Cambria" w:eastAsia="Cambria"/>
          <w:b w:val="0"/>
          <w:i w:val="0"/>
          <w:sz w:val="22"/>
        </w:rPr>
        <w:t>8.</w:t>
        <w:tab/>
      </w:r>
      <w:r>
        <w:rPr>
          <w:rFonts w:ascii="Cambria" w:hAnsi="Cambria" w:eastAsia="Cambria"/>
          <w:b w:val="0"/>
          <w:i w:val="0"/>
          <w:sz w:val="22"/>
        </w:rPr>
        <w:t>Footprint of Projects, Professional Practice &amp; Executive Development Programs (FPPP) → 15% of RP</w:t>
      </w:r>
    </w:p>
    <w:p>
      <w:pPr>
        <w:spacing w:after="40" w:line="276" w:lineRule="auto"/>
        <w:ind w:left="357"/>
      </w:pPr>
      <w:r>
        <w:rPr>
          <w:rFonts w:ascii="Cambria" w:hAnsi="Cambria" w:eastAsia="Cambria"/>
          <w:b/>
          <w:i w:val="0"/>
          <w:sz w:val="22"/>
        </w:rPr>
        <w:t>3. Graduation Outcomes (20%)</w:t>
      </w:r>
    </w:p>
    <w:p>
      <w:pPr>
        <w:spacing w:line="276" w:lineRule="auto" w:after="40"/>
        <w:ind w:left="357" w:hanging="357"/>
      </w:pPr>
      <w:r>
        <w:rPr>
          <w:rFonts w:ascii="Cambria" w:hAnsi="Cambria" w:eastAsia="Cambria"/>
          <w:b w:val="0"/>
          <w:i w:val="0"/>
          <w:sz w:val="22"/>
        </w:rPr>
        <w:t>9.</w:t>
        <w:tab/>
      </w:r>
      <w:r>
        <w:rPr>
          <w:rFonts w:ascii="Cambria" w:hAnsi="Cambria" w:eastAsia="Cambria"/>
          <w:b w:val="0"/>
          <w:i w:val="0"/>
          <w:sz w:val="22"/>
        </w:rPr>
        <w:t>Placement, Higher Studies &amp; Entrepreneurship (GPH) → 40% of GO</w:t>
      </w:r>
    </w:p>
    <w:p>
      <w:pPr>
        <w:spacing w:line="276" w:lineRule="auto" w:after="40"/>
        <w:ind w:left="357" w:hanging="357"/>
      </w:pPr>
      <w:r>
        <w:rPr>
          <w:rFonts w:ascii="Cambria" w:hAnsi="Cambria" w:eastAsia="Cambria"/>
          <w:b w:val="0"/>
          <w:i w:val="0"/>
          <w:sz w:val="22"/>
        </w:rPr>
        <w:t>10.</w:t>
        <w:tab/>
      </w:r>
      <w:r>
        <w:rPr>
          <w:rFonts w:ascii="Cambria" w:hAnsi="Cambria" w:eastAsia="Cambria"/>
          <w:b w:val="0"/>
          <w:i w:val="0"/>
          <w:sz w:val="22"/>
        </w:rPr>
        <w:t>University Exams: Median Salary, Graduate Employment (GUE) → 25% of GO</w:t>
      </w:r>
    </w:p>
    <w:p>
      <w:pPr>
        <w:spacing w:line="276" w:lineRule="auto" w:after="40"/>
        <w:ind w:left="357" w:hanging="357"/>
      </w:pPr>
      <w:r>
        <w:rPr>
          <w:rFonts w:ascii="Cambria" w:hAnsi="Cambria" w:eastAsia="Cambria"/>
          <w:b w:val="0"/>
          <w:i w:val="0"/>
          <w:sz w:val="22"/>
        </w:rPr>
        <w:t>11.</w:t>
        <w:tab/>
      </w:r>
      <w:r>
        <w:rPr>
          <w:rFonts w:ascii="Cambria" w:hAnsi="Cambria" w:eastAsia="Cambria"/>
          <w:b w:val="0"/>
          <w:i w:val="0"/>
          <w:sz w:val="22"/>
        </w:rPr>
        <w:t>Higher Studies (HES) → 15% of GO</w:t>
      </w:r>
    </w:p>
    <w:p>
      <w:pPr>
        <w:spacing w:line="276" w:lineRule="auto" w:after="40"/>
        <w:ind w:left="357" w:hanging="357"/>
      </w:pPr>
      <w:r>
        <w:rPr>
          <w:rFonts w:ascii="Cambria" w:hAnsi="Cambria" w:eastAsia="Cambria"/>
          <w:b w:val="0"/>
          <w:i w:val="0"/>
          <w:sz w:val="22"/>
        </w:rPr>
        <w:t>12.</w:t>
        <w:tab/>
      </w:r>
      <w:r>
        <w:rPr>
          <w:rFonts w:ascii="Cambria" w:hAnsi="Cambria" w:eastAsia="Cambria"/>
          <w:b w:val="0"/>
          <w:i w:val="0"/>
          <w:sz w:val="22"/>
        </w:rPr>
        <w:t>Other Outcomes: Ph.D. Graduations, Professional Exams, Entrepreneurship (GPHD, GPHE) → 20% of GO</w:t>
      </w:r>
    </w:p>
    <w:p>
      <w:pPr>
        <w:spacing w:after="40" w:line="276" w:lineRule="auto"/>
        <w:ind w:left="357"/>
      </w:pPr>
      <w:r>
        <w:rPr>
          <w:rFonts w:ascii="Cambria" w:hAnsi="Cambria" w:eastAsia="Cambria"/>
          <w:b/>
          <w:i w:val="0"/>
          <w:sz w:val="22"/>
        </w:rPr>
        <w:t>4. Outreach &amp; Inclusivity (10%)</w:t>
      </w:r>
    </w:p>
    <w:p>
      <w:pPr>
        <w:spacing w:line="276" w:lineRule="auto" w:after="40"/>
        <w:ind w:left="357" w:hanging="357"/>
      </w:pPr>
      <w:r>
        <w:rPr>
          <w:rFonts w:ascii="Cambria" w:hAnsi="Cambria" w:eastAsia="Cambria"/>
          <w:b w:val="0"/>
          <w:i w:val="0"/>
          <w:sz w:val="22"/>
        </w:rPr>
        <w:t>13.</w:t>
        <w:tab/>
      </w:r>
      <w:r>
        <w:rPr>
          <w:rFonts w:ascii="Cambria" w:hAnsi="Cambria" w:eastAsia="Cambria"/>
          <w:b w:val="0"/>
          <w:i w:val="0"/>
          <w:sz w:val="22"/>
        </w:rPr>
        <w:t>Regional Diversity (RD) → 30% of OI</w:t>
      </w:r>
    </w:p>
    <w:p>
      <w:pPr>
        <w:spacing w:line="276" w:lineRule="auto" w:after="40"/>
        <w:ind w:left="357" w:hanging="357"/>
      </w:pPr>
      <w:r>
        <w:rPr>
          <w:rFonts w:ascii="Cambria" w:hAnsi="Cambria" w:eastAsia="Cambria"/>
          <w:b w:val="0"/>
          <w:i w:val="0"/>
          <w:sz w:val="22"/>
        </w:rPr>
        <w:t>14.</w:t>
        <w:tab/>
      </w:r>
      <w:r>
        <w:rPr>
          <w:rFonts w:ascii="Cambria" w:hAnsi="Cambria" w:eastAsia="Cambria"/>
          <w:b w:val="0"/>
          <w:i w:val="0"/>
          <w:sz w:val="22"/>
        </w:rPr>
        <w:t>Women Diversity (WD) → 30% of OI</w:t>
      </w:r>
    </w:p>
    <w:p>
      <w:pPr>
        <w:spacing w:line="276" w:lineRule="auto" w:after="40"/>
        <w:ind w:left="357" w:hanging="357"/>
      </w:pPr>
      <w:r>
        <w:rPr>
          <w:rFonts w:ascii="Cambria" w:hAnsi="Cambria" w:eastAsia="Cambria"/>
          <w:b w:val="0"/>
          <w:i w:val="0"/>
          <w:sz w:val="22"/>
        </w:rPr>
        <w:t>15.</w:t>
        <w:tab/>
      </w:r>
      <w:r>
        <w:rPr>
          <w:rFonts w:ascii="Cambria" w:hAnsi="Cambria" w:eastAsia="Cambria"/>
          <w:b w:val="0"/>
          <w:i w:val="0"/>
          <w:sz w:val="22"/>
        </w:rPr>
        <w:t>Economically &amp; Socially Disadvantaged Students (ESDS) → 20% of OI</w:t>
      </w:r>
    </w:p>
    <w:p>
      <w:pPr>
        <w:spacing w:line="276" w:lineRule="auto" w:after="40"/>
        <w:ind w:left="357" w:hanging="357"/>
      </w:pPr>
      <w:r>
        <w:rPr>
          <w:rFonts w:ascii="Cambria" w:hAnsi="Cambria" w:eastAsia="Cambria"/>
          <w:b w:val="0"/>
          <w:i w:val="0"/>
          <w:sz w:val="22"/>
        </w:rPr>
        <w:t>16.</w:t>
        <w:tab/>
      </w:r>
      <w:r>
        <w:rPr>
          <w:rFonts w:ascii="Cambria" w:hAnsi="Cambria" w:eastAsia="Cambria"/>
          <w:b w:val="0"/>
          <w:i w:val="0"/>
          <w:sz w:val="22"/>
        </w:rPr>
        <w:t>Facilities for Physically Challenged Students (PCS) → 20% of OI</w:t>
      </w:r>
    </w:p>
    <w:p>
      <w:pPr>
        <w:spacing w:after="40" w:line="276" w:lineRule="auto"/>
        <w:ind w:left="357"/>
      </w:pPr>
      <w:r>
        <w:rPr>
          <w:rFonts w:ascii="Cambria" w:hAnsi="Cambria" w:eastAsia="Cambria"/>
          <w:b/>
          <w:i w:val="0"/>
          <w:sz w:val="22"/>
        </w:rPr>
        <w:t>5. Perception (10%)</w:t>
      </w:r>
    </w:p>
    <w:p>
      <w:pPr>
        <w:spacing w:line="276" w:lineRule="auto" w:after="40"/>
        <w:ind w:left="357" w:hanging="357"/>
      </w:pPr>
      <w:r>
        <w:rPr>
          <w:rFonts w:ascii="Cambria" w:hAnsi="Cambria" w:eastAsia="Cambria"/>
          <w:b w:val="0"/>
          <w:i w:val="0"/>
          <w:sz w:val="22"/>
        </w:rPr>
        <w:t>17.</w:t>
        <w:tab/>
      </w:r>
      <w:r>
        <w:rPr>
          <w:rFonts w:ascii="Cambria" w:hAnsi="Cambria" w:eastAsia="Cambria"/>
          <w:b w:val="0"/>
          <w:i w:val="0"/>
          <w:sz w:val="22"/>
        </w:rPr>
        <w:t>Academic &amp; Employer Perception (PR) → 100% of this head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Overall Score Calculation</w:t>
      </w:r>
    </w:p>
    <w:p>
      <w:pPr>
        <w:spacing w:line="276" w:lineRule="auto" w:after="40"/>
        <w:ind w:left="357" w:hanging="357"/>
      </w:pPr>
      <w:r>
        <w:rPr>
          <w:rFonts w:ascii="Cambria" w:hAnsi="Cambria" w:eastAsia="Cambria"/>
          <w:b w:val="0"/>
          <w:i w:val="0"/>
          <w:sz w:val="22"/>
        </w:rPr>
        <w:t>1.</w:t>
        <w:tab/>
      </w:r>
      <w:r>
        <w:rPr>
          <w:rFonts w:ascii="Cambria" w:hAnsi="Cambria" w:eastAsia="Cambria"/>
          <w:b w:val="0"/>
          <w:i w:val="0"/>
          <w:sz w:val="22"/>
        </w:rPr>
        <w:t>Sub-head scores → combined as per assigned percentages → parameter score.</w:t>
      </w:r>
    </w:p>
    <w:p>
      <w:pPr>
        <w:spacing w:line="276" w:lineRule="auto" w:after="40"/>
        <w:ind w:left="357" w:hanging="357"/>
      </w:pPr>
      <w:r>
        <w:rPr>
          <w:rFonts w:ascii="Cambria" w:hAnsi="Cambria" w:eastAsia="Cambria"/>
          <w:b w:val="0"/>
          <w:i w:val="0"/>
          <w:sz w:val="22"/>
        </w:rPr>
        <w:t>2.</w:t>
        <w:tab/>
      </w:r>
      <w:r>
        <w:rPr>
          <w:rFonts w:ascii="Cambria" w:hAnsi="Cambria" w:eastAsia="Cambria"/>
          <w:b w:val="0"/>
          <w:i w:val="0"/>
          <w:sz w:val="22"/>
        </w:rPr>
        <w:t>Parameter scores → multiplied by overall weightage → total institutional score (max 100).</w:t>
      </w:r>
    </w:p>
    <w:p>
      <w:pPr>
        <w:spacing w:line="276" w:lineRule="auto" w:after="40"/>
        <w:ind w:left="357" w:hanging="357"/>
      </w:pPr>
      <w:r>
        <w:rPr>
          <w:rFonts w:ascii="Cambria" w:hAnsi="Cambria" w:eastAsia="Cambria"/>
          <w:b w:val="0"/>
          <w:i w:val="0"/>
          <w:sz w:val="22"/>
        </w:rPr>
        <w:t>3.</w:t>
        <w:tab/>
      </w:r>
      <w:r>
        <w:rPr>
          <w:rFonts w:ascii="Cambria" w:hAnsi="Cambria" w:eastAsia="Cambria"/>
          <w:b w:val="0"/>
          <w:i w:val="0"/>
          <w:sz w:val="22"/>
        </w:rPr>
        <w:t>Institutions then rank-ordered based on this total.</w:t>
      </w:r>
    </w:p>
    <w:p>
      <w:pPr>
        <w:keepNext/>
        <w:spacing w:before="200" w:after="100"/>
      </w:pPr>
      <w:r>
        <w:rPr>
          <w:rFonts w:ascii="Cambria" w:hAnsi="Cambria" w:eastAsia="Cambria"/>
          <w:b/>
          <w:i w:val="0"/>
          <w:color w:val="1F3A5F"/>
          <w:sz w:val="26"/>
        </w:rPr>
        <w:t>NIRF methodological feature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 of Data Identification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every sub-head under NIRF parameters is backed by reliable and measurable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Avoids subjective judgments and focuses on objective, verifiable evidence.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Types of Data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Institution-provided data: Admission numbers, student strength, faculty details, exam results, placement records, financial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Third-party sourced data: Publications from Scopus/Web of Science, citation metrics, patent databases, government portals (AICTE, UGC, MHRD, AISHE,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Survey-based inputs: Employer/peer perception, alumni feedback.</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Criteria for Data Selection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Easily available: Institutions already maintain most of this data for regulatory/accreditation purposes.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Easily verifiable: Cross-checked through government/industry databases and third-party repositories.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Minimal reporting burden: Avoids demanding complicated or rare data that institutions struggle to compile.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Importance of Verifiability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data manipulation or inflation by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Maintains credibility and trust in the ranking 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Verification ensures rankings are transparent and evidence-based.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Transparency Objective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parents, and policymakers can trust NIRF results as the data is authentic.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gain confidence since the evaluation is based on fair, uniform, and unbiased information.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improve record-keeping and adopt data-driven management practices.</w:t>
      </w:r>
    </w:p>
    <w:p>
      <w:pPr>
        <w:keepNext/>
        <w:spacing w:before="200" w:after="100"/>
      </w:pPr>
      <w:r>
        <w:rPr>
          <w:rFonts w:ascii="Cambria" w:hAnsi="Cambria" w:eastAsia="Cambria"/>
          <w:b/>
          <w:i w:val="0"/>
          <w:color w:val="1F3A5F"/>
          <w:sz w:val="26"/>
        </w:rPr>
        <w:t>NIRF scoring and computation process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Step 1: Metric Development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each sub-head, a specific metric/formula is designed to quantify performance.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xml:space="preserve">Example: </w:t>
      </w:r>
      <w:r>
        <w:rPr>
          <w:rFonts w:ascii="Cambria" w:hAnsi="Cambria" w:eastAsia="Cambria"/>
          <w:b/>
          <w:i/>
          <w:sz w:val="22"/>
        </w:rPr>
        <w:t>Faculty–Student Ratio (FSR)</w:t>
      </w:r>
      <w:r>
        <w:rPr>
          <w:rFonts w:ascii="Cambria" w:hAnsi="Cambria" w:eastAsia="Cambria"/>
          <w:b w:val="0"/>
          <w:i w:val="0"/>
          <w:sz w:val="22"/>
        </w:rPr>
        <w:t xml:space="preserve"> metric = (Number of Permanent Faculty ÷ Total Students), capped at an optimal level.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These formulas ensure uniformity and comparability across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Step 2: Sub-Head Scoring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Raw data collected → processed using the defined metric → converted into a normalized score (usually 0–100).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institutions with different sizes/scales are judged fairly.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Step 3: Head-Level Score Aggregation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All sub-head scores under a parameter are added together using their predefined sub-weightages.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 TLR (30%) = Weighted sum of (Faculty Ratio + Faculty with Ph.D. + Financial Resources + Student Strength).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Step 4: Overall Score Computation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head score is multiplied by its overall weight (TLR 30%, RP 30%, GO 20%, OI 10%, PR 10%).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head scores are added together to give the final institutional score.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Step 5: Maximum Score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overall score is capped at 100.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uniform scale allows ranking across categories (universities, engineering, management, etc.).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Step 6: Rank Ordering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ordered highest to lowest based on overall score.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Final NIRF Ranking List is published annually by category.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Salient Features of the Scoring 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Normalization: Ensures fairness regardless of institutional size.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 Distribution: Balances teaching, research, outcomes, inclusivity, and perception.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Transparency: Formulas and weightages are published openly.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Comparability: Allows benchmarking between institutions of similar or different categories.</w:t>
      </w:r>
    </w:p>
    <w:p>
      <w:pPr>
        <w:keepNext/>
        <w:spacing w:before="200" w:after="100"/>
      </w:pPr>
      <w:r>
        <w:rPr>
          <w:rFonts w:ascii="Cambria" w:hAnsi="Cambria" w:eastAsia="Cambria"/>
          <w:b/>
          <w:i w:val="0"/>
          <w:color w:val="1F3A5F"/>
          <w:sz w:val="26"/>
        </w:rPr>
        <w:t>NIRF methodology – Rank Ordering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Conversion of Scores into Ranks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Once the overall score (out of 100) is computed for every institution, they are arranged in descending order.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institution with the highest score is ranked #1, followed by others sequentially.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Category-wise Ranking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not compared across all types together.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Rankings are published separately for categories such as:</w:t>
      </w:r>
    </w:p>
    <w:p>
      <w:pPr>
        <w:spacing w:after="40"/>
        <w:ind w:left="1247" w:hanging="357"/>
      </w:pPr>
      <w:r>
        <w:rPr>
          <w:rFonts w:ascii="Cambria" w:hAnsi="Cambria" w:eastAsia="Cambria"/>
          <w:b w:val="0"/>
          <w:i w:val="0"/>
          <w:sz w:val="22"/>
        </w:rPr>
        <w:t>▪</w:t>
        <w:tab/>
      </w:r>
      <w:r>
        <w:rPr>
          <w:rFonts w:ascii="Cambria" w:hAnsi="Cambria" w:eastAsia="Cambria"/>
          <w:b w:val="0"/>
          <w:i w:val="0"/>
          <w:sz w:val="22"/>
        </w:rPr>
        <w:t>Universities</w:t>
      </w:r>
    </w:p>
    <w:p>
      <w:pPr>
        <w:spacing w:after="40"/>
        <w:ind w:left="1247" w:hanging="357"/>
      </w:pPr>
      <w:r>
        <w:rPr>
          <w:rFonts w:ascii="Cambria" w:hAnsi="Cambria" w:eastAsia="Cambria"/>
          <w:b w:val="0"/>
          <w:i w:val="0"/>
          <w:sz w:val="22"/>
        </w:rPr>
        <w:t>▪</w:t>
        <w:tab/>
      </w:r>
      <w:r>
        <w:rPr>
          <w:rFonts w:ascii="Cambria" w:hAnsi="Cambria" w:eastAsia="Cambria"/>
          <w:b w:val="0"/>
          <w:i w:val="0"/>
          <w:sz w:val="22"/>
        </w:rPr>
        <w:t>Engineering</w:t>
      </w:r>
    </w:p>
    <w:p>
      <w:pPr>
        <w:spacing w:after="40"/>
        <w:ind w:left="1247" w:hanging="357"/>
      </w:pPr>
      <w:r>
        <w:rPr>
          <w:rFonts w:ascii="Cambria" w:hAnsi="Cambria" w:eastAsia="Cambria"/>
          <w:b w:val="0"/>
          <w:i w:val="0"/>
          <w:sz w:val="22"/>
        </w:rPr>
        <w:t>▪</w:t>
        <w:tab/>
      </w:r>
      <w:r>
        <w:rPr>
          <w:rFonts w:ascii="Cambria" w:hAnsi="Cambria" w:eastAsia="Cambria"/>
          <w:b w:val="0"/>
          <w:i w:val="0"/>
          <w:sz w:val="22"/>
        </w:rPr>
        <w:t>Management</w:t>
      </w:r>
    </w:p>
    <w:p>
      <w:pPr>
        <w:spacing w:after="40"/>
        <w:ind w:left="1247" w:hanging="357"/>
      </w:pPr>
      <w:r>
        <w:rPr>
          <w:rFonts w:ascii="Cambria" w:hAnsi="Cambria" w:eastAsia="Cambria"/>
          <w:b w:val="0"/>
          <w:i w:val="0"/>
          <w:sz w:val="22"/>
        </w:rPr>
        <w:t>▪</w:t>
        <w:tab/>
      </w:r>
      <w:r>
        <w:rPr>
          <w:rFonts w:ascii="Cambria" w:hAnsi="Cambria" w:eastAsia="Cambria"/>
          <w:b w:val="0"/>
          <w:i w:val="0"/>
          <w:sz w:val="22"/>
        </w:rPr>
        <w:t>Pharmacy</w:t>
      </w:r>
    </w:p>
    <w:p>
      <w:pPr>
        <w:spacing w:after="40"/>
        <w:ind w:left="1247" w:hanging="357"/>
      </w:pPr>
      <w:r>
        <w:rPr>
          <w:rFonts w:ascii="Cambria" w:hAnsi="Cambria" w:eastAsia="Cambria"/>
          <w:b w:val="0"/>
          <w:i w:val="0"/>
          <w:sz w:val="22"/>
        </w:rPr>
        <w:t>▪</w:t>
        <w:tab/>
      </w:r>
      <w:r>
        <w:rPr>
          <w:rFonts w:ascii="Cambria" w:hAnsi="Cambria" w:eastAsia="Cambria"/>
          <w:b w:val="0"/>
          <w:i w:val="0"/>
          <w:sz w:val="22"/>
        </w:rPr>
        <w:t>Medical</w:t>
      </w:r>
    </w:p>
    <w:p>
      <w:pPr>
        <w:spacing w:after="40"/>
        <w:ind w:left="1247" w:hanging="357"/>
      </w:pPr>
      <w:r>
        <w:rPr>
          <w:rFonts w:ascii="Cambria" w:hAnsi="Cambria" w:eastAsia="Cambria"/>
          <w:b w:val="0"/>
          <w:i w:val="0"/>
          <w:sz w:val="22"/>
        </w:rPr>
        <w:t>▪</w:t>
        <w:tab/>
      </w:r>
      <w:r>
        <w:rPr>
          <w:rFonts w:ascii="Cambria" w:hAnsi="Cambria" w:eastAsia="Cambria"/>
          <w:b w:val="0"/>
          <w:i w:val="0"/>
          <w:sz w:val="22"/>
        </w:rPr>
        <w:t>Law</w:t>
      </w:r>
    </w:p>
    <w:p>
      <w:pPr>
        <w:spacing w:after="40"/>
        <w:ind w:left="1247" w:hanging="357"/>
      </w:pPr>
      <w:r>
        <w:rPr>
          <w:rFonts w:ascii="Cambria" w:hAnsi="Cambria" w:eastAsia="Cambria"/>
          <w:b w:val="0"/>
          <w:i w:val="0"/>
          <w:sz w:val="22"/>
        </w:rPr>
        <w:t>▪</w:t>
        <w:tab/>
      </w:r>
      <w:r>
        <w:rPr>
          <w:rFonts w:ascii="Cambria" w:hAnsi="Cambria" w:eastAsia="Cambria"/>
          <w:b w:val="0"/>
          <w:i w:val="0"/>
          <w:sz w:val="22"/>
        </w:rPr>
        <w:t>Architecture &amp; Planning</w:t>
      </w:r>
    </w:p>
    <w:p>
      <w:pPr>
        <w:spacing w:after="40"/>
        <w:ind w:left="1247" w:hanging="357"/>
      </w:pPr>
      <w:r>
        <w:rPr>
          <w:rFonts w:ascii="Cambria" w:hAnsi="Cambria" w:eastAsia="Cambria"/>
          <w:b w:val="0"/>
          <w:i w:val="0"/>
          <w:sz w:val="22"/>
        </w:rPr>
        <w:t>▪</w:t>
        <w:tab/>
      </w:r>
      <w:r>
        <w:rPr>
          <w:rFonts w:ascii="Cambria" w:hAnsi="Cambria" w:eastAsia="Cambria"/>
          <w:b w:val="0"/>
          <w:i w:val="0"/>
          <w:sz w:val="22"/>
        </w:rPr>
        <w:t>Dental, Agriculture,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Additionally, an Overall Ranking list is also published.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Handling of 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two or more institutions obtain the same score, they are given the same rank.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next rank is skipped (e.g., if two institutions tie at Rank 5, the next one gets Rank 7).</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Annual Publication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Ministry of Education, Government of India, releases the NIRF rankings once every year.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Results are made public on the official NIRF website for transparency.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Impact of Rank Ordering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Benchmarking: Institutions know where they stand nationally.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Decision-making tool: Helps students and parents choose the right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Policy-making: Guides government and regulators in planning support and incentives.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Reputation &amp; Competition: Higher ranks enhance visibility and brand value of institutions.</w:t>
      </w:r>
    </w:p>
    <w:p>
      <w:pPr>
        <w:keepNext/>
        <w:spacing w:before="200" w:after="100"/>
      </w:pPr>
      <w:r>
        <w:rPr>
          <w:rFonts w:ascii="Cambria" w:hAnsi="Cambria" w:eastAsia="Cambria"/>
          <w:b/>
          <w:i w:val="0"/>
          <w:color w:val="1F3A5F"/>
          <w:sz w:val="26"/>
        </w:rPr>
        <w:t>NIRF Parameters, Sub-Parameters, and Weightage Distribution</w:t>
      </w:r>
    </w:p>
    <w:tbl>
      <w:tblPr>
        <w:tblW w:type="dxa" w:w="9412"/>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71"/>
            <w:shd w:val="clear" w:color="auto" w:fill="1F3A5F"/>
          </w:tcPr>
          <w:p>
            <w:pPr>
              <w:spacing w:after="40" w:line="240" w:lineRule="auto"/>
              <w:jc w:val="center"/>
            </w:pPr>
            <w:r/>
            <w:r>
              <w:rPr>
                <w:rFonts w:ascii="Cambria" w:hAnsi="Cambria" w:eastAsia="Cambria"/>
                <w:b/>
                <w:i w:val="0"/>
                <w:color w:val="FFFFFF"/>
                <w:sz w:val="22"/>
              </w:rPr>
              <w:t>Parameter (Broad Head)</w:t>
            </w:r>
          </w:p>
        </w:tc>
        <w:tc>
          <w:tcPr>
            <w:tcW w:type="dxa" w:w="1020"/>
            <w:shd w:val="clear" w:color="auto" w:fill="1F3A5F"/>
          </w:tcPr>
          <w:p>
            <w:pPr>
              <w:spacing w:after="40" w:line="240" w:lineRule="auto"/>
              <w:jc w:val="center"/>
            </w:pPr>
            <w:r/>
            <w:r>
              <w:rPr>
                <w:rFonts w:ascii="Cambria" w:hAnsi="Cambria" w:eastAsia="Cambria"/>
                <w:b/>
                <w:i w:val="0"/>
                <w:color w:val="FFFFFF"/>
                <w:sz w:val="22"/>
              </w:rPr>
              <w:t>Weight (%)</w:t>
            </w:r>
          </w:p>
        </w:tc>
        <w:tc>
          <w:tcPr>
            <w:tcW w:type="dxa" w:w="4139"/>
            <w:shd w:val="clear" w:color="auto" w:fill="1F3A5F"/>
          </w:tcPr>
          <w:p>
            <w:pPr>
              <w:spacing w:after="40" w:line="240" w:lineRule="auto"/>
              <w:jc w:val="center"/>
            </w:pPr>
            <w:r/>
            <w:r>
              <w:rPr>
                <w:rFonts w:ascii="Cambria" w:hAnsi="Cambria" w:eastAsia="Cambria"/>
                <w:b/>
                <w:i w:val="0"/>
                <w:color w:val="FFFFFF"/>
                <w:sz w:val="22"/>
              </w:rPr>
              <w:t>Sub-Parameters</w:t>
            </w:r>
          </w:p>
        </w:tc>
        <w:tc>
          <w:tcPr>
            <w:tcW w:type="dxa" w:w="1190"/>
            <w:shd w:val="clear" w:color="auto" w:fill="1F3A5F"/>
          </w:tcPr>
          <w:p>
            <w:pPr>
              <w:spacing w:after="40" w:line="240" w:lineRule="auto"/>
              <w:jc w:val="center"/>
            </w:pPr>
            <w:r/>
            <w:r>
              <w:rPr>
                <w:rFonts w:ascii="Cambria" w:hAnsi="Cambria" w:eastAsia="Cambria"/>
                <w:b/>
                <w:i w:val="0"/>
                <w:color w:val="FFFFFF"/>
                <w:sz w:val="22"/>
              </w:rPr>
              <w:t>Sub-Parameter Weightage (%)</w:t>
            </w:r>
          </w:p>
        </w:tc>
        <w:tc>
          <w:tcPr>
            <w:tcW w:type="dxa" w:w="1190"/>
            <w:shd w:val="clear" w:color="auto" w:fill="1F3A5F"/>
          </w:tcPr>
          <w:p>
            <w:pPr>
              <w:spacing w:after="40" w:line="240" w:lineRule="auto"/>
              <w:jc w:val="center"/>
            </w:pPr>
            <w:r/>
            <w:r>
              <w:rPr>
                <w:rFonts w:ascii="Cambria" w:hAnsi="Cambria" w:eastAsia="Cambria"/>
                <w:b/>
                <w:i w:val="0"/>
                <w:color w:val="FFFFFF"/>
                <w:sz w:val="22"/>
              </w:rPr>
              <w:t>Contribution to Overall Score (%)</w:t>
            </w:r>
          </w:p>
        </w:tc>
      </w:tr>
      <w:tr>
        <w:tc>
          <w:tcPr>
            <w:tcW w:type="dxa" w:w="1871"/>
          </w:tcPr>
          <w:p>
            <w:pPr>
              <w:spacing w:after="40" w:line="240" w:lineRule="auto"/>
              <w:jc w:val="left"/>
            </w:pPr>
            <w:r/>
            <w:r>
              <w:rPr>
                <w:rFonts w:ascii="Cambria" w:hAnsi="Cambria" w:eastAsia="Cambria"/>
                <w:b w:val="0"/>
                <w:i w:val="0"/>
                <w:sz w:val="22"/>
              </w:rPr>
              <w:t>1. Teaching, Learning &amp; Resources (TLR)</w:t>
            </w:r>
          </w:p>
        </w:tc>
        <w:tc>
          <w:tcPr>
            <w:tcW w:type="dxa" w:w="1020"/>
          </w:tcPr>
          <w:p>
            <w:pPr>
              <w:spacing w:after="40" w:line="240" w:lineRule="auto"/>
              <w:jc w:val="center"/>
            </w:pPr>
            <w:r/>
            <w:r>
              <w:rPr>
                <w:rFonts w:ascii="Cambria" w:hAnsi="Cambria" w:eastAsia="Cambria"/>
                <w:b w:val="0"/>
                <w:i w:val="0"/>
                <w:sz w:val="22"/>
              </w:rPr>
              <w:t>30</w:t>
            </w:r>
          </w:p>
        </w:tc>
        <w:tc>
          <w:tcPr>
            <w:tcW w:type="dxa" w:w="4139"/>
          </w:tcPr>
          <w:p>
            <w:pPr>
              <w:spacing w:after="40" w:line="240" w:lineRule="auto"/>
              <w:jc w:val="center"/>
            </w:pPr>
            <w:r/>
            <w:r>
              <w:rPr>
                <w:rFonts w:ascii="Cambria" w:hAnsi="Cambria" w:eastAsia="Cambria"/>
                <w:b w:val="0"/>
                <w:i w:val="0"/>
                <w:sz w:val="22"/>
              </w:rPr>
              <w:t>Student Strength (SS) including Doctoral Students</w:t>
            </w:r>
          </w:p>
        </w:tc>
        <w:tc>
          <w:tcPr>
            <w:tcW w:type="dxa" w:w="1190"/>
          </w:tcPr>
          <w:p>
            <w:pPr>
              <w:spacing w:after="40" w:line="240" w:lineRule="auto"/>
              <w:jc w:val="center"/>
            </w:pPr>
            <w:r/>
            <w:r>
              <w:rPr>
                <w:rFonts w:ascii="Cambria" w:hAnsi="Cambria" w:eastAsia="Cambria"/>
                <w:b w:val="0"/>
                <w:i w:val="0"/>
                <w:sz w:val="22"/>
              </w:rPr>
              <w:t>20</w:t>
            </w:r>
          </w:p>
        </w:tc>
        <w:tc>
          <w:tcPr>
            <w:tcW w:type="dxa" w:w="1190"/>
          </w:tcPr>
          <w:p>
            <w:pPr>
              <w:spacing w:after="40" w:line="240" w:lineRule="auto"/>
              <w:jc w:val="center"/>
            </w:pPr>
            <w:r/>
            <w:r>
              <w:rPr>
                <w:rFonts w:ascii="Cambria" w:hAnsi="Cambria" w:eastAsia="Cambria"/>
                <w:b w:val="0"/>
                <w:i w:val="0"/>
                <w:sz w:val="22"/>
              </w:rPr>
              <w:t>6</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Faculty–Student Ratio (FSR) with Emphasis on Permanent Faculty</w:t>
            </w:r>
          </w:p>
        </w:tc>
        <w:tc>
          <w:tcPr>
            <w:tcW w:type="dxa" w:w="1190"/>
            <w:shd w:val="clear" w:color="auto" w:fill="DCE6F1"/>
          </w:tcPr>
          <w:p>
            <w:pPr>
              <w:spacing w:after="40" w:line="240" w:lineRule="auto"/>
              <w:jc w:val="center"/>
            </w:pPr>
            <w:r/>
            <w:r>
              <w:rPr>
                <w:rFonts w:ascii="Cambria" w:hAnsi="Cambria" w:eastAsia="Cambria"/>
                <w:b w:val="0"/>
                <w:i w:val="0"/>
                <w:sz w:val="22"/>
              </w:rPr>
              <w:t>30</w:t>
            </w:r>
          </w:p>
        </w:tc>
        <w:tc>
          <w:tcPr>
            <w:tcW w:type="dxa" w:w="1190"/>
            <w:shd w:val="clear" w:color="auto" w:fill="DCE6F1"/>
          </w:tcPr>
          <w:p>
            <w:pPr>
              <w:spacing w:after="40" w:line="240" w:lineRule="auto"/>
              <w:jc w:val="center"/>
            </w:pPr>
            <w:r/>
            <w:r>
              <w:rPr>
                <w:rFonts w:ascii="Cambria" w:hAnsi="Cambria" w:eastAsia="Cambria"/>
                <w:b w:val="0"/>
                <w:i w:val="0"/>
                <w:sz w:val="22"/>
              </w:rPr>
              <w:t>9</w:t>
            </w:r>
          </w:p>
        </w:tc>
      </w:tr>
      <w:tr>
        <w:tc>
          <w:tcPr>
            <w:tcW w:type="dxa" w:w="1871"/>
          </w:tcPr>
          <w:p>
            <w:pPr>
              <w:spacing w:after="40" w:line="240" w:lineRule="auto"/>
              <w:jc w:val="left"/>
            </w:pPr>
            <w:r/>
            <w:r>
              <w:rPr>
                <w:rFonts w:ascii="Cambria" w:hAnsi="Cambria" w:eastAsia="Cambria"/>
                <w:b w:val="0"/>
                <w:i w:val="0"/>
                <w:sz w:val="22"/>
              </w:rPr>
            </w:r>
          </w:p>
        </w:tc>
        <w:tc>
          <w:tcPr>
            <w:tcW w:type="dxa" w:w="1020"/>
          </w:tcPr>
          <w:p>
            <w:pPr>
              <w:spacing w:after="40" w:line="240" w:lineRule="auto"/>
              <w:jc w:val="center"/>
            </w:pPr>
            <w:r/>
            <w:r>
              <w:rPr>
                <w:rFonts w:ascii="Cambria" w:hAnsi="Cambria" w:eastAsia="Cambria"/>
                <w:b w:val="0"/>
                <w:i w:val="0"/>
                <w:sz w:val="22"/>
              </w:rPr>
            </w:r>
          </w:p>
        </w:tc>
        <w:tc>
          <w:tcPr>
            <w:tcW w:type="dxa" w:w="4139"/>
          </w:tcPr>
          <w:p>
            <w:pPr>
              <w:spacing w:after="40" w:line="240" w:lineRule="auto"/>
              <w:jc w:val="center"/>
            </w:pPr>
            <w:r/>
            <w:r>
              <w:rPr>
                <w:rFonts w:ascii="Cambria" w:hAnsi="Cambria" w:eastAsia="Cambria"/>
                <w:b w:val="0"/>
                <w:i w:val="0"/>
                <w:sz w:val="22"/>
              </w:rPr>
              <w:t>Faculty Qualification &amp; Experience (FQE)</w:t>
            </w:r>
          </w:p>
        </w:tc>
        <w:tc>
          <w:tcPr>
            <w:tcW w:type="dxa" w:w="1190"/>
          </w:tcPr>
          <w:p>
            <w:pPr>
              <w:spacing w:after="40" w:line="240" w:lineRule="auto"/>
              <w:jc w:val="center"/>
            </w:pPr>
            <w:r/>
            <w:r>
              <w:rPr>
                <w:rFonts w:ascii="Cambria" w:hAnsi="Cambria" w:eastAsia="Cambria"/>
                <w:b w:val="0"/>
                <w:i w:val="0"/>
                <w:sz w:val="22"/>
              </w:rPr>
              <w:t>20</w:t>
            </w:r>
          </w:p>
        </w:tc>
        <w:tc>
          <w:tcPr>
            <w:tcW w:type="dxa" w:w="1190"/>
          </w:tcPr>
          <w:p>
            <w:pPr>
              <w:spacing w:after="40" w:line="240" w:lineRule="auto"/>
              <w:jc w:val="center"/>
            </w:pPr>
            <w:r/>
            <w:r>
              <w:rPr>
                <w:rFonts w:ascii="Cambria" w:hAnsi="Cambria" w:eastAsia="Cambria"/>
                <w:b w:val="0"/>
                <w:i w:val="0"/>
                <w:sz w:val="22"/>
              </w:rPr>
              <w:t>6</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Financial Resources and Utilization (FRU)</w:t>
            </w:r>
          </w:p>
        </w:tc>
        <w:tc>
          <w:tcPr>
            <w:tcW w:type="dxa" w:w="1190"/>
            <w:shd w:val="clear" w:color="auto" w:fill="DCE6F1"/>
          </w:tcPr>
          <w:p>
            <w:pPr>
              <w:spacing w:after="40" w:line="240" w:lineRule="auto"/>
              <w:jc w:val="center"/>
            </w:pPr>
            <w:r/>
            <w:r>
              <w:rPr>
                <w:rFonts w:ascii="Cambria" w:hAnsi="Cambria" w:eastAsia="Cambria"/>
                <w:b w:val="0"/>
                <w:i w:val="0"/>
                <w:sz w:val="22"/>
              </w:rPr>
              <w:t>30</w:t>
            </w:r>
          </w:p>
        </w:tc>
        <w:tc>
          <w:tcPr>
            <w:tcW w:type="dxa" w:w="1190"/>
            <w:shd w:val="clear" w:color="auto" w:fill="DCE6F1"/>
          </w:tcPr>
          <w:p>
            <w:pPr>
              <w:spacing w:after="40" w:line="240" w:lineRule="auto"/>
              <w:jc w:val="center"/>
            </w:pPr>
            <w:r/>
            <w:r>
              <w:rPr>
                <w:rFonts w:ascii="Cambria" w:hAnsi="Cambria" w:eastAsia="Cambria"/>
                <w:b w:val="0"/>
                <w:i w:val="0"/>
                <w:sz w:val="22"/>
              </w:rPr>
              <w:t>9</w:t>
            </w:r>
          </w:p>
        </w:tc>
      </w:tr>
      <w:tr>
        <w:tc>
          <w:tcPr>
            <w:tcW w:type="dxa" w:w="1871"/>
          </w:tcPr>
          <w:p>
            <w:pPr>
              <w:spacing w:after="40" w:line="240" w:lineRule="auto"/>
              <w:jc w:val="left"/>
            </w:pPr>
            <w:r/>
            <w:r>
              <w:rPr>
                <w:rFonts w:ascii="Cambria" w:hAnsi="Cambria" w:eastAsia="Cambria"/>
                <w:b w:val="0"/>
                <w:i w:val="0"/>
                <w:sz w:val="22"/>
              </w:rPr>
              <w:t>2. Research &amp; Professional Practices (RP)</w:t>
            </w:r>
          </w:p>
        </w:tc>
        <w:tc>
          <w:tcPr>
            <w:tcW w:type="dxa" w:w="1020"/>
          </w:tcPr>
          <w:p>
            <w:pPr>
              <w:spacing w:after="40" w:line="240" w:lineRule="auto"/>
              <w:jc w:val="center"/>
            </w:pPr>
            <w:r/>
            <w:r>
              <w:rPr>
                <w:rFonts w:ascii="Cambria" w:hAnsi="Cambria" w:eastAsia="Cambria"/>
                <w:b w:val="0"/>
                <w:i w:val="0"/>
                <w:sz w:val="22"/>
              </w:rPr>
              <w:t>30</w:t>
            </w:r>
          </w:p>
        </w:tc>
        <w:tc>
          <w:tcPr>
            <w:tcW w:type="dxa" w:w="4139"/>
          </w:tcPr>
          <w:p>
            <w:pPr>
              <w:spacing w:after="40" w:line="240" w:lineRule="auto"/>
              <w:jc w:val="center"/>
            </w:pPr>
            <w:r/>
            <w:r>
              <w:rPr>
                <w:rFonts w:ascii="Cambria" w:hAnsi="Cambria" w:eastAsia="Cambria"/>
                <w:b w:val="0"/>
                <w:i w:val="0"/>
                <w:sz w:val="22"/>
              </w:rPr>
              <w:t>Publications (PU)</w:t>
            </w:r>
          </w:p>
        </w:tc>
        <w:tc>
          <w:tcPr>
            <w:tcW w:type="dxa" w:w="1190"/>
          </w:tcPr>
          <w:p>
            <w:pPr>
              <w:spacing w:after="40" w:line="240" w:lineRule="auto"/>
              <w:jc w:val="center"/>
            </w:pPr>
            <w:r/>
            <w:r>
              <w:rPr>
                <w:rFonts w:ascii="Cambria" w:hAnsi="Cambria" w:eastAsia="Cambria"/>
                <w:b w:val="0"/>
                <w:i w:val="0"/>
                <w:sz w:val="22"/>
              </w:rPr>
              <w:t>35</w:t>
            </w:r>
          </w:p>
        </w:tc>
        <w:tc>
          <w:tcPr>
            <w:tcW w:type="dxa" w:w="1190"/>
          </w:tcPr>
          <w:p>
            <w:pPr>
              <w:spacing w:after="40" w:line="240" w:lineRule="auto"/>
              <w:jc w:val="center"/>
            </w:pPr>
            <w:r/>
            <w:r>
              <w:rPr>
                <w:rFonts w:ascii="Cambria" w:hAnsi="Cambria" w:eastAsia="Cambria"/>
                <w:b w:val="0"/>
                <w:i w:val="0"/>
                <w:sz w:val="22"/>
              </w:rPr>
              <w:t>10.5</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Quality of Publications (QP – citations, impact factor, etc.)</w:t>
            </w:r>
          </w:p>
        </w:tc>
        <w:tc>
          <w:tcPr>
            <w:tcW w:type="dxa" w:w="1190"/>
            <w:shd w:val="clear" w:color="auto" w:fill="DCE6F1"/>
          </w:tcPr>
          <w:p>
            <w:pPr>
              <w:spacing w:after="40" w:line="240" w:lineRule="auto"/>
              <w:jc w:val="center"/>
            </w:pPr>
            <w:r/>
            <w:r>
              <w:rPr>
                <w:rFonts w:ascii="Cambria" w:hAnsi="Cambria" w:eastAsia="Cambria"/>
                <w:b w:val="0"/>
                <w:i w:val="0"/>
                <w:sz w:val="22"/>
              </w:rPr>
              <w:t>35</w:t>
            </w:r>
          </w:p>
        </w:tc>
        <w:tc>
          <w:tcPr>
            <w:tcW w:type="dxa" w:w="1190"/>
            <w:shd w:val="clear" w:color="auto" w:fill="DCE6F1"/>
          </w:tcPr>
          <w:p>
            <w:pPr>
              <w:spacing w:after="40" w:line="240" w:lineRule="auto"/>
              <w:jc w:val="center"/>
            </w:pPr>
            <w:r/>
            <w:r>
              <w:rPr>
                <w:rFonts w:ascii="Cambria" w:hAnsi="Cambria" w:eastAsia="Cambria"/>
                <w:b w:val="0"/>
                <w:i w:val="0"/>
                <w:sz w:val="22"/>
              </w:rPr>
              <w:t>10.5</w:t>
            </w:r>
          </w:p>
        </w:tc>
      </w:tr>
      <w:tr>
        <w:tc>
          <w:tcPr>
            <w:tcW w:type="dxa" w:w="1871"/>
          </w:tcPr>
          <w:p>
            <w:pPr>
              <w:spacing w:after="40" w:line="240" w:lineRule="auto"/>
              <w:jc w:val="left"/>
            </w:pPr>
            <w:r/>
            <w:r>
              <w:rPr>
                <w:rFonts w:ascii="Cambria" w:hAnsi="Cambria" w:eastAsia="Cambria"/>
                <w:b w:val="0"/>
                <w:i w:val="0"/>
                <w:sz w:val="22"/>
              </w:rPr>
            </w:r>
          </w:p>
        </w:tc>
        <w:tc>
          <w:tcPr>
            <w:tcW w:type="dxa" w:w="1020"/>
          </w:tcPr>
          <w:p>
            <w:pPr>
              <w:spacing w:after="40" w:line="240" w:lineRule="auto"/>
              <w:jc w:val="center"/>
            </w:pPr>
            <w:r/>
            <w:r>
              <w:rPr>
                <w:rFonts w:ascii="Cambria" w:hAnsi="Cambria" w:eastAsia="Cambria"/>
                <w:b w:val="0"/>
                <w:i w:val="0"/>
                <w:sz w:val="22"/>
              </w:rPr>
            </w:r>
          </w:p>
        </w:tc>
        <w:tc>
          <w:tcPr>
            <w:tcW w:type="dxa" w:w="4139"/>
          </w:tcPr>
          <w:p>
            <w:pPr>
              <w:spacing w:after="40" w:line="240" w:lineRule="auto"/>
              <w:jc w:val="center"/>
            </w:pPr>
            <w:r/>
            <w:r>
              <w:rPr>
                <w:rFonts w:ascii="Cambria" w:hAnsi="Cambria" w:eastAsia="Cambria"/>
                <w:b w:val="0"/>
                <w:i w:val="0"/>
                <w:sz w:val="22"/>
              </w:rPr>
              <w:t>Intellectual Property Rights (IPR) &amp; Patents: Published &amp; Granted</w:t>
            </w:r>
          </w:p>
        </w:tc>
        <w:tc>
          <w:tcPr>
            <w:tcW w:type="dxa" w:w="1190"/>
          </w:tcPr>
          <w:p>
            <w:pPr>
              <w:spacing w:after="40" w:line="240" w:lineRule="auto"/>
              <w:jc w:val="center"/>
            </w:pPr>
            <w:r/>
            <w:r>
              <w:rPr>
                <w:rFonts w:ascii="Cambria" w:hAnsi="Cambria" w:eastAsia="Cambria"/>
                <w:b w:val="0"/>
                <w:i w:val="0"/>
                <w:sz w:val="22"/>
              </w:rPr>
              <w:t>15</w:t>
            </w:r>
          </w:p>
        </w:tc>
        <w:tc>
          <w:tcPr>
            <w:tcW w:type="dxa" w:w="1190"/>
          </w:tcPr>
          <w:p>
            <w:pPr>
              <w:spacing w:after="40" w:line="240" w:lineRule="auto"/>
              <w:jc w:val="center"/>
            </w:pPr>
            <w:r/>
            <w:r>
              <w:rPr>
                <w:rFonts w:ascii="Cambria" w:hAnsi="Cambria" w:eastAsia="Cambria"/>
                <w:b w:val="0"/>
                <w:i w:val="0"/>
                <w:sz w:val="22"/>
              </w:rPr>
              <w:t>4.5</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Footprint of Projects, Professional Practice &amp; Executive Development Programs (FPPP)</w:t>
            </w:r>
          </w:p>
        </w:tc>
        <w:tc>
          <w:tcPr>
            <w:tcW w:type="dxa" w:w="1190"/>
            <w:shd w:val="clear" w:color="auto" w:fill="DCE6F1"/>
          </w:tcPr>
          <w:p>
            <w:pPr>
              <w:spacing w:after="40" w:line="240" w:lineRule="auto"/>
              <w:jc w:val="center"/>
            </w:pPr>
            <w:r/>
            <w:r>
              <w:rPr>
                <w:rFonts w:ascii="Cambria" w:hAnsi="Cambria" w:eastAsia="Cambria"/>
                <w:b w:val="0"/>
                <w:i w:val="0"/>
                <w:sz w:val="22"/>
              </w:rPr>
              <w:t>15</w:t>
            </w:r>
          </w:p>
        </w:tc>
        <w:tc>
          <w:tcPr>
            <w:tcW w:type="dxa" w:w="1190"/>
            <w:shd w:val="clear" w:color="auto" w:fill="DCE6F1"/>
          </w:tcPr>
          <w:p>
            <w:pPr>
              <w:spacing w:after="40" w:line="240" w:lineRule="auto"/>
              <w:jc w:val="center"/>
            </w:pPr>
            <w:r/>
            <w:r>
              <w:rPr>
                <w:rFonts w:ascii="Cambria" w:hAnsi="Cambria" w:eastAsia="Cambria"/>
                <w:b w:val="0"/>
                <w:i w:val="0"/>
                <w:sz w:val="22"/>
              </w:rPr>
              <w:t>4.5</w:t>
            </w:r>
          </w:p>
        </w:tc>
      </w:tr>
      <w:tr>
        <w:tc>
          <w:tcPr>
            <w:tcW w:type="dxa" w:w="1871"/>
          </w:tcPr>
          <w:p>
            <w:pPr>
              <w:spacing w:after="40" w:line="240" w:lineRule="auto"/>
              <w:jc w:val="left"/>
            </w:pPr>
            <w:r/>
            <w:r>
              <w:rPr>
                <w:rFonts w:ascii="Cambria" w:hAnsi="Cambria" w:eastAsia="Cambria"/>
                <w:b w:val="0"/>
                <w:i w:val="0"/>
                <w:sz w:val="22"/>
              </w:rPr>
              <w:t>3. Graduation Outcomes (GO)</w:t>
            </w:r>
          </w:p>
        </w:tc>
        <w:tc>
          <w:tcPr>
            <w:tcW w:type="dxa" w:w="1020"/>
          </w:tcPr>
          <w:p>
            <w:pPr>
              <w:spacing w:after="40" w:line="240" w:lineRule="auto"/>
              <w:jc w:val="center"/>
            </w:pPr>
            <w:r/>
            <w:r>
              <w:rPr>
                <w:rFonts w:ascii="Cambria" w:hAnsi="Cambria" w:eastAsia="Cambria"/>
                <w:b w:val="0"/>
                <w:i w:val="0"/>
                <w:sz w:val="22"/>
              </w:rPr>
              <w:t>20</w:t>
            </w:r>
          </w:p>
        </w:tc>
        <w:tc>
          <w:tcPr>
            <w:tcW w:type="dxa" w:w="4139"/>
          </w:tcPr>
          <w:p>
            <w:pPr>
              <w:spacing w:after="40" w:line="240" w:lineRule="auto"/>
              <w:jc w:val="center"/>
            </w:pPr>
            <w:r/>
            <w:r>
              <w:rPr>
                <w:rFonts w:ascii="Cambria" w:hAnsi="Cambria" w:eastAsia="Cambria"/>
                <w:b w:val="0"/>
                <w:i w:val="0"/>
                <w:sz w:val="22"/>
              </w:rPr>
              <w:t>Placement &amp; Higher Studies (GPH)</w:t>
            </w:r>
          </w:p>
        </w:tc>
        <w:tc>
          <w:tcPr>
            <w:tcW w:type="dxa" w:w="1190"/>
          </w:tcPr>
          <w:p>
            <w:pPr>
              <w:spacing w:after="40" w:line="240" w:lineRule="auto"/>
              <w:jc w:val="center"/>
            </w:pPr>
            <w:r/>
            <w:r>
              <w:rPr>
                <w:rFonts w:ascii="Cambria" w:hAnsi="Cambria" w:eastAsia="Cambria"/>
                <w:b w:val="0"/>
                <w:i w:val="0"/>
                <w:sz w:val="22"/>
              </w:rPr>
              <w:t>40</w:t>
            </w:r>
          </w:p>
        </w:tc>
        <w:tc>
          <w:tcPr>
            <w:tcW w:type="dxa" w:w="1190"/>
          </w:tcPr>
          <w:p>
            <w:pPr>
              <w:spacing w:after="40" w:line="240" w:lineRule="auto"/>
              <w:jc w:val="center"/>
            </w:pPr>
            <w:r/>
            <w:r>
              <w:rPr>
                <w:rFonts w:ascii="Cambria" w:hAnsi="Cambria" w:eastAsia="Cambria"/>
                <w:b w:val="0"/>
                <w:i w:val="0"/>
                <w:sz w:val="22"/>
              </w:rPr>
              <w:t>8</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University Exams: Median Salary, Graduate Employment (GUE)</w:t>
            </w:r>
          </w:p>
        </w:tc>
        <w:tc>
          <w:tcPr>
            <w:tcW w:type="dxa" w:w="1190"/>
            <w:shd w:val="clear" w:color="auto" w:fill="DCE6F1"/>
          </w:tcPr>
          <w:p>
            <w:pPr>
              <w:spacing w:after="40" w:line="240" w:lineRule="auto"/>
              <w:jc w:val="center"/>
            </w:pPr>
            <w:r/>
            <w:r>
              <w:rPr>
                <w:rFonts w:ascii="Cambria" w:hAnsi="Cambria" w:eastAsia="Cambria"/>
                <w:b w:val="0"/>
                <w:i w:val="0"/>
                <w:sz w:val="22"/>
              </w:rPr>
              <w:t>25</w:t>
            </w:r>
          </w:p>
        </w:tc>
        <w:tc>
          <w:tcPr>
            <w:tcW w:type="dxa" w:w="1190"/>
            <w:shd w:val="clear" w:color="auto" w:fill="DCE6F1"/>
          </w:tcPr>
          <w:p>
            <w:pPr>
              <w:spacing w:after="40" w:line="240" w:lineRule="auto"/>
              <w:jc w:val="center"/>
            </w:pPr>
            <w:r/>
            <w:r>
              <w:rPr>
                <w:rFonts w:ascii="Cambria" w:hAnsi="Cambria" w:eastAsia="Cambria"/>
                <w:b w:val="0"/>
                <w:i w:val="0"/>
                <w:sz w:val="22"/>
              </w:rPr>
              <w:t>5</w:t>
            </w:r>
          </w:p>
        </w:tc>
      </w:tr>
      <w:tr>
        <w:tc>
          <w:tcPr>
            <w:tcW w:type="dxa" w:w="1871"/>
          </w:tcPr>
          <w:p>
            <w:pPr>
              <w:spacing w:after="40" w:line="240" w:lineRule="auto"/>
              <w:jc w:val="left"/>
            </w:pPr>
            <w:r/>
            <w:r>
              <w:rPr>
                <w:rFonts w:ascii="Cambria" w:hAnsi="Cambria" w:eastAsia="Cambria"/>
                <w:b w:val="0"/>
                <w:i w:val="0"/>
                <w:sz w:val="22"/>
              </w:rPr>
            </w:r>
          </w:p>
        </w:tc>
        <w:tc>
          <w:tcPr>
            <w:tcW w:type="dxa" w:w="1020"/>
          </w:tcPr>
          <w:p>
            <w:pPr>
              <w:spacing w:after="40" w:line="240" w:lineRule="auto"/>
              <w:jc w:val="center"/>
            </w:pPr>
            <w:r/>
            <w:r>
              <w:rPr>
                <w:rFonts w:ascii="Cambria" w:hAnsi="Cambria" w:eastAsia="Cambria"/>
                <w:b w:val="0"/>
                <w:i w:val="0"/>
                <w:sz w:val="22"/>
              </w:rPr>
            </w:r>
          </w:p>
        </w:tc>
        <w:tc>
          <w:tcPr>
            <w:tcW w:type="dxa" w:w="4139"/>
          </w:tcPr>
          <w:p>
            <w:pPr>
              <w:spacing w:after="40" w:line="240" w:lineRule="auto"/>
              <w:jc w:val="center"/>
            </w:pPr>
            <w:r/>
            <w:r>
              <w:rPr>
                <w:rFonts w:ascii="Cambria" w:hAnsi="Cambria" w:eastAsia="Cambria"/>
                <w:b w:val="0"/>
                <w:i w:val="0"/>
                <w:sz w:val="22"/>
              </w:rPr>
              <w:t>Higher Studies (HES)</w:t>
            </w:r>
          </w:p>
        </w:tc>
        <w:tc>
          <w:tcPr>
            <w:tcW w:type="dxa" w:w="1190"/>
          </w:tcPr>
          <w:p>
            <w:pPr>
              <w:spacing w:after="40" w:line="240" w:lineRule="auto"/>
              <w:jc w:val="center"/>
            </w:pPr>
            <w:r/>
            <w:r>
              <w:rPr>
                <w:rFonts w:ascii="Cambria" w:hAnsi="Cambria" w:eastAsia="Cambria"/>
                <w:b w:val="0"/>
                <w:i w:val="0"/>
                <w:sz w:val="22"/>
              </w:rPr>
              <w:t>15</w:t>
            </w:r>
          </w:p>
        </w:tc>
        <w:tc>
          <w:tcPr>
            <w:tcW w:type="dxa" w:w="1190"/>
          </w:tcPr>
          <w:p>
            <w:pPr>
              <w:spacing w:after="40" w:line="240" w:lineRule="auto"/>
              <w:jc w:val="center"/>
            </w:pPr>
            <w:r/>
            <w:r>
              <w:rPr>
                <w:rFonts w:ascii="Cambria" w:hAnsi="Cambria" w:eastAsia="Cambria"/>
                <w:b w:val="0"/>
                <w:i w:val="0"/>
                <w:sz w:val="22"/>
              </w:rPr>
              <w:t>3</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Ph.D. Graduations &amp; Other Outcomes (GPHD/GPHE)</w:t>
            </w:r>
          </w:p>
        </w:tc>
        <w:tc>
          <w:tcPr>
            <w:tcW w:type="dxa" w:w="1190"/>
            <w:shd w:val="clear" w:color="auto" w:fill="DCE6F1"/>
          </w:tcPr>
          <w:p>
            <w:pPr>
              <w:spacing w:after="40" w:line="240" w:lineRule="auto"/>
              <w:jc w:val="center"/>
            </w:pPr>
            <w:r/>
            <w:r>
              <w:rPr>
                <w:rFonts w:ascii="Cambria" w:hAnsi="Cambria" w:eastAsia="Cambria"/>
                <w:b w:val="0"/>
                <w:i w:val="0"/>
                <w:sz w:val="22"/>
              </w:rPr>
              <w:t>20</w:t>
            </w:r>
          </w:p>
        </w:tc>
        <w:tc>
          <w:tcPr>
            <w:tcW w:type="dxa" w:w="1190"/>
            <w:shd w:val="clear" w:color="auto" w:fill="DCE6F1"/>
          </w:tcPr>
          <w:p>
            <w:pPr>
              <w:spacing w:after="40" w:line="240" w:lineRule="auto"/>
              <w:jc w:val="center"/>
            </w:pPr>
            <w:r/>
            <w:r>
              <w:rPr>
                <w:rFonts w:ascii="Cambria" w:hAnsi="Cambria" w:eastAsia="Cambria"/>
                <w:b w:val="0"/>
                <w:i w:val="0"/>
                <w:sz w:val="22"/>
              </w:rPr>
              <w:t>4</w:t>
            </w:r>
          </w:p>
        </w:tc>
      </w:tr>
      <w:tr>
        <w:tc>
          <w:tcPr>
            <w:tcW w:type="dxa" w:w="1871"/>
          </w:tcPr>
          <w:p>
            <w:pPr>
              <w:spacing w:after="40" w:line="240" w:lineRule="auto"/>
              <w:jc w:val="left"/>
            </w:pPr>
            <w:r/>
            <w:r>
              <w:rPr>
                <w:rFonts w:ascii="Cambria" w:hAnsi="Cambria" w:eastAsia="Cambria"/>
                <w:b w:val="0"/>
                <w:i w:val="0"/>
                <w:sz w:val="22"/>
              </w:rPr>
              <w:t>4. Outreach &amp; Inclusivity (OI)</w:t>
            </w:r>
          </w:p>
        </w:tc>
        <w:tc>
          <w:tcPr>
            <w:tcW w:type="dxa" w:w="1020"/>
          </w:tcPr>
          <w:p>
            <w:pPr>
              <w:spacing w:after="40" w:line="240" w:lineRule="auto"/>
              <w:jc w:val="center"/>
            </w:pPr>
            <w:r/>
            <w:r>
              <w:rPr>
                <w:rFonts w:ascii="Cambria" w:hAnsi="Cambria" w:eastAsia="Cambria"/>
                <w:b w:val="0"/>
                <w:i w:val="0"/>
                <w:sz w:val="22"/>
              </w:rPr>
              <w:t>10</w:t>
            </w:r>
          </w:p>
        </w:tc>
        <w:tc>
          <w:tcPr>
            <w:tcW w:type="dxa" w:w="4139"/>
          </w:tcPr>
          <w:p>
            <w:pPr>
              <w:spacing w:after="40" w:line="240" w:lineRule="auto"/>
              <w:jc w:val="center"/>
            </w:pPr>
            <w:r/>
            <w:r>
              <w:rPr>
                <w:rFonts w:ascii="Cambria" w:hAnsi="Cambria" w:eastAsia="Cambria"/>
                <w:b w:val="0"/>
                <w:i w:val="0"/>
                <w:sz w:val="22"/>
              </w:rPr>
              <w:t>Regional Diversity (RD)</w:t>
            </w:r>
          </w:p>
        </w:tc>
        <w:tc>
          <w:tcPr>
            <w:tcW w:type="dxa" w:w="1190"/>
          </w:tcPr>
          <w:p>
            <w:pPr>
              <w:spacing w:after="40" w:line="240" w:lineRule="auto"/>
              <w:jc w:val="center"/>
            </w:pPr>
            <w:r/>
            <w:r>
              <w:rPr>
                <w:rFonts w:ascii="Cambria" w:hAnsi="Cambria" w:eastAsia="Cambria"/>
                <w:b w:val="0"/>
                <w:i w:val="0"/>
                <w:sz w:val="22"/>
              </w:rPr>
              <w:t>30</w:t>
            </w:r>
          </w:p>
        </w:tc>
        <w:tc>
          <w:tcPr>
            <w:tcW w:type="dxa" w:w="1190"/>
          </w:tcPr>
          <w:p>
            <w:pPr>
              <w:spacing w:after="40" w:line="240" w:lineRule="auto"/>
              <w:jc w:val="center"/>
            </w:pPr>
            <w:r/>
            <w:r>
              <w:rPr>
                <w:rFonts w:ascii="Cambria" w:hAnsi="Cambria" w:eastAsia="Cambria"/>
                <w:b w:val="0"/>
                <w:i w:val="0"/>
                <w:sz w:val="22"/>
              </w:rPr>
              <w:t>3</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Women Diversity (WD)</w:t>
            </w:r>
          </w:p>
        </w:tc>
        <w:tc>
          <w:tcPr>
            <w:tcW w:type="dxa" w:w="1190"/>
            <w:shd w:val="clear" w:color="auto" w:fill="DCE6F1"/>
          </w:tcPr>
          <w:p>
            <w:pPr>
              <w:spacing w:after="40" w:line="240" w:lineRule="auto"/>
              <w:jc w:val="center"/>
            </w:pPr>
            <w:r/>
            <w:r>
              <w:rPr>
                <w:rFonts w:ascii="Cambria" w:hAnsi="Cambria" w:eastAsia="Cambria"/>
                <w:b w:val="0"/>
                <w:i w:val="0"/>
                <w:sz w:val="22"/>
              </w:rPr>
              <w:t>30</w:t>
            </w:r>
          </w:p>
        </w:tc>
        <w:tc>
          <w:tcPr>
            <w:tcW w:type="dxa" w:w="1190"/>
            <w:shd w:val="clear" w:color="auto" w:fill="DCE6F1"/>
          </w:tcPr>
          <w:p>
            <w:pPr>
              <w:spacing w:after="40" w:line="240" w:lineRule="auto"/>
              <w:jc w:val="center"/>
            </w:pPr>
            <w:r/>
            <w:r>
              <w:rPr>
                <w:rFonts w:ascii="Cambria" w:hAnsi="Cambria" w:eastAsia="Cambria"/>
                <w:b w:val="0"/>
                <w:i w:val="0"/>
                <w:sz w:val="22"/>
              </w:rPr>
              <w:t>3</w:t>
            </w:r>
          </w:p>
        </w:tc>
      </w:tr>
      <w:tr>
        <w:tc>
          <w:tcPr>
            <w:tcW w:type="dxa" w:w="1871"/>
          </w:tcPr>
          <w:p>
            <w:pPr>
              <w:spacing w:after="40" w:line="240" w:lineRule="auto"/>
              <w:jc w:val="left"/>
            </w:pPr>
            <w:r/>
            <w:r>
              <w:rPr>
                <w:rFonts w:ascii="Cambria" w:hAnsi="Cambria" w:eastAsia="Cambria"/>
                <w:b w:val="0"/>
                <w:i w:val="0"/>
                <w:sz w:val="22"/>
              </w:rPr>
            </w:r>
          </w:p>
        </w:tc>
        <w:tc>
          <w:tcPr>
            <w:tcW w:type="dxa" w:w="1020"/>
          </w:tcPr>
          <w:p>
            <w:pPr>
              <w:spacing w:after="40" w:line="240" w:lineRule="auto"/>
              <w:jc w:val="center"/>
            </w:pPr>
            <w:r/>
            <w:r>
              <w:rPr>
                <w:rFonts w:ascii="Cambria" w:hAnsi="Cambria" w:eastAsia="Cambria"/>
                <w:b w:val="0"/>
                <w:i w:val="0"/>
                <w:sz w:val="22"/>
              </w:rPr>
            </w:r>
          </w:p>
        </w:tc>
        <w:tc>
          <w:tcPr>
            <w:tcW w:type="dxa" w:w="4139"/>
          </w:tcPr>
          <w:p>
            <w:pPr>
              <w:spacing w:after="40" w:line="240" w:lineRule="auto"/>
              <w:jc w:val="center"/>
            </w:pPr>
            <w:r/>
            <w:r>
              <w:rPr>
                <w:rFonts w:ascii="Cambria" w:hAnsi="Cambria" w:eastAsia="Cambria"/>
                <w:b w:val="0"/>
                <w:i w:val="0"/>
                <w:sz w:val="22"/>
              </w:rPr>
              <w:t>Economically &amp; Socially Disadvantaged Students (ESDS)</w:t>
            </w:r>
          </w:p>
        </w:tc>
        <w:tc>
          <w:tcPr>
            <w:tcW w:type="dxa" w:w="1190"/>
          </w:tcPr>
          <w:p>
            <w:pPr>
              <w:spacing w:after="40" w:line="240" w:lineRule="auto"/>
              <w:jc w:val="center"/>
            </w:pPr>
            <w:r/>
            <w:r>
              <w:rPr>
                <w:rFonts w:ascii="Cambria" w:hAnsi="Cambria" w:eastAsia="Cambria"/>
                <w:b w:val="0"/>
                <w:i w:val="0"/>
                <w:sz w:val="22"/>
              </w:rPr>
              <w:t>20</w:t>
            </w:r>
          </w:p>
        </w:tc>
        <w:tc>
          <w:tcPr>
            <w:tcW w:type="dxa" w:w="1190"/>
          </w:tcPr>
          <w:p>
            <w:pPr>
              <w:spacing w:after="40" w:line="240" w:lineRule="auto"/>
              <w:jc w:val="center"/>
            </w:pPr>
            <w:r/>
            <w:r>
              <w:rPr>
                <w:rFonts w:ascii="Cambria" w:hAnsi="Cambria" w:eastAsia="Cambria"/>
                <w:b w:val="0"/>
                <w:i w:val="0"/>
                <w:sz w:val="22"/>
              </w:rPr>
              <w:t>2</w:t>
            </w:r>
          </w:p>
        </w:tc>
      </w:tr>
      <w:tr>
        <w:tc>
          <w:tcPr>
            <w:tcW w:type="dxa" w:w="1871"/>
            <w:shd w:val="clear" w:color="auto" w:fill="DCE6F1"/>
          </w:tcPr>
          <w:p>
            <w:pPr>
              <w:spacing w:after="40" w:line="240" w:lineRule="auto"/>
              <w:jc w:val="left"/>
            </w:pPr>
            <w:r/>
            <w:r>
              <w:rPr>
                <w:rFonts w:ascii="Cambria" w:hAnsi="Cambria" w:eastAsia="Cambria"/>
                <w:b w:val="0"/>
                <w:i w:val="0"/>
                <w:sz w:val="22"/>
              </w:rPr>
            </w:r>
          </w:p>
        </w:tc>
        <w:tc>
          <w:tcPr>
            <w:tcW w:type="dxa" w:w="1020"/>
            <w:shd w:val="clear" w:color="auto" w:fill="DCE6F1"/>
          </w:tcPr>
          <w:p>
            <w:pPr>
              <w:spacing w:after="40" w:line="240" w:lineRule="auto"/>
              <w:jc w:val="center"/>
            </w:pPr>
            <w:r/>
            <w:r>
              <w:rPr>
                <w:rFonts w:ascii="Cambria" w:hAnsi="Cambria" w:eastAsia="Cambria"/>
                <w:b w:val="0"/>
                <w:i w:val="0"/>
                <w:sz w:val="22"/>
              </w:rPr>
            </w:r>
          </w:p>
        </w:tc>
        <w:tc>
          <w:tcPr>
            <w:tcW w:type="dxa" w:w="4139"/>
            <w:shd w:val="clear" w:color="auto" w:fill="DCE6F1"/>
          </w:tcPr>
          <w:p>
            <w:pPr>
              <w:spacing w:after="40" w:line="240" w:lineRule="auto"/>
              <w:jc w:val="center"/>
            </w:pPr>
            <w:r/>
            <w:r>
              <w:rPr>
                <w:rFonts w:ascii="Cambria" w:hAnsi="Cambria" w:eastAsia="Cambria"/>
                <w:b w:val="0"/>
                <w:i w:val="0"/>
                <w:sz w:val="22"/>
              </w:rPr>
              <w:t>Facilities for Physically Challenged Students (PCS)</w:t>
            </w:r>
          </w:p>
        </w:tc>
        <w:tc>
          <w:tcPr>
            <w:tcW w:type="dxa" w:w="1190"/>
            <w:shd w:val="clear" w:color="auto" w:fill="DCE6F1"/>
          </w:tcPr>
          <w:p>
            <w:pPr>
              <w:spacing w:after="40" w:line="240" w:lineRule="auto"/>
              <w:jc w:val="center"/>
            </w:pPr>
            <w:r/>
            <w:r>
              <w:rPr>
                <w:rFonts w:ascii="Cambria" w:hAnsi="Cambria" w:eastAsia="Cambria"/>
                <w:b w:val="0"/>
                <w:i w:val="0"/>
                <w:sz w:val="22"/>
              </w:rPr>
              <w:t>20</w:t>
            </w:r>
          </w:p>
        </w:tc>
        <w:tc>
          <w:tcPr>
            <w:tcW w:type="dxa" w:w="1190"/>
            <w:shd w:val="clear" w:color="auto" w:fill="DCE6F1"/>
          </w:tcPr>
          <w:p>
            <w:pPr>
              <w:spacing w:after="40" w:line="240" w:lineRule="auto"/>
              <w:jc w:val="center"/>
            </w:pPr>
            <w:r/>
            <w:r>
              <w:rPr>
                <w:rFonts w:ascii="Cambria" w:hAnsi="Cambria" w:eastAsia="Cambria"/>
                <w:b w:val="0"/>
                <w:i w:val="0"/>
                <w:sz w:val="22"/>
              </w:rPr>
              <w:t>2</w:t>
            </w:r>
          </w:p>
        </w:tc>
      </w:tr>
      <w:tr>
        <w:tc>
          <w:tcPr>
            <w:tcW w:type="dxa" w:w="1871"/>
          </w:tcPr>
          <w:p>
            <w:pPr>
              <w:spacing w:after="40" w:line="240" w:lineRule="auto"/>
              <w:jc w:val="left"/>
            </w:pPr>
            <w:r/>
            <w:r>
              <w:rPr>
                <w:rFonts w:ascii="Cambria" w:hAnsi="Cambria" w:eastAsia="Cambria"/>
                <w:b w:val="0"/>
                <w:i w:val="0"/>
                <w:sz w:val="22"/>
              </w:rPr>
              <w:t>5. Perception (PR)</w:t>
            </w:r>
          </w:p>
        </w:tc>
        <w:tc>
          <w:tcPr>
            <w:tcW w:type="dxa" w:w="1020"/>
          </w:tcPr>
          <w:p>
            <w:pPr>
              <w:spacing w:after="40" w:line="240" w:lineRule="auto"/>
              <w:jc w:val="center"/>
            </w:pPr>
            <w:r/>
            <w:r>
              <w:rPr>
                <w:rFonts w:ascii="Cambria" w:hAnsi="Cambria" w:eastAsia="Cambria"/>
                <w:b w:val="0"/>
                <w:i w:val="0"/>
                <w:sz w:val="22"/>
              </w:rPr>
              <w:t>10</w:t>
            </w:r>
          </w:p>
        </w:tc>
        <w:tc>
          <w:tcPr>
            <w:tcW w:type="dxa" w:w="4139"/>
          </w:tcPr>
          <w:p>
            <w:pPr>
              <w:spacing w:after="40" w:line="240" w:lineRule="auto"/>
              <w:jc w:val="center"/>
            </w:pPr>
            <w:r/>
            <w:r>
              <w:rPr>
                <w:rFonts w:ascii="Cambria" w:hAnsi="Cambria" w:eastAsia="Cambria"/>
                <w:b w:val="0"/>
                <w:i w:val="0"/>
                <w:sz w:val="22"/>
              </w:rPr>
              <w:t>Academic &amp; Employer Reputation</w:t>
            </w:r>
          </w:p>
        </w:tc>
        <w:tc>
          <w:tcPr>
            <w:tcW w:type="dxa" w:w="1190"/>
          </w:tcPr>
          <w:p>
            <w:pPr>
              <w:spacing w:after="40" w:line="240" w:lineRule="auto"/>
              <w:jc w:val="center"/>
            </w:pPr>
            <w:r/>
            <w:r>
              <w:rPr>
                <w:rFonts w:ascii="Cambria" w:hAnsi="Cambria" w:eastAsia="Cambria"/>
                <w:b w:val="0"/>
                <w:i w:val="0"/>
                <w:sz w:val="22"/>
              </w:rPr>
              <w:t>100</w:t>
            </w:r>
          </w:p>
        </w:tc>
        <w:tc>
          <w:tcPr>
            <w:tcW w:type="dxa" w:w="1190"/>
          </w:tcPr>
          <w:p>
            <w:pPr>
              <w:spacing w:after="40" w:line="240" w:lineRule="auto"/>
              <w:jc w:val="center"/>
            </w:pPr>
            <w:r/>
            <w:r>
              <w:rPr>
                <w:rFonts w:ascii="Cambria" w:hAnsi="Cambria" w:eastAsia="Cambria"/>
                <w:b w:val="0"/>
                <w:i w:val="0"/>
                <w:sz w:val="22"/>
              </w:rPr>
              <w:t>10</w:t>
            </w:r>
          </w:p>
        </w:tc>
      </w:tr>
      <w:tr>
        <w:tc>
          <w:tcPr>
            <w:tcW w:type="dxa" w:w="1871"/>
            <w:shd w:val="clear" w:color="auto" w:fill="B9CDE5"/>
          </w:tcPr>
          <w:p>
            <w:pPr>
              <w:spacing w:after="40" w:line="240" w:lineRule="auto"/>
              <w:jc w:val="left"/>
            </w:pPr>
            <w:r/>
            <w:r>
              <w:rPr>
                <w:rFonts w:ascii="Cambria" w:hAnsi="Cambria" w:eastAsia="Cambria"/>
                <w:b/>
                <w:i w:val="0"/>
                <w:sz w:val="22"/>
              </w:rPr>
              <w:t>Total</w:t>
            </w:r>
          </w:p>
        </w:tc>
        <w:tc>
          <w:tcPr>
            <w:tcW w:type="dxa" w:w="1020"/>
            <w:shd w:val="clear" w:color="auto" w:fill="B9CDE5"/>
          </w:tcPr>
          <w:p>
            <w:pPr>
              <w:spacing w:after="40" w:line="240" w:lineRule="auto"/>
              <w:jc w:val="center"/>
            </w:pPr>
            <w:r/>
            <w:r>
              <w:rPr>
                <w:rFonts w:ascii="Cambria" w:hAnsi="Cambria" w:eastAsia="Cambria"/>
                <w:b/>
                <w:i w:val="0"/>
                <w:sz w:val="22"/>
              </w:rPr>
              <w:t>100</w:t>
            </w:r>
          </w:p>
        </w:tc>
        <w:tc>
          <w:tcPr>
            <w:tcW w:type="dxa" w:w="4139"/>
            <w:shd w:val="clear" w:color="auto" w:fill="B9CDE5"/>
          </w:tcPr>
          <w:p>
            <w:pPr>
              <w:spacing w:after="40" w:line="240" w:lineRule="auto"/>
              <w:jc w:val="center"/>
            </w:pPr>
            <w:r/>
            <w:r>
              <w:rPr>
                <w:rFonts w:ascii="Cambria" w:hAnsi="Cambria" w:eastAsia="Cambria"/>
                <w:b/>
                <w:i w:val="0"/>
                <w:sz w:val="22"/>
              </w:rPr>
              <w:t>–</w:t>
            </w:r>
          </w:p>
        </w:tc>
        <w:tc>
          <w:tcPr>
            <w:tcW w:type="dxa" w:w="1190"/>
            <w:shd w:val="clear" w:color="auto" w:fill="B9CDE5"/>
          </w:tcPr>
          <w:p>
            <w:pPr>
              <w:spacing w:after="40" w:line="240" w:lineRule="auto"/>
              <w:jc w:val="center"/>
            </w:pPr>
            <w:r/>
            <w:r>
              <w:rPr>
                <w:rFonts w:ascii="Cambria" w:hAnsi="Cambria" w:eastAsia="Cambria"/>
                <w:b/>
                <w:i w:val="0"/>
                <w:sz w:val="22"/>
              </w:rPr>
              <w:t>–</w:t>
            </w:r>
          </w:p>
        </w:tc>
        <w:tc>
          <w:tcPr>
            <w:tcW w:type="dxa" w:w="1190"/>
            <w:shd w:val="clear" w:color="auto" w:fill="B9CDE5"/>
          </w:tcPr>
          <w:p>
            <w:pPr>
              <w:spacing w:after="40" w:line="240" w:lineRule="auto"/>
              <w:jc w:val="center"/>
            </w:pPr>
            <w:r/>
            <w:r>
              <w:rPr>
                <w:rFonts w:ascii="Cambria" w:hAnsi="Cambria" w:eastAsia="Cambria"/>
                <w:b/>
                <w:i w:val="0"/>
                <w:sz w:val="22"/>
              </w:rPr>
              <w:t>100</w:t>
            </w:r>
          </w:p>
        </w:tc>
      </w:tr>
    </w:tbl>
    <w:p>
      <w:r>
        <w:br w:type="page"/>
      </w:r>
    </w:p>
    <w:p>
      <w:pPr>
        <w:keepNext/>
        <w:spacing w:before="360" w:after="160"/>
      </w:pPr>
      <w:r>
        <w:rPr>
          <w:rFonts w:ascii="Cambria" w:hAnsi="Cambria" w:eastAsia="Cambria"/>
          <w:b/>
          <w:i w:val="0"/>
          <w:color w:val="1F3A5F"/>
          <w:sz w:val="36"/>
        </w:rPr>
        <w:t>3. Eligibility for Overall and Discipline Specific Rankings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 Overall Ranking for Eligible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All institutions, regardless of discipline or type (comprehensive, specialized, multidisciplinary), will be considered for an overall ranking list.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Eligibility criterion → the institution must have a minimum intake/enrollment of 1000 students across UG and 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only reasonably large institutions with diverse academic activity are compared at the national level.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(ii) Discipline-Specific Ranking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 addition to overall ranking, institutions will also receive a discipline-wise ranking (e.g., engineering, management, pharmacy).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students compare institutions within a field rather than only by overall score.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(iii) Ranking for Focused Institutions (&lt;1000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a single major discipline (Engineering, Medical, Law, Management, Pharmacy, Architecture, UG degree colleges in Arts/Science/Commerce) and less than 1000 students will not appear in overall ranking.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Instead, they will only receive a discipline-specific ranking, ensuring fairness for smaller but specialized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(iv) Separate Registration for Schools/Departments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Faculties or Schools within larger universities (e.g., Faculty of Law, School of Engineering, Department of Management, etc.) must register separately and provide discipline-specific data if they wish to be ranked independently.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universities to highlight the strength of their specialized departments at the national level.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those that opt-in through the registration portal will be considered.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 Participation of Undergraduate Teaching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UG teaching colleges (including degree colleges affiliated to universities) are invited to participate.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Expands the ranking exercise beyond central universities and IITs/IIMs to include state colleges, private colleges, and other teaching-focused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(vi) Minimum Threshold for Discipline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will publish discipline-specific rankings only if a significant number of institutions participate.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Rankings will also require the presence of well-known institutions in that field and acceptable quality scores.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Final decision lies with NIRF, ensuring rankings remain meaningful and competitive.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(vii) Exclusion of Open &amp; Affiliating Universities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Open universities (distance/online education) and affiliating universities (that oversee many colleges without significant teaching/research of their own) are not eligible.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However, if such universities have a physical teaching or research campus, they may participate using data only from that campus.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from their affiliating or distance-learning functions cannot be included.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(viii) Graduation Requirement for Eligibility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ensure reliability, only institutions that have graduated at least three batches of students in full-time UG or PG programs are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Minimum program duration: 3 years (UG) and 2 years (PG).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avoids ranking newly established institutions that do not yet have proven academic outcomes.</w:t>
      </w:r>
    </w:p>
    <w:p>
      <w:pPr>
        <w:keepNext/>
        <w:spacing w:before="200" w:after="100"/>
      </w:pPr>
      <w:r>
        <w:rPr>
          <w:rFonts w:ascii="Cambria" w:hAnsi="Cambria" w:eastAsia="Cambria"/>
          <w:b/>
          <w:i w:val="0"/>
          <w:color w:val="1F3A5F"/>
          <w:sz w:val="26"/>
        </w:rPr>
        <w:t>NIRF Ranking Eligibility &amp; Type of Ranking</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4082"/>
            <w:shd w:val="clear" w:color="auto" w:fill="1F3A5F"/>
          </w:tcPr>
          <w:p>
            <w:pPr>
              <w:spacing w:after="40" w:line="240" w:lineRule="auto"/>
              <w:jc w:val="center"/>
            </w:pPr>
            <w:r/>
            <w:r>
              <w:rPr>
                <w:rFonts w:ascii="Cambria" w:hAnsi="Cambria" w:eastAsia="Cambria"/>
                <w:b/>
                <w:i w:val="0"/>
                <w:color w:val="FFFFFF"/>
                <w:sz w:val="22"/>
              </w:rPr>
              <w:t>Condition</w:t>
            </w:r>
          </w:p>
        </w:tc>
        <w:tc>
          <w:tcPr>
            <w:tcW w:type="dxa" w:w="2891"/>
            <w:shd w:val="clear" w:color="auto" w:fill="1F3A5F"/>
          </w:tcPr>
          <w:p>
            <w:pPr>
              <w:spacing w:after="40" w:line="240" w:lineRule="auto"/>
              <w:jc w:val="center"/>
            </w:pPr>
            <w:r/>
            <w:r>
              <w:rPr>
                <w:rFonts w:ascii="Cambria" w:hAnsi="Cambria" w:eastAsia="Cambria"/>
                <w:b/>
                <w:i w:val="0"/>
                <w:color w:val="FFFFFF"/>
                <w:sz w:val="22"/>
              </w:rPr>
              <w:t>Eligibility</w:t>
            </w:r>
          </w:p>
        </w:tc>
        <w:tc>
          <w:tcPr>
            <w:tcW w:type="dxa" w:w="2438"/>
            <w:shd w:val="clear" w:color="auto" w:fill="1F3A5F"/>
          </w:tcPr>
          <w:p>
            <w:pPr>
              <w:spacing w:after="40" w:line="240" w:lineRule="auto"/>
              <w:jc w:val="center"/>
            </w:pPr>
            <w:r/>
            <w:r>
              <w:rPr>
                <w:rFonts w:ascii="Cambria" w:hAnsi="Cambria" w:eastAsia="Cambria"/>
                <w:b/>
                <w:i w:val="0"/>
                <w:color w:val="FFFFFF"/>
                <w:sz w:val="22"/>
              </w:rPr>
              <w:t>Type of Ranking</w:t>
            </w:r>
          </w:p>
        </w:tc>
      </w:tr>
      <w:tr>
        <w:tc>
          <w:tcPr>
            <w:tcW w:type="dxa" w:w="4082"/>
          </w:tcPr>
          <w:p>
            <w:pPr>
              <w:spacing w:after="40" w:line="240" w:lineRule="auto"/>
              <w:jc w:val="left"/>
            </w:pPr>
            <w:r/>
            <w:r>
              <w:rPr>
                <w:rFonts w:ascii="Cambria" w:hAnsi="Cambria" w:eastAsia="Cambria"/>
                <w:b w:val="0"/>
                <w:i w:val="0"/>
                <w:sz w:val="22"/>
              </w:rPr>
              <w:t>Institution with ≥1000 student intake/enrolled (UG + PG)</w:t>
            </w:r>
          </w:p>
        </w:tc>
        <w:tc>
          <w:tcPr>
            <w:tcW w:type="dxa" w:w="2891"/>
          </w:tcPr>
          <w:p>
            <w:pPr>
              <w:spacing w:after="40" w:line="240" w:lineRule="auto"/>
              <w:jc w:val="center"/>
            </w:pPr>
            <w:r/>
            <w:r>
              <w:rPr>
                <w:rFonts w:ascii="Cambria" w:hAnsi="Cambria" w:eastAsia="Cambria"/>
                <w:b w:val="0"/>
                <w:i w:val="0"/>
                <w:sz w:val="22"/>
              </w:rPr>
              <w:t>Eligible</w:t>
            </w:r>
          </w:p>
        </w:tc>
        <w:tc>
          <w:tcPr>
            <w:tcW w:type="dxa" w:w="2438"/>
          </w:tcPr>
          <w:p>
            <w:pPr>
              <w:spacing w:after="40" w:line="240" w:lineRule="auto"/>
              <w:jc w:val="center"/>
            </w:pPr>
            <w:r/>
            <w:r>
              <w:rPr>
                <w:rFonts w:ascii="Cambria" w:hAnsi="Cambria" w:eastAsia="Cambria"/>
                <w:b w:val="0"/>
                <w:i w:val="0"/>
                <w:sz w:val="22"/>
              </w:rPr>
              <w:t>Overall Rank + Discipline-Specific Rank</w:t>
            </w:r>
          </w:p>
        </w:tc>
      </w:tr>
      <w:tr>
        <w:tc>
          <w:tcPr>
            <w:tcW w:type="dxa" w:w="4082"/>
            <w:shd w:val="clear" w:color="auto" w:fill="DCE6F1"/>
          </w:tcPr>
          <w:p>
            <w:pPr>
              <w:spacing w:after="40" w:line="240" w:lineRule="auto"/>
              <w:jc w:val="left"/>
            </w:pPr>
            <w:r/>
            <w:r>
              <w:rPr>
                <w:rFonts w:ascii="Cambria" w:hAnsi="Cambria" w:eastAsia="Cambria"/>
                <w:b w:val="0"/>
                <w:i w:val="0"/>
                <w:sz w:val="22"/>
              </w:rPr>
              <w:t>Institution with &lt;1000 student intake, focused on a single main discipline (Engineering, Medical, Law, Management, Pharmacy, Architecture, Arts, Science, Commerce)</w:t>
            </w:r>
          </w:p>
        </w:tc>
        <w:tc>
          <w:tcPr>
            <w:tcW w:type="dxa" w:w="2891"/>
            <w:shd w:val="clear" w:color="auto" w:fill="DCE6F1"/>
          </w:tcPr>
          <w:p>
            <w:pPr>
              <w:spacing w:after="40" w:line="240" w:lineRule="auto"/>
              <w:jc w:val="center"/>
            </w:pPr>
            <w:r/>
            <w:r>
              <w:rPr>
                <w:rFonts w:ascii="Cambria" w:hAnsi="Cambria" w:eastAsia="Cambria"/>
                <w:b w:val="0"/>
                <w:i w:val="0"/>
                <w:sz w:val="22"/>
              </w:rPr>
              <w:t>Eligible</w:t>
            </w:r>
          </w:p>
        </w:tc>
        <w:tc>
          <w:tcPr>
            <w:tcW w:type="dxa" w:w="2438"/>
            <w:shd w:val="clear" w:color="auto" w:fill="DCE6F1"/>
          </w:tcPr>
          <w:p>
            <w:pPr>
              <w:spacing w:after="40" w:line="240" w:lineRule="auto"/>
              <w:jc w:val="center"/>
            </w:pPr>
            <w:r/>
            <w:r>
              <w:rPr>
                <w:rFonts w:ascii="Cambria" w:hAnsi="Cambria" w:eastAsia="Cambria"/>
                <w:b w:val="0"/>
                <w:i w:val="0"/>
                <w:sz w:val="22"/>
              </w:rPr>
              <w:t>Discipline-Specific Rank Only</w:t>
            </w:r>
          </w:p>
        </w:tc>
      </w:tr>
      <w:tr>
        <w:tc>
          <w:tcPr>
            <w:tcW w:type="dxa" w:w="4082"/>
          </w:tcPr>
          <w:p>
            <w:pPr>
              <w:spacing w:after="40" w:line="240" w:lineRule="auto"/>
              <w:jc w:val="left"/>
            </w:pPr>
            <w:r/>
            <w:r>
              <w:rPr>
                <w:rFonts w:ascii="Cambria" w:hAnsi="Cambria" w:eastAsia="Cambria"/>
                <w:b w:val="0"/>
                <w:i w:val="0"/>
                <w:sz w:val="22"/>
              </w:rPr>
              <w:t>University Schools/Departments (e.g., Faculty of Law, School of Engineering, Management Dept., Pharmacy)</w:t>
            </w:r>
          </w:p>
        </w:tc>
        <w:tc>
          <w:tcPr>
            <w:tcW w:type="dxa" w:w="2891"/>
          </w:tcPr>
          <w:p>
            <w:pPr>
              <w:spacing w:after="40" w:line="240" w:lineRule="auto"/>
              <w:jc w:val="center"/>
            </w:pPr>
            <w:r/>
            <w:r>
              <w:rPr>
                <w:rFonts w:ascii="Cambria" w:hAnsi="Cambria" w:eastAsia="Cambria"/>
                <w:b w:val="0"/>
                <w:i w:val="0"/>
                <w:sz w:val="22"/>
              </w:rPr>
              <w:t>Eligible if they register separately and provide discipline-specific data</w:t>
            </w:r>
          </w:p>
        </w:tc>
        <w:tc>
          <w:tcPr>
            <w:tcW w:type="dxa" w:w="2438"/>
          </w:tcPr>
          <w:p>
            <w:pPr>
              <w:spacing w:after="40" w:line="240" w:lineRule="auto"/>
              <w:jc w:val="center"/>
            </w:pPr>
            <w:r/>
            <w:r>
              <w:rPr>
                <w:rFonts w:ascii="Cambria" w:hAnsi="Cambria" w:eastAsia="Cambria"/>
                <w:b w:val="0"/>
                <w:i w:val="0"/>
                <w:sz w:val="22"/>
              </w:rPr>
              <w:t>Discipline-Specific Rank</w:t>
            </w:r>
          </w:p>
        </w:tc>
      </w:tr>
      <w:tr>
        <w:tc>
          <w:tcPr>
            <w:tcW w:type="dxa" w:w="4082"/>
            <w:shd w:val="clear" w:color="auto" w:fill="DCE6F1"/>
          </w:tcPr>
          <w:p>
            <w:pPr>
              <w:spacing w:after="40" w:line="240" w:lineRule="auto"/>
              <w:jc w:val="left"/>
            </w:pPr>
            <w:r/>
            <w:r>
              <w:rPr>
                <w:rFonts w:ascii="Cambria" w:hAnsi="Cambria" w:eastAsia="Cambria"/>
                <w:b w:val="0"/>
                <w:i w:val="0"/>
                <w:sz w:val="22"/>
              </w:rPr>
              <w:t>Undergraduate teaching institutions (including degree colleges affiliated to universities)</w:t>
            </w:r>
          </w:p>
        </w:tc>
        <w:tc>
          <w:tcPr>
            <w:tcW w:type="dxa" w:w="2891"/>
            <w:shd w:val="clear" w:color="auto" w:fill="DCE6F1"/>
          </w:tcPr>
          <w:p>
            <w:pPr>
              <w:spacing w:after="40" w:line="240" w:lineRule="auto"/>
              <w:jc w:val="center"/>
            </w:pPr>
            <w:r/>
            <w:r>
              <w:rPr>
                <w:rFonts w:ascii="Cambria" w:hAnsi="Cambria" w:eastAsia="Cambria"/>
                <w:b w:val="0"/>
                <w:i w:val="0"/>
                <w:sz w:val="22"/>
              </w:rPr>
              <w:t>Eligible to participate</w:t>
            </w:r>
          </w:p>
        </w:tc>
        <w:tc>
          <w:tcPr>
            <w:tcW w:type="dxa" w:w="2438"/>
            <w:shd w:val="clear" w:color="auto" w:fill="DCE6F1"/>
          </w:tcPr>
          <w:p>
            <w:pPr>
              <w:spacing w:after="40" w:line="240" w:lineRule="auto"/>
              <w:jc w:val="center"/>
            </w:pPr>
            <w:r/>
            <w:r>
              <w:rPr>
                <w:rFonts w:ascii="Cambria" w:hAnsi="Cambria" w:eastAsia="Cambria"/>
                <w:b w:val="0"/>
                <w:i w:val="0"/>
                <w:sz w:val="22"/>
              </w:rPr>
              <w:t>Discipline-Specific Rank</w:t>
            </w:r>
          </w:p>
        </w:tc>
      </w:tr>
      <w:tr>
        <w:tc>
          <w:tcPr>
            <w:tcW w:type="dxa" w:w="4082"/>
          </w:tcPr>
          <w:p>
            <w:pPr>
              <w:spacing w:after="40" w:line="240" w:lineRule="auto"/>
              <w:jc w:val="left"/>
            </w:pPr>
            <w:r/>
            <w:r>
              <w:rPr>
                <w:rFonts w:ascii="Cambria" w:hAnsi="Cambria" w:eastAsia="Cambria"/>
                <w:b w:val="0"/>
                <w:i w:val="0"/>
                <w:sz w:val="22"/>
              </w:rPr>
              <w:t>Disciplines with insufficient participation (few institutions, weak representation)</w:t>
            </w:r>
          </w:p>
        </w:tc>
        <w:tc>
          <w:tcPr>
            <w:tcW w:type="dxa" w:w="2891"/>
          </w:tcPr>
          <w:p>
            <w:pPr>
              <w:spacing w:after="40" w:line="240" w:lineRule="auto"/>
              <w:jc w:val="center"/>
            </w:pPr>
            <w:r/>
            <w:r>
              <w:rPr>
                <w:rFonts w:ascii="Cambria" w:hAnsi="Cambria" w:eastAsia="Cambria"/>
                <w:b w:val="0"/>
                <w:i w:val="0"/>
                <w:sz w:val="22"/>
              </w:rPr>
              <w:t>Not eligible</w:t>
            </w:r>
          </w:p>
        </w:tc>
        <w:tc>
          <w:tcPr>
            <w:tcW w:type="dxa" w:w="2438"/>
          </w:tcPr>
          <w:p>
            <w:pPr>
              <w:spacing w:after="40" w:line="240" w:lineRule="auto"/>
              <w:jc w:val="center"/>
            </w:pPr>
            <w:r/>
            <w:r>
              <w:rPr>
                <w:rFonts w:ascii="Cambria" w:hAnsi="Cambria" w:eastAsia="Cambria"/>
                <w:b w:val="0"/>
                <w:i w:val="0"/>
                <w:sz w:val="22"/>
              </w:rPr>
              <w:t>No Ranking Published</w:t>
            </w:r>
          </w:p>
        </w:tc>
      </w:tr>
      <w:tr>
        <w:tc>
          <w:tcPr>
            <w:tcW w:type="dxa" w:w="4082"/>
            <w:shd w:val="clear" w:color="auto" w:fill="DCE6F1"/>
          </w:tcPr>
          <w:p>
            <w:pPr>
              <w:spacing w:after="40" w:line="240" w:lineRule="auto"/>
              <w:jc w:val="left"/>
            </w:pPr>
            <w:r/>
            <w:r>
              <w:rPr>
                <w:rFonts w:ascii="Cambria" w:hAnsi="Cambria" w:eastAsia="Cambria"/>
                <w:b w:val="0"/>
                <w:i w:val="0"/>
                <w:sz w:val="22"/>
              </w:rPr>
              <w:t>Open Universities / Affiliating Universities (State or Central)</w:t>
            </w:r>
          </w:p>
        </w:tc>
        <w:tc>
          <w:tcPr>
            <w:tcW w:type="dxa" w:w="2891"/>
            <w:shd w:val="clear" w:color="auto" w:fill="DCE6F1"/>
          </w:tcPr>
          <w:p>
            <w:pPr>
              <w:spacing w:after="40" w:line="240" w:lineRule="auto"/>
              <w:jc w:val="center"/>
            </w:pPr>
            <w:r/>
            <w:r>
              <w:rPr>
                <w:rFonts w:ascii="Cambria" w:hAnsi="Cambria" w:eastAsia="Cambria"/>
                <w:b w:val="0"/>
                <w:i w:val="0"/>
                <w:sz w:val="22"/>
              </w:rPr>
              <w:t>Not eligible as affiliators; only physical teaching/research campuses may submit data</w:t>
            </w:r>
          </w:p>
        </w:tc>
        <w:tc>
          <w:tcPr>
            <w:tcW w:type="dxa" w:w="2438"/>
            <w:shd w:val="clear" w:color="auto" w:fill="DCE6F1"/>
          </w:tcPr>
          <w:p>
            <w:pPr>
              <w:spacing w:after="40" w:line="240" w:lineRule="auto"/>
              <w:jc w:val="center"/>
            </w:pPr>
            <w:r/>
            <w:r>
              <w:rPr>
                <w:rFonts w:ascii="Cambria" w:hAnsi="Cambria" w:eastAsia="Cambria"/>
                <w:b w:val="0"/>
                <w:i w:val="0"/>
                <w:sz w:val="22"/>
              </w:rPr>
              <w:t>Campus-specific Ranking (if applicable)</w:t>
            </w:r>
          </w:p>
        </w:tc>
      </w:tr>
      <w:tr>
        <w:tc>
          <w:tcPr>
            <w:tcW w:type="dxa" w:w="4082"/>
          </w:tcPr>
          <w:p>
            <w:pPr>
              <w:spacing w:after="40" w:line="240" w:lineRule="auto"/>
              <w:jc w:val="left"/>
            </w:pPr>
            <w:r/>
            <w:r>
              <w:rPr>
                <w:rFonts w:ascii="Cambria" w:hAnsi="Cambria" w:eastAsia="Cambria"/>
                <w:b w:val="0"/>
                <w:i w:val="0"/>
                <w:sz w:val="22"/>
              </w:rPr>
              <w:t>Institutions with &lt;3 batches of graduates in UG (≥3 years) or PG (≥2 years)</w:t>
            </w:r>
          </w:p>
        </w:tc>
        <w:tc>
          <w:tcPr>
            <w:tcW w:type="dxa" w:w="2891"/>
          </w:tcPr>
          <w:p>
            <w:pPr>
              <w:spacing w:after="40" w:line="240" w:lineRule="auto"/>
              <w:jc w:val="center"/>
            </w:pPr>
            <w:r/>
            <w:r>
              <w:rPr>
                <w:rFonts w:ascii="Cambria" w:hAnsi="Cambria" w:eastAsia="Cambria"/>
                <w:b w:val="0"/>
                <w:i w:val="0"/>
                <w:sz w:val="22"/>
              </w:rPr>
              <w:t>Not eligible</w:t>
            </w:r>
          </w:p>
        </w:tc>
        <w:tc>
          <w:tcPr>
            <w:tcW w:type="dxa" w:w="2438"/>
          </w:tcPr>
          <w:p>
            <w:pPr>
              <w:spacing w:after="40" w:line="240" w:lineRule="auto"/>
              <w:jc w:val="center"/>
            </w:pPr>
            <w:r/>
            <w:r>
              <w:rPr>
                <w:rFonts w:ascii="Cambria" w:hAnsi="Cambria" w:eastAsia="Cambria"/>
                <w:b w:val="0"/>
                <w:i w:val="0"/>
                <w:sz w:val="22"/>
              </w:rPr>
              <w:t>No Ranking Considered</w:t>
            </w:r>
          </w:p>
        </w:tc>
      </w:tr>
    </w:tbl>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Similarity in Scoring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Both overall rankings and discipline-specific rankings follow the same basic methodology:</w:t>
      </w:r>
    </w:p>
    <w:p>
      <w:pPr>
        <w:spacing w:after="40"/>
        <w:ind w:left="1247" w:hanging="357"/>
      </w:pPr>
      <w:r>
        <w:rPr>
          <w:rFonts w:ascii="Cambria" w:hAnsi="Cambria" w:eastAsia="Cambria"/>
          <w:b w:val="0"/>
          <w:i w:val="0"/>
          <w:sz w:val="22"/>
        </w:rPr>
        <w:t>▪</w:t>
        <w:tab/>
      </w:r>
      <w:r>
        <w:rPr>
          <w:rFonts w:ascii="Cambria" w:hAnsi="Cambria" w:eastAsia="Cambria"/>
          <w:b w:val="0"/>
          <w:i w:val="0"/>
          <w:sz w:val="22"/>
        </w:rPr>
        <w:t>Data collection → Metric application → Sub-head scoring → Parameter scoring → Overall score.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assessed under the same five broad heads:</w:t>
      </w:r>
    </w:p>
    <w:p>
      <w:pPr>
        <w:spacing w:after="40"/>
        <w:ind w:left="1247" w:hanging="357"/>
      </w:pPr>
      <w:r>
        <w:rPr>
          <w:rFonts w:ascii="Cambria" w:hAnsi="Cambria" w:eastAsia="Cambria"/>
          <w:b w:val="0"/>
          <w:i w:val="0"/>
          <w:sz w:val="22"/>
        </w:rPr>
        <w:t>▪</w:t>
        <w:tab/>
      </w:r>
      <w:r>
        <w:rPr>
          <w:rFonts w:ascii="Cambria" w:hAnsi="Cambria" w:eastAsia="Cambria"/>
          <w:b w:val="0"/>
          <w:i w:val="0"/>
          <w:sz w:val="22"/>
        </w:rPr>
        <w:t>Teaching, Learning &amp; Resources (TLR)</w:t>
      </w:r>
    </w:p>
    <w:p>
      <w:pPr>
        <w:spacing w:after="40"/>
        <w:ind w:left="1247" w:hanging="357"/>
      </w:pPr>
      <w:r>
        <w:rPr>
          <w:rFonts w:ascii="Cambria" w:hAnsi="Cambria" w:eastAsia="Cambria"/>
          <w:b w:val="0"/>
          <w:i w:val="0"/>
          <w:sz w:val="22"/>
        </w:rPr>
        <w:t>▪</w:t>
        <w:tab/>
      </w:r>
      <w:r>
        <w:rPr>
          <w:rFonts w:ascii="Cambria" w:hAnsi="Cambria" w:eastAsia="Cambria"/>
          <w:b w:val="0"/>
          <w:i w:val="0"/>
          <w:sz w:val="22"/>
        </w:rPr>
        <w:t>Research &amp; Professional Practices (RP)</w:t>
      </w:r>
    </w:p>
    <w:p>
      <w:pPr>
        <w:spacing w:after="40"/>
        <w:ind w:left="1247" w:hanging="357"/>
      </w:pPr>
      <w:r>
        <w:rPr>
          <w:rFonts w:ascii="Cambria" w:hAnsi="Cambria" w:eastAsia="Cambria"/>
          <w:b w:val="0"/>
          <w:i w:val="0"/>
          <w:sz w:val="22"/>
        </w:rPr>
        <w:t>▪</w:t>
        <w:tab/>
      </w:r>
      <w:r>
        <w:rPr>
          <w:rFonts w:ascii="Cambria" w:hAnsi="Cambria" w:eastAsia="Cambria"/>
          <w:b w:val="0"/>
          <w:i w:val="0"/>
          <w:sz w:val="22"/>
        </w:rPr>
        <w:t>Graduation Outcomes (GO)</w:t>
      </w:r>
    </w:p>
    <w:p>
      <w:pPr>
        <w:spacing w:after="40"/>
        <w:ind w:left="1247" w:hanging="357"/>
      </w:pPr>
      <w:r>
        <w:rPr>
          <w:rFonts w:ascii="Cambria" w:hAnsi="Cambria" w:eastAsia="Cambria"/>
          <w:b w:val="0"/>
          <w:i w:val="0"/>
          <w:sz w:val="22"/>
        </w:rPr>
        <w:t>▪</w:t>
        <w:tab/>
      </w:r>
      <w:r>
        <w:rPr>
          <w:rFonts w:ascii="Cambria" w:hAnsi="Cambria" w:eastAsia="Cambria"/>
          <w:b w:val="0"/>
          <w:i w:val="0"/>
          <w:sz w:val="22"/>
        </w:rPr>
        <w:t>Outreach &amp; Inclusivity (OI)</w:t>
      </w:r>
    </w:p>
    <w:p>
      <w:pPr>
        <w:spacing w:after="40"/>
        <w:ind w:left="1247" w:hanging="357"/>
      </w:pPr>
      <w:r>
        <w:rPr>
          <w:rFonts w:ascii="Cambria" w:hAnsi="Cambria" w:eastAsia="Cambria"/>
          <w:b w:val="0"/>
          <w:i w:val="0"/>
          <w:sz w:val="22"/>
        </w:rPr>
        <w:t>▪</w:t>
        <w:tab/>
      </w:r>
      <w:r>
        <w:rPr>
          <w:rFonts w:ascii="Cambria" w:hAnsi="Cambria" w:eastAsia="Cambria"/>
          <w:b w:val="0"/>
          <w:i w:val="0"/>
          <w:sz w:val="22"/>
        </w:rPr>
        <w:t>Perception (PR)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Differences in Weights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While the framework remains the same, weightage distribution is adjusted for discipline-specific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is done to account for variations across disciplines and to ensure fairness.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Examples of Discipline-Specific Adjustments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Engineering/Management/Pharmacy: More weight given to Research &amp; Professional Practices (RP) and Graduation Outcomes (GO), as research, placements, and professional practice are critical.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Medical/Health Sciences: Greater emphasis on Research Publications (RP) and Graduation Outcomes, since quality healthcare research and graduate competence are paramount.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Law/Architecture/Arts &amp; Humanities: More emphasis on Outreach &amp; Inclusivity (OI) and Perception (PR), reflecting diversity, access, and professional reputation.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UG Teaching Colleges: Higher focus on Teaching, Learning &amp; Resources (TLR) and Graduation Outcomes (GO) rather than research, since their mission is primarily teaching-focused.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Rationale for Adjustments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smaller or discipline-focused institutions from being disadvantaged in comparisons with larger, multidisciplinary universities.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Makes the ranking context-sensitive so that institutions are evaluated according to their core strengths and missions.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Outcome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Both overall rankings and discipline-specific rankings are comparable in terms of methodology, but discipline-specific lists better capture field-level performance.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ensures the credibility and acceptance of rankings among stakeholders such as students, parents, employers, and policymakers.</w:t>
      </w:r>
    </w:p>
    <w:p>
      <w:pPr>
        <w:keepNext/>
        <w:spacing w:before="200" w:after="100"/>
      </w:pPr>
      <w:r>
        <w:rPr>
          <w:rFonts w:ascii="Cambria" w:hAnsi="Cambria" w:eastAsia="Cambria"/>
          <w:b/>
          <w:i w:val="0"/>
          <w:color w:val="1F3A5F"/>
          <w:sz w:val="26"/>
        </w:rPr>
        <w:t>Overall vs. Discipline-Specific Ranking in NIRF</w:t>
      </w:r>
    </w:p>
    <w:tbl>
      <w:tblPr>
        <w:tblW w:type="dxa" w:w="9242"/>
        <w:jc w:val="center"/>
        <w:tblLayout w:type="fixed"/>
        <w:tblLook w:firstColumn="1" w:firstRow="1" w:lastColumn="0" w:lastRow="0" w:noHBand="0" w:noVBand="1" w:val="04A0"/>
        <w:tblLayout w:type="fixed"/>
      </w:tblPr>
      <w:tblGrid>
        <w:gridCol w:w="2353"/>
        <w:gridCol w:w="2353"/>
        <w:gridCol w:w="2353"/>
        <w:gridCol w:w="2353"/>
      </w:tblGrid>
      <w:tr>
        <w:tc>
          <w:tcPr>
            <w:tcW w:type="dxa" w:w="1871"/>
            <w:shd w:val="clear" w:color="auto" w:fill="1F3A5F"/>
          </w:tcPr>
          <w:p>
            <w:pPr>
              <w:spacing w:after="40" w:line="240" w:lineRule="auto"/>
              <w:jc w:val="center"/>
            </w:pPr>
            <w:r/>
            <w:r>
              <w:rPr>
                <w:rFonts w:ascii="Cambria" w:hAnsi="Cambria" w:eastAsia="Cambria"/>
                <w:b/>
                <w:i w:val="0"/>
                <w:color w:val="FFFFFF"/>
                <w:sz w:val="22"/>
              </w:rPr>
              <w:t>Parameter</w:t>
            </w:r>
          </w:p>
        </w:tc>
        <w:tc>
          <w:tcPr>
            <w:tcW w:type="dxa" w:w="1474"/>
            <w:shd w:val="clear" w:color="auto" w:fill="1F3A5F"/>
          </w:tcPr>
          <w:p>
            <w:pPr>
              <w:spacing w:after="40" w:line="240" w:lineRule="auto"/>
              <w:jc w:val="center"/>
            </w:pPr>
            <w:r/>
            <w:r>
              <w:rPr>
                <w:rFonts w:ascii="Cambria" w:hAnsi="Cambria" w:eastAsia="Cambria"/>
                <w:b/>
                <w:i w:val="0"/>
                <w:color w:val="FFFFFF"/>
                <w:sz w:val="22"/>
              </w:rPr>
              <w:t>Overall Ranking (Weight %)</w:t>
            </w:r>
          </w:p>
        </w:tc>
        <w:tc>
          <w:tcPr>
            <w:tcW w:type="dxa" w:w="3005"/>
            <w:shd w:val="clear" w:color="auto" w:fill="1F3A5F"/>
          </w:tcPr>
          <w:p>
            <w:pPr>
              <w:spacing w:after="40" w:line="240" w:lineRule="auto"/>
              <w:jc w:val="center"/>
            </w:pPr>
            <w:r/>
            <w:r>
              <w:rPr>
                <w:rFonts w:ascii="Cambria" w:hAnsi="Cambria" w:eastAsia="Cambria"/>
                <w:b/>
                <w:i w:val="0"/>
                <w:color w:val="FFFFFF"/>
                <w:sz w:val="22"/>
              </w:rPr>
              <w:t>Discipline-Specific Ranking (Weight %)</w:t>
            </w:r>
          </w:p>
        </w:tc>
        <w:tc>
          <w:tcPr>
            <w:tcW w:type="dxa" w:w="2891"/>
            <w:shd w:val="clear" w:color="auto" w:fill="1F3A5F"/>
          </w:tcPr>
          <w:p>
            <w:pPr>
              <w:spacing w:after="40" w:line="240" w:lineRule="auto"/>
              <w:jc w:val="center"/>
            </w:pPr>
            <w:r/>
            <w:r>
              <w:rPr>
                <w:rFonts w:ascii="Cambria" w:hAnsi="Cambria" w:eastAsia="Cambria"/>
                <w:b/>
                <w:i w:val="0"/>
                <w:color w:val="FFFFFF"/>
                <w:sz w:val="22"/>
              </w:rPr>
              <w:t>Justification for Adjustment</w:t>
            </w:r>
          </w:p>
        </w:tc>
      </w:tr>
      <w:tr>
        <w:tc>
          <w:tcPr>
            <w:tcW w:type="dxa" w:w="1871"/>
          </w:tcPr>
          <w:p>
            <w:pPr>
              <w:spacing w:after="40" w:line="240" w:lineRule="auto"/>
              <w:jc w:val="left"/>
            </w:pPr>
            <w:r/>
            <w:r>
              <w:rPr>
                <w:rFonts w:ascii="Cambria" w:hAnsi="Cambria" w:eastAsia="Cambria"/>
                <w:b w:val="0"/>
                <w:i w:val="0"/>
                <w:sz w:val="22"/>
              </w:rPr>
              <w:t>Teaching, Learning &amp; Resources (TLR)</w:t>
            </w:r>
          </w:p>
        </w:tc>
        <w:tc>
          <w:tcPr>
            <w:tcW w:type="dxa" w:w="1474"/>
          </w:tcPr>
          <w:p>
            <w:pPr>
              <w:spacing w:after="40" w:line="240" w:lineRule="auto"/>
              <w:jc w:val="center"/>
            </w:pPr>
            <w:r/>
            <w:r>
              <w:rPr>
                <w:rFonts w:ascii="Cambria" w:hAnsi="Cambria" w:eastAsia="Cambria"/>
                <w:b w:val="0"/>
                <w:i w:val="0"/>
                <w:sz w:val="22"/>
              </w:rPr>
              <w:t>30</w:t>
            </w:r>
          </w:p>
        </w:tc>
        <w:tc>
          <w:tcPr>
            <w:tcW w:type="dxa" w:w="3005"/>
          </w:tcPr>
          <w:p>
            <w:pPr>
              <w:spacing w:after="40" w:line="240" w:lineRule="auto"/>
              <w:jc w:val="center"/>
            </w:pPr>
            <w:r/>
            <w:r>
              <w:rPr>
                <w:rFonts w:ascii="Cambria" w:hAnsi="Cambria" w:eastAsia="Cambria"/>
                <w:b w:val="0"/>
                <w:i w:val="0"/>
                <w:sz w:val="22"/>
              </w:rPr>
              <w:t>30–40 (higher for UG colleges, lower for research-heavy disciplines)</w:t>
            </w:r>
          </w:p>
        </w:tc>
        <w:tc>
          <w:tcPr>
            <w:tcW w:type="dxa" w:w="2891"/>
          </w:tcPr>
          <w:p>
            <w:pPr>
              <w:spacing w:after="40" w:line="240" w:lineRule="auto"/>
              <w:jc w:val="center"/>
            </w:pPr>
            <w:r/>
            <w:r>
              <w:rPr>
                <w:rFonts w:ascii="Cambria" w:hAnsi="Cambria" w:eastAsia="Cambria"/>
                <w:b w:val="0"/>
                <w:i w:val="0"/>
                <w:sz w:val="22"/>
              </w:rPr>
              <w:t>UG-focused institutions rely primarily on teaching quality, so TLR weight is emphasized in discipline-specific rankings (Arts, Commerce, UG Colleges).</w:t>
            </w:r>
          </w:p>
        </w:tc>
      </w:tr>
      <w:tr>
        <w:tc>
          <w:tcPr>
            <w:tcW w:type="dxa" w:w="1871"/>
            <w:shd w:val="clear" w:color="auto" w:fill="DCE6F1"/>
          </w:tcPr>
          <w:p>
            <w:pPr>
              <w:spacing w:after="40" w:line="240" w:lineRule="auto"/>
              <w:jc w:val="left"/>
            </w:pPr>
            <w:r/>
            <w:r>
              <w:rPr>
                <w:rFonts w:ascii="Cambria" w:hAnsi="Cambria" w:eastAsia="Cambria"/>
                <w:b w:val="0"/>
                <w:i w:val="0"/>
                <w:sz w:val="22"/>
              </w:rPr>
              <w:t>Research &amp; Professional Practices (RP)</w:t>
            </w:r>
          </w:p>
        </w:tc>
        <w:tc>
          <w:tcPr>
            <w:tcW w:type="dxa" w:w="1474"/>
            <w:shd w:val="clear" w:color="auto" w:fill="DCE6F1"/>
          </w:tcPr>
          <w:p>
            <w:pPr>
              <w:spacing w:after="40" w:line="240" w:lineRule="auto"/>
              <w:jc w:val="center"/>
            </w:pPr>
            <w:r/>
            <w:r>
              <w:rPr>
                <w:rFonts w:ascii="Cambria" w:hAnsi="Cambria" w:eastAsia="Cambria"/>
                <w:b w:val="0"/>
                <w:i w:val="0"/>
                <w:sz w:val="22"/>
              </w:rPr>
              <w:t>30</w:t>
            </w:r>
          </w:p>
        </w:tc>
        <w:tc>
          <w:tcPr>
            <w:tcW w:type="dxa" w:w="3005"/>
            <w:shd w:val="clear" w:color="auto" w:fill="DCE6F1"/>
          </w:tcPr>
          <w:p>
            <w:pPr>
              <w:spacing w:after="40" w:line="240" w:lineRule="auto"/>
              <w:jc w:val="center"/>
            </w:pPr>
            <w:r/>
            <w:r>
              <w:rPr>
                <w:rFonts w:ascii="Cambria" w:hAnsi="Cambria" w:eastAsia="Cambria"/>
                <w:b w:val="0"/>
                <w:i w:val="0"/>
                <w:sz w:val="22"/>
              </w:rPr>
              <w:t>25–40 (higher for Engineering, Medical, Pharmacy, Management)</w:t>
            </w:r>
          </w:p>
        </w:tc>
        <w:tc>
          <w:tcPr>
            <w:tcW w:type="dxa" w:w="2891"/>
            <w:shd w:val="clear" w:color="auto" w:fill="DCE6F1"/>
          </w:tcPr>
          <w:p>
            <w:pPr>
              <w:spacing w:after="40" w:line="240" w:lineRule="auto"/>
              <w:jc w:val="center"/>
            </w:pPr>
            <w:r/>
            <w:r>
              <w:rPr>
                <w:rFonts w:ascii="Cambria" w:hAnsi="Cambria" w:eastAsia="Cambria"/>
                <w:b w:val="0"/>
                <w:i w:val="0"/>
                <w:sz w:val="22"/>
              </w:rPr>
              <w:t>Research output, patents, and projects are more critical in professional and research-intensive fields; weight adjusted upwards in these disciplines.</w:t>
            </w:r>
          </w:p>
        </w:tc>
      </w:tr>
      <w:tr>
        <w:tc>
          <w:tcPr>
            <w:tcW w:type="dxa" w:w="1871"/>
          </w:tcPr>
          <w:p>
            <w:pPr>
              <w:spacing w:after="40" w:line="240" w:lineRule="auto"/>
              <w:jc w:val="left"/>
            </w:pPr>
            <w:r/>
            <w:r>
              <w:rPr>
                <w:rFonts w:ascii="Cambria" w:hAnsi="Cambria" w:eastAsia="Cambria"/>
                <w:b w:val="0"/>
                <w:i w:val="0"/>
                <w:sz w:val="22"/>
              </w:rPr>
              <w:t>Graduation Outcomes (GO)</w:t>
            </w:r>
          </w:p>
        </w:tc>
        <w:tc>
          <w:tcPr>
            <w:tcW w:type="dxa" w:w="1474"/>
          </w:tcPr>
          <w:p>
            <w:pPr>
              <w:spacing w:after="40" w:line="240" w:lineRule="auto"/>
              <w:jc w:val="center"/>
            </w:pPr>
            <w:r/>
            <w:r>
              <w:rPr>
                <w:rFonts w:ascii="Cambria" w:hAnsi="Cambria" w:eastAsia="Cambria"/>
                <w:b w:val="0"/>
                <w:i w:val="0"/>
                <w:sz w:val="22"/>
              </w:rPr>
              <w:t>20</w:t>
            </w:r>
          </w:p>
        </w:tc>
        <w:tc>
          <w:tcPr>
            <w:tcW w:type="dxa" w:w="3005"/>
          </w:tcPr>
          <w:p>
            <w:pPr>
              <w:spacing w:after="40" w:line="240" w:lineRule="auto"/>
              <w:jc w:val="center"/>
            </w:pPr>
            <w:r/>
            <w:r>
              <w:rPr>
                <w:rFonts w:ascii="Cambria" w:hAnsi="Cambria" w:eastAsia="Cambria"/>
                <w:b w:val="0"/>
                <w:i w:val="0"/>
                <w:sz w:val="22"/>
              </w:rPr>
              <w:t>20–30 (higher for Engineering, Management, Medical; moderate for others)</w:t>
            </w:r>
          </w:p>
        </w:tc>
        <w:tc>
          <w:tcPr>
            <w:tcW w:type="dxa" w:w="2891"/>
          </w:tcPr>
          <w:p>
            <w:pPr>
              <w:spacing w:after="40" w:line="240" w:lineRule="auto"/>
              <w:jc w:val="center"/>
            </w:pPr>
            <w:r/>
            <w:r>
              <w:rPr>
                <w:rFonts w:ascii="Cambria" w:hAnsi="Cambria" w:eastAsia="Cambria"/>
                <w:b w:val="0"/>
                <w:i w:val="0"/>
                <w:sz w:val="22"/>
              </w:rPr>
              <w:t>Graduate employability, placements, median salary, and higher studies matter more in professional fields; hence more emphasis.</w:t>
            </w:r>
          </w:p>
        </w:tc>
      </w:tr>
      <w:tr>
        <w:tc>
          <w:tcPr>
            <w:tcW w:type="dxa" w:w="1871"/>
            <w:shd w:val="clear" w:color="auto" w:fill="DCE6F1"/>
          </w:tcPr>
          <w:p>
            <w:pPr>
              <w:spacing w:after="40" w:line="240" w:lineRule="auto"/>
              <w:jc w:val="left"/>
            </w:pPr>
            <w:r/>
            <w:r>
              <w:rPr>
                <w:rFonts w:ascii="Cambria" w:hAnsi="Cambria" w:eastAsia="Cambria"/>
                <w:b w:val="0"/>
                <w:i w:val="0"/>
                <w:sz w:val="22"/>
              </w:rPr>
              <w:t>Outreach &amp; Inclusivity (OI)</w:t>
            </w:r>
          </w:p>
        </w:tc>
        <w:tc>
          <w:tcPr>
            <w:tcW w:type="dxa" w:w="1474"/>
            <w:shd w:val="clear" w:color="auto" w:fill="DCE6F1"/>
          </w:tcPr>
          <w:p>
            <w:pPr>
              <w:spacing w:after="40" w:line="240" w:lineRule="auto"/>
              <w:jc w:val="center"/>
            </w:pPr>
            <w:r/>
            <w:r>
              <w:rPr>
                <w:rFonts w:ascii="Cambria" w:hAnsi="Cambria" w:eastAsia="Cambria"/>
                <w:b w:val="0"/>
                <w:i w:val="0"/>
                <w:sz w:val="22"/>
              </w:rPr>
              <w:t>10</w:t>
            </w:r>
          </w:p>
        </w:tc>
        <w:tc>
          <w:tcPr>
            <w:tcW w:type="dxa" w:w="3005"/>
            <w:shd w:val="clear" w:color="auto" w:fill="DCE6F1"/>
          </w:tcPr>
          <w:p>
            <w:pPr>
              <w:spacing w:after="40" w:line="240" w:lineRule="auto"/>
              <w:jc w:val="center"/>
            </w:pPr>
            <w:r/>
            <w:r>
              <w:rPr>
                <w:rFonts w:ascii="Cambria" w:hAnsi="Cambria" w:eastAsia="Cambria"/>
                <w:b w:val="0"/>
                <w:i w:val="0"/>
                <w:sz w:val="22"/>
              </w:rPr>
              <w:t>10–15 (higher in disciplines like Arts, Law, Humanities)</w:t>
            </w:r>
          </w:p>
        </w:tc>
        <w:tc>
          <w:tcPr>
            <w:tcW w:type="dxa" w:w="2891"/>
            <w:shd w:val="clear" w:color="auto" w:fill="DCE6F1"/>
          </w:tcPr>
          <w:p>
            <w:pPr>
              <w:spacing w:after="40" w:line="240" w:lineRule="auto"/>
              <w:jc w:val="center"/>
            </w:pPr>
            <w:r/>
            <w:r>
              <w:rPr>
                <w:rFonts w:ascii="Cambria" w:hAnsi="Cambria" w:eastAsia="Cambria"/>
                <w:b w:val="0"/>
                <w:i w:val="0"/>
                <w:sz w:val="22"/>
              </w:rPr>
              <w:t>Diversity and inclusivity are important in social sciences, law, and liberal arts; thus weight adjusted upwards.</w:t>
            </w:r>
          </w:p>
        </w:tc>
      </w:tr>
      <w:tr>
        <w:tc>
          <w:tcPr>
            <w:tcW w:type="dxa" w:w="1871"/>
          </w:tcPr>
          <w:p>
            <w:pPr>
              <w:spacing w:after="40" w:line="240" w:lineRule="auto"/>
              <w:jc w:val="left"/>
            </w:pPr>
            <w:r/>
            <w:r>
              <w:rPr>
                <w:rFonts w:ascii="Cambria" w:hAnsi="Cambria" w:eastAsia="Cambria"/>
                <w:b w:val="0"/>
                <w:i w:val="0"/>
                <w:sz w:val="22"/>
              </w:rPr>
              <w:t>Perception (PR)</w:t>
            </w:r>
          </w:p>
        </w:tc>
        <w:tc>
          <w:tcPr>
            <w:tcW w:type="dxa" w:w="1474"/>
          </w:tcPr>
          <w:p>
            <w:pPr>
              <w:spacing w:after="40" w:line="240" w:lineRule="auto"/>
              <w:jc w:val="center"/>
            </w:pPr>
            <w:r/>
            <w:r>
              <w:rPr>
                <w:rFonts w:ascii="Cambria" w:hAnsi="Cambria" w:eastAsia="Cambria"/>
                <w:b w:val="0"/>
                <w:i w:val="0"/>
                <w:sz w:val="22"/>
              </w:rPr>
              <w:t>10</w:t>
            </w:r>
          </w:p>
        </w:tc>
        <w:tc>
          <w:tcPr>
            <w:tcW w:type="dxa" w:w="3005"/>
          </w:tcPr>
          <w:p>
            <w:pPr>
              <w:spacing w:after="40" w:line="240" w:lineRule="auto"/>
              <w:jc w:val="center"/>
            </w:pPr>
            <w:r/>
            <w:r>
              <w:rPr>
                <w:rFonts w:ascii="Cambria" w:hAnsi="Cambria" w:eastAsia="Cambria"/>
                <w:b w:val="0"/>
                <w:i w:val="0"/>
                <w:sz w:val="22"/>
              </w:rPr>
              <w:t>5–15 (higher in fields where reputation strongly influences admission/employment, e.g., Law, Management, Medical)</w:t>
            </w:r>
          </w:p>
        </w:tc>
        <w:tc>
          <w:tcPr>
            <w:tcW w:type="dxa" w:w="2891"/>
          </w:tcPr>
          <w:p>
            <w:pPr>
              <w:spacing w:after="40" w:line="240" w:lineRule="auto"/>
              <w:jc w:val="center"/>
            </w:pPr>
            <w:r/>
            <w:r>
              <w:rPr>
                <w:rFonts w:ascii="Cambria" w:hAnsi="Cambria" w:eastAsia="Cambria"/>
                <w:b w:val="0"/>
                <w:i w:val="0"/>
                <w:sz w:val="22"/>
              </w:rPr>
              <w:t>Employer/peer reputation is more decisive in certain disciplines; hence perception carries more weight in discipline-specific rankings.</w:t>
            </w:r>
          </w:p>
        </w:tc>
      </w:tr>
      <w:tr>
        <w:tc>
          <w:tcPr>
            <w:tcW w:type="dxa" w:w="1871"/>
            <w:shd w:val="clear" w:color="auto" w:fill="B9CDE5"/>
          </w:tcPr>
          <w:p>
            <w:pPr>
              <w:spacing w:after="40" w:line="240" w:lineRule="auto"/>
              <w:jc w:val="left"/>
            </w:pPr>
            <w:r/>
            <w:r>
              <w:rPr>
                <w:rFonts w:ascii="Cambria" w:hAnsi="Cambria" w:eastAsia="Cambria"/>
                <w:b/>
                <w:i w:val="0"/>
                <w:sz w:val="22"/>
              </w:rPr>
              <w:t>Total</w:t>
            </w:r>
          </w:p>
        </w:tc>
        <w:tc>
          <w:tcPr>
            <w:tcW w:type="dxa" w:w="1474"/>
            <w:shd w:val="clear" w:color="auto" w:fill="B9CDE5"/>
          </w:tcPr>
          <w:p>
            <w:pPr>
              <w:spacing w:after="40" w:line="240" w:lineRule="auto"/>
              <w:jc w:val="center"/>
            </w:pPr>
            <w:r/>
            <w:r>
              <w:rPr>
                <w:rFonts w:ascii="Cambria" w:hAnsi="Cambria" w:eastAsia="Cambria"/>
                <w:b/>
                <w:i w:val="0"/>
                <w:sz w:val="22"/>
              </w:rPr>
              <w:t>100</w:t>
            </w:r>
          </w:p>
        </w:tc>
        <w:tc>
          <w:tcPr>
            <w:tcW w:type="dxa" w:w="3005"/>
            <w:shd w:val="clear" w:color="auto" w:fill="B9CDE5"/>
          </w:tcPr>
          <w:p>
            <w:pPr>
              <w:spacing w:after="40" w:line="240" w:lineRule="auto"/>
              <w:jc w:val="left"/>
            </w:pPr>
            <w:r/>
            <w:r>
              <w:rPr>
                <w:rFonts w:ascii="Cambria" w:hAnsi="Cambria" w:eastAsia="Cambria"/>
                <w:b/>
                <w:i w:val="0"/>
                <w:sz w:val="22"/>
              </w:rPr>
              <w:t>100</w:t>
            </w:r>
          </w:p>
        </w:tc>
        <w:tc>
          <w:tcPr>
            <w:tcW w:type="dxa" w:w="2891"/>
            <w:shd w:val="clear" w:color="auto" w:fill="B9CDE5"/>
          </w:tcPr>
          <w:p>
            <w:pPr>
              <w:spacing w:after="40" w:line="240" w:lineRule="auto"/>
              <w:jc w:val="left"/>
            </w:pPr>
            <w:r/>
            <w:r>
              <w:rPr>
                <w:rFonts w:ascii="Cambria" w:hAnsi="Cambria" w:eastAsia="Cambria"/>
                <w:b/>
                <w:i w:val="0"/>
                <w:sz w:val="22"/>
              </w:rPr>
              <w:t>Adjustments ensure rankings remain fair, discipline-sensitive, and contextually relevant.</w:t>
            </w:r>
          </w:p>
        </w:tc>
      </w:tr>
    </w:tbl>
    <w:p>
      <w:r>
        <w:br w:type="page"/>
      </w:r>
    </w:p>
    <w:p>
      <w:pPr>
        <w:keepNext/>
        <w:spacing w:before="360" w:after="160"/>
      </w:pPr>
      <w:r>
        <w:rPr>
          <w:rFonts w:ascii="Cambria" w:hAnsi="Cambria" w:eastAsia="Cambria"/>
          <w:b/>
          <w:i w:val="0"/>
          <w:color w:val="1F3A5F"/>
          <w:sz w:val="36"/>
        </w:rPr>
        <w:t>4. Data Collection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Challenge of Data Availability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At present, there is no single third-party database in India that comprehensively provides all the information required for NIRF scoring (e.g., teaching resources, research output, placements, inclusivity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While some data points can be verified through sources like Scopus, Web of Science, UGC, AICTE, MHRD, and patent databases, many institution-specific details (faculty strength, infrastructure, financial resources, inclusivity support) are not centrally available.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Requirement for Institutional Data Submission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wishing to participate in NIRF rankings must submit data directly through the NIRF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must be filled strictly in the prescribed format to ensure standardization across all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includes information on:</w:t>
      </w:r>
    </w:p>
    <w:p>
      <w:pPr>
        <w:spacing w:after="40"/>
        <w:ind w:left="1247" w:hanging="357"/>
      </w:pPr>
      <w:r>
        <w:rPr>
          <w:rFonts w:ascii="Cambria" w:hAnsi="Cambria" w:eastAsia="Cambria"/>
          <w:b w:val="0"/>
          <w:i w:val="0"/>
          <w:sz w:val="22"/>
        </w:rPr>
        <w:t>▪</w:t>
        <w:tab/>
      </w:r>
      <w:r>
        <w:rPr>
          <w:rFonts w:ascii="Cambria" w:hAnsi="Cambria" w:eastAsia="Cambria"/>
          <w:b w:val="0"/>
          <w:i w:val="0"/>
          <w:sz w:val="22"/>
        </w:rPr>
        <w:t>Faculty and student strength</w:t>
      </w:r>
    </w:p>
    <w:p>
      <w:pPr>
        <w:spacing w:after="40"/>
        <w:ind w:left="1247" w:hanging="357"/>
      </w:pPr>
      <w:r>
        <w:rPr>
          <w:rFonts w:ascii="Cambria" w:hAnsi="Cambria" w:eastAsia="Cambria"/>
          <w:b w:val="0"/>
          <w:i w:val="0"/>
          <w:sz w:val="22"/>
        </w:rPr>
        <w:t>▪</w:t>
        <w:tab/>
      </w:r>
      <w:r>
        <w:rPr>
          <w:rFonts w:ascii="Cambria" w:hAnsi="Cambria" w:eastAsia="Cambria"/>
          <w:b w:val="0"/>
          <w:i w:val="0"/>
          <w:sz w:val="22"/>
        </w:rPr>
        <w:t>Research projects and publications</w:t>
      </w:r>
    </w:p>
    <w:p>
      <w:pPr>
        <w:spacing w:after="40"/>
        <w:ind w:left="1247" w:hanging="357"/>
      </w:pPr>
      <w:r>
        <w:rPr>
          <w:rFonts w:ascii="Cambria" w:hAnsi="Cambria" w:eastAsia="Cambria"/>
          <w:b w:val="0"/>
          <w:i w:val="0"/>
          <w:sz w:val="22"/>
        </w:rPr>
        <w:t>▪</w:t>
        <w:tab/>
      </w:r>
      <w:r>
        <w:rPr>
          <w:rFonts w:ascii="Cambria" w:hAnsi="Cambria" w:eastAsia="Cambria"/>
          <w:b w:val="0"/>
          <w:i w:val="0"/>
          <w:sz w:val="22"/>
        </w:rPr>
        <w:t>Placement records and higher studies</w:t>
      </w:r>
    </w:p>
    <w:p>
      <w:pPr>
        <w:spacing w:after="40"/>
        <w:ind w:left="1247" w:hanging="357"/>
      </w:pPr>
      <w:r>
        <w:rPr>
          <w:rFonts w:ascii="Cambria" w:hAnsi="Cambria" w:eastAsia="Cambria"/>
          <w:b w:val="0"/>
          <w:i w:val="0"/>
          <w:sz w:val="22"/>
        </w:rPr>
        <w:t>▪</w:t>
        <w:tab/>
      </w:r>
      <w:r>
        <w:rPr>
          <w:rFonts w:ascii="Cambria" w:hAnsi="Cambria" w:eastAsia="Cambria"/>
          <w:b w:val="0"/>
          <w:i w:val="0"/>
          <w:sz w:val="22"/>
        </w:rPr>
        <w:t>Financial resources and utilization</w:t>
      </w:r>
    </w:p>
    <w:p>
      <w:pPr>
        <w:spacing w:after="40"/>
        <w:ind w:left="1247" w:hanging="357"/>
      </w:pPr>
      <w:r>
        <w:rPr>
          <w:rFonts w:ascii="Cambria" w:hAnsi="Cambria" w:eastAsia="Cambria"/>
          <w:b w:val="0"/>
          <w:i w:val="0"/>
          <w:sz w:val="22"/>
        </w:rPr>
        <w:t>▪</w:t>
        <w:tab/>
      </w:r>
      <w:r>
        <w:rPr>
          <w:rFonts w:ascii="Cambria" w:hAnsi="Cambria" w:eastAsia="Cambria"/>
          <w:b w:val="0"/>
          <w:i w:val="0"/>
          <w:sz w:val="22"/>
        </w:rPr>
        <w:t>Inclusivity and diversity indicators</w:t>
      </w:r>
    </w:p>
    <w:p>
      <w:pPr>
        <w:spacing w:after="40"/>
        <w:ind w:left="1247" w:hanging="357"/>
      </w:pPr>
      <w:r>
        <w:rPr>
          <w:rFonts w:ascii="Cambria" w:hAnsi="Cambria" w:eastAsia="Cambria"/>
          <w:b w:val="0"/>
          <w:i w:val="0"/>
          <w:sz w:val="22"/>
        </w:rPr>
        <w:t>▪</w:t>
        <w:tab/>
      </w:r>
      <w:r>
        <w:rPr>
          <w:rFonts w:ascii="Cambria" w:hAnsi="Cambria" w:eastAsia="Cambria"/>
          <w:b w:val="0"/>
          <w:i w:val="0"/>
          <w:sz w:val="22"/>
        </w:rPr>
        <w:t>Infrastructure and facilities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Verification Process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Submitted data is cross-checked against third-party databases wherever available.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Verification ensures transparency, prevents manipulation, and maintains credibility of the rankings.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Deadlines and Compliance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sets a strict deadline each year for data submission.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failing to submit data before the deadline will not be included in that year's ranking cycle.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Deadlines and instructions are published on the official NIRF portal.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Importance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Participation allows institutions to showcase their strengths at a national level.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Submitting accurate and timely data is crucial, since rankings are used by students, parents, policymakers, and funding agencies for decision-making.</w:t>
      </w:r>
    </w:p>
    <w:p>
      <w:pPr>
        <w:keepNext/>
        <w:spacing w:before="200" w:after="100"/>
      </w:pPr>
      <w:r>
        <w:rPr>
          <w:rFonts w:ascii="Cambria" w:hAnsi="Cambria" w:eastAsia="Cambria"/>
          <w:b/>
          <w:i w:val="0"/>
          <w:color w:val="1F3A5F"/>
          <w:sz w:val="26"/>
        </w:rPr>
        <w:t>NIRF Data Submission Checklist</w:t>
      </w:r>
    </w:p>
    <w:tbl>
      <w:tblPr>
        <w:tblW w:type="dxa" w:w="9242"/>
        <w:jc w:val="center"/>
        <w:tblLayout w:type="fixed"/>
        <w:tblLook w:firstColumn="1" w:firstRow="1" w:lastColumn="0" w:lastRow="0" w:noHBand="0" w:noVBand="1" w:val="04A0"/>
        <w:tblLayout w:type="fixed"/>
      </w:tblPr>
      <w:tblGrid>
        <w:gridCol w:w="2353"/>
        <w:gridCol w:w="2353"/>
        <w:gridCol w:w="2353"/>
        <w:gridCol w:w="2353"/>
      </w:tblGrid>
      <w:tr>
        <w:tc>
          <w:tcPr>
            <w:tcW w:type="dxa" w:w="1474"/>
            <w:shd w:val="clear" w:color="auto" w:fill="1F3A5F"/>
          </w:tcPr>
          <w:p>
            <w:pPr>
              <w:spacing w:after="40" w:line="240" w:lineRule="auto"/>
              <w:jc w:val="center"/>
            </w:pPr>
            <w:r/>
            <w:r>
              <w:rPr>
                <w:rFonts w:ascii="Cambria" w:hAnsi="Cambria" w:eastAsia="Cambria"/>
                <w:b/>
                <w:i w:val="0"/>
                <w:color w:val="FFFFFF"/>
                <w:sz w:val="22"/>
              </w:rPr>
              <w:t>Data Category</w:t>
            </w:r>
          </w:p>
        </w:tc>
        <w:tc>
          <w:tcPr>
            <w:tcW w:type="dxa" w:w="3005"/>
            <w:shd w:val="clear" w:color="auto" w:fill="1F3A5F"/>
          </w:tcPr>
          <w:p>
            <w:pPr>
              <w:spacing w:after="40" w:line="240" w:lineRule="auto"/>
              <w:jc w:val="center"/>
            </w:pPr>
            <w:r/>
            <w:r>
              <w:rPr>
                <w:rFonts w:ascii="Cambria" w:hAnsi="Cambria" w:eastAsia="Cambria"/>
                <w:b/>
                <w:i w:val="0"/>
                <w:color w:val="FFFFFF"/>
                <w:sz w:val="22"/>
              </w:rPr>
              <w:t>Examples</w:t>
            </w:r>
          </w:p>
        </w:tc>
        <w:tc>
          <w:tcPr>
            <w:tcW w:type="dxa" w:w="2381"/>
            <w:shd w:val="clear" w:color="auto" w:fill="1F3A5F"/>
          </w:tcPr>
          <w:p>
            <w:pPr>
              <w:spacing w:after="40" w:line="240" w:lineRule="auto"/>
              <w:jc w:val="center"/>
            </w:pPr>
            <w:r/>
            <w:r>
              <w:rPr>
                <w:rFonts w:ascii="Cambria" w:hAnsi="Cambria" w:eastAsia="Cambria"/>
                <w:b/>
                <w:i w:val="0"/>
                <w:color w:val="FFFFFF"/>
                <w:sz w:val="22"/>
              </w:rPr>
              <w:t>Source (Institution / External)</w:t>
            </w:r>
          </w:p>
        </w:tc>
        <w:tc>
          <w:tcPr>
            <w:tcW w:type="dxa" w:w="2381"/>
            <w:shd w:val="clear" w:color="auto" w:fill="1F3A5F"/>
          </w:tcPr>
          <w:p>
            <w:pPr>
              <w:spacing w:after="40" w:line="240" w:lineRule="auto"/>
              <w:jc w:val="center"/>
            </w:pPr>
            <w:r/>
            <w:r>
              <w:rPr>
                <w:rFonts w:ascii="Cambria" w:hAnsi="Cambria" w:eastAsia="Cambria"/>
                <w:b/>
                <w:i w:val="0"/>
                <w:color w:val="FFFFFF"/>
                <w:sz w:val="22"/>
              </w:rPr>
              <w:t>Verification Method</w:t>
            </w:r>
          </w:p>
        </w:tc>
      </w:tr>
      <w:tr>
        <w:tc>
          <w:tcPr>
            <w:tcW w:type="dxa" w:w="1474"/>
          </w:tcPr>
          <w:p>
            <w:pPr>
              <w:spacing w:after="40" w:line="240" w:lineRule="auto"/>
              <w:jc w:val="left"/>
            </w:pPr>
            <w:r/>
            <w:r>
              <w:rPr>
                <w:rFonts w:ascii="Cambria" w:hAnsi="Cambria" w:eastAsia="Cambria"/>
                <w:b w:val="0"/>
                <w:i w:val="0"/>
                <w:sz w:val="22"/>
              </w:rPr>
              <w:t>Student Strength</w:t>
            </w:r>
          </w:p>
        </w:tc>
        <w:tc>
          <w:tcPr>
            <w:tcW w:type="dxa" w:w="3005"/>
          </w:tcPr>
          <w:p>
            <w:pPr>
              <w:spacing w:after="40" w:line="240" w:lineRule="auto"/>
              <w:jc w:val="center"/>
            </w:pPr>
            <w:r/>
            <w:r>
              <w:rPr>
                <w:rFonts w:ascii="Cambria" w:hAnsi="Cambria" w:eastAsia="Cambria"/>
                <w:b w:val="0"/>
                <w:i w:val="0"/>
                <w:sz w:val="22"/>
              </w:rPr>
              <w:t>UG &amp; PG enrollment, doctoral students, intake capacity</w:t>
            </w:r>
          </w:p>
        </w:tc>
        <w:tc>
          <w:tcPr>
            <w:tcW w:type="dxa" w:w="2381"/>
          </w:tcPr>
          <w:p>
            <w:pPr>
              <w:spacing w:after="40" w:line="240" w:lineRule="auto"/>
              <w:jc w:val="center"/>
            </w:pPr>
            <w:r/>
            <w:r>
              <w:rPr>
                <w:rFonts w:ascii="Cambria" w:hAnsi="Cambria" w:eastAsia="Cambria"/>
                <w:b w:val="0"/>
                <w:i w:val="0"/>
                <w:sz w:val="22"/>
              </w:rPr>
              <w:t>Institution's admission records, AISHE database</w:t>
            </w:r>
          </w:p>
        </w:tc>
        <w:tc>
          <w:tcPr>
            <w:tcW w:type="dxa" w:w="2381"/>
          </w:tcPr>
          <w:p>
            <w:pPr>
              <w:spacing w:after="40" w:line="240" w:lineRule="auto"/>
              <w:jc w:val="center"/>
            </w:pPr>
            <w:r/>
            <w:r>
              <w:rPr>
                <w:rFonts w:ascii="Cambria" w:hAnsi="Cambria" w:eastAsia="Cambria"/>
                <w:b w:val="0"/>
                <w:i w:val="0"/>
                <w:sz w:val="22"/>
              </w:rPr>
              <w:t>Cross-check with AISHE, UGC, AICTE reports</w:t>
            </w:r>
          </w:p>
        </w:tc>
      </w:tr>
      <w:tr>
        <w:tc>
          <w:tcPr>
            <w:tcW w:type="dxa" w:w="1474"/>
            <w:shd w:val="clear" w:color="auto" w:fill="DCE6F1"/>
          </w:tcPr>
          <w:p>
            <w:pPr>
              <w:spacing w:after="40" w:line="240" w:lineRule="auto"/>
              <w:jc w:val="left"/>
            </w:pPr>
            <w:r/>
            <w:r>
              <w:rPr>
                <w:rFonts w:ascii="Cambria" w:hAnsi="Cambria" w:eastAsia="Cambria"/>
                <w:b w:val="0"/>
                <w:i w:val="0"/>
                <w:sz w:val="22"/>
              </w:rPr>
              <w:t>Faculty Details</w:t>
            </w:r>
          </w:p>
        </w:tc>
        <w:tc>
          <w:tcPr>
            <w:tcW w:type="dxa" w:w="3005"/>
            <w:shd w:val="clear" w:color="auto" w:fill="DCE6F1"/>
          </w:tcPr>
          <w:p>
            <w:pPr>
              <w:spacing w:after="40" w:line="240" w:lineRule="auto"/>
              <w:jc w:val="center"/>
            </w:pPr>
            <w:r/>
            <w:r>
              <w:rPr>
                <w:rFonts w:ascii="Cambria" w:hAnsi="Cambria" w:eastAsia="Cambria"/>
                <w:b w:val="0"/>
                <w:i w:val="0"/>
                <w:sz w:val="22"/>
              </w:rPr>
              <w:t>Faculty count, permanent vs. contractual, qualifications (Ph.D., experience)</w:t>
            </w:r>
          </w:p>
        </w:tc>
        <w:tc>
          <w:tcPr>
            <w:tcW w:type="dxa" w:w="2381"/>
            <w:shd w:val="clear" w:color="auto" w:fill="DCE6F1"/>
          </w:tcPr>
          <w:p>
            <w:pPr>
              <w:spacing w:after="40" w:line="240" w:lineRule="auto"/>
              <w:jc w:val="center"/>
            </w:pPr>
            <w:r/>
            <w:r>
              <w:rPr>
                <w:rFonts w:ascii="Cambria" w:hAnsi="Cambria" w:eastAsia="Cambria"/>
                <w:b w:val="0"/>
                <w:i w:val="0"/>
                <w:sz w:val="22"/>
              </w:rPr>
              <w:t>HR/Administration records, Institution MIS</w:t>
            </w:r>
          </w:p>
        </w:tc>
        <w:tc>
          <w:tcPr>
            <w:tcW w:type="dxa" w:w="2381"/>
            <w:shd w:val="clear" w:color="auto" w:fill="DCE6F1"/>
          </w:tcPr>
          <w:p>
            <w:pPr>
              <w:spacing w:after="40" w:line="240" w:lineRule="auto"/>
              <w:jc w:val="center"/>
            </w:pPr>
            <w:r/>
            <w:r>
              <w:rPr>
                <w:rFonts w:ascii="Cambria" w:hAnsi="Cambria" w:eastAsia="Cambria"/>
                <w:b w:val="0"/>
                <w:i w:val="0"/>
                <w:sz w:val="22"/>
              </w:rPr>
              <w:t>Verified through UGC/AICTE faculty approval lists</w:t>
            </w:r>
          </w:p>
        </w:tc>
      </w:tr>
    </w:tbl>
    <w:tbl>
      <w:tblPr>
        <w:tblW w:type="dxa" w:w="9242"/>
        <w:jc w:val="center"/>
        <w:tblLayout w:type="fixed"/>
        <w:tblLook w:firstColumn="1" w:firstRow="1" w:lastColumn="0" w:lastRow="0" w:noHBand="0" w:noVBand="1" w:val="04A0"/>
        <w:tblLayout w:type="fixed"/>
      </w:tblPr>
      <w:tblGrid>
        <w:gridCol w:w="2353"/>
        <w:gridCol w:w="2353"/>
        <w:gridCol w:w="2353"/>
        <w:gridCol w:w="2353"/>
      </w:tblGrid>
      <w:tr>
        <w:tc>
          <w:tcPr>
            <w:tcW w:type="dxa" w:w="1474"/>
            <w:shd w:val="clear" w:color="auto" w:fill="1F3A5F"/>
          </w:tcPr>
          <w:p>
            <w:pPr>
              <w:spacing w:after="40" w:line="240" w:lineRule="auto"/>
              <w:jc w:val="center"/>
            </w:pPr>
            <w:r/>
            <w:r>
              <w:rPr>
                <w:rFonts w:ascii="Cambria" w:hAnsi="Cambria" w:eastAsia="Cambria"/>
                <w:b/>
                <w:i w:val="0"/>
                <w:color w:val="FFFFFF"/>
                <w:sz w:val="22"/>
              </w:rPr>
              <w:t>Data Category</w:t>
            </w:r>
          </w:p>
        </w:tc>
        <w:tc>
          <w:tcPr>
            <w:tcW w:type="dxa" w:w="3005"/>
            <w:shd w:val="clear" w:color="auto" w:fill="1F3A5F"/>
          </w:tcPr>
          <w:p>
            <w:pPr>
              <w:spacing w:after="40" w:line="240" w:lineRule="auto"/>
              <w:jc w:val="center"/>
            </w:pPr>
            <w:r/>
            <w:r>
              <w:rPr>
                <w:rFonts w:ascii="Cambria" w:hAnsi="Cambria" w:eastAsia="Cambria"/>
                <w:b/>
                <w:i w:val="0"/>
                <w:color w:val="FFFFFF"/>
                <w:sz w:val="22"/>
              </w:rPr>
              <w:t>Examples</w:t>
            </w:r>
          </w:p>
        </w:tc>
        <w:tc>
          <w:tcPr>
            <w:tcW w:type="dxa" w:w="2381"/>
            <w:shd w:val="clear" w:color="auto" w:fill="1F3A5F"/>
          </w:tcPr>
          <w:p>
            <w:pPr>
              <w:spacing w:after="40" w:line="240" w:lineRule="auto"/>
              <w:jc w:val="center"/>
            </w:pPr>
            <w:r/>
            <w:r>
              <w:rPr>
                <w:rFonts w:ascii="Cambria" w:hAnsi="Cambria" w:eastAsia="Cambria"/>
                <w:b/>
                <w:i w:val="0"/>
                <w:color w:val="FFFFFF"/>
                <w:sz w:val="22"/>
              </w:rPr>
              <w:t>Source (Institution / External)</w:t>
            </w:r>
          </w:p>
        </w:tc>
        <w:tc>
          <w:tcPr>
            <w:tcW w:type="dxa" w:w="2381"/>
            <w:shd w:val="clear" w:color="auto" w:fill="1F3A5F"/>
          </w:tcPr>
          <w:p>
            <w:pPr>
              <w:spacing w:after="40" w:line="240" w:lineRule="auto"/>
              <w:jc w:val="center"/>
            </w:pPr>
            <w:r/>
            <w:r>
              <w:rPr>
                <w:rFonts w:ascii="Cambria" w:hAnsi="Cambria" w:eastAsia="Cambria"/>
                <w:b/>
                <w:i w:val="0"/>
                <w:color w:val="FFFFFF"/>
                <w:sz w:val="22"/>
              </w:rPr>
              <w:t>Verification Method</w:t>
            </w:r>
          </w:p>
        </w:tc>
      </w:tr>
      <w:tr>
        <w:tc>
          <w:tcPr>
            <w:tcW w:type="dxa" w:w="1474"/>
          </w:tcPr>
          <w:p>
            <w:pPr>
              <w:spacing w:after="40" w:line="240" w:lineRule="auto"/>
              <w:jc w:val="left"/>
            </w:pPr>
            <w:r/>
            <w:r>
              <w:rPr>
                <w:rFonts w:ascii="Cambria" w:hAnsi="Cambria" w:eastAsia="Cambria"/>
                <w:b w:val="0"/>
                <w:i w:val="0"/>
                <w:sz w:val="22"/>
              </w:rPr>
              <w:t>Teaching Resources</w:t>
            </w:r>
          </w:p>
        </w:tc>
        <w:tc>
          <w:tcPr>
            <w:tcW w:type="dxa" w:w="3005"/>
          </w:tcPr>
          <w:p>
            <w:pPr>
              <w:spacing w:after="40" w:line="240" w:lineRule="auto"/>
              <w:jc w:val="center"/>
            </w:pPr>
            <w:r/>
            <w:r>
              <w:rPr>
                <w:rFonts w:ascii="Cambria" w:hAnsi="Cambria" w:eastAsia="Cambria"/>
                <w:b w:val="0"/>
                <w:i w:val="0"/>
                <w:sz w:val="22"/>
              </w:rPr>
              <w:t>Infrastructure, classrooms, labs, libraries, ICT facilities</w:t>
            </w:r>
          </w:p>
        </w:tc>
        <w:tc>
          <w:tcPr>
            <w:tcW w:type="dxa" w:w="2381"/>
          </w:tcPr>
          <w:p>
            <w:pPr>
              <w:spacing w:after="40" w:line="240" w:lineRule="auto"/>
              <w:jc w:val="center"/>
            </w:pPr>
            <w:r/>
            <w:r>
              <w:rPr>
                <w:rFonts w:ascii="Cambria" w:hAnsi="Cambria" w:eastAsia="Cambria"/>
                <w:b w:val="0"/>
                <w:i w:val="0"/>
                <w:sz w:val="22"/>
              </w:rPr>
              <w:t>Institution facilities database</w:t>
            </w:r>
          </w:p>
        </w:tc>
        <w:tc>
          <w:tcPr>
            <w:tcW w:type="dxa" w:w="2381"/>
          </w:tcPr>
          <w:p>
            <w:pPr>
              <w:spacing w:after="40" w:line="240" w:lineRule="auto"/>
              <w:jc w:val="center"/>
            </w:pPr>
            <w:r/>
            <w:r>
              <w:rPr>
                <w:rFonts w:ascii="Cambria" w:hAnsi="Cambria" w:eastAsia="Cambria"/>
                <w:b w:val="0"/>
                <w:i w:val="0"/>
                <w:sz w:val="22"/>
              </w:rPr>
              <w:t>On-site audits, photographs, uploaded documents</w:t>
            </w:r>
          </w:p>
        </w:tc>
      </w:tr>
      <w:tr>
        <w:tc>
          <w:tcPr>
            <w:tcW w:type="dxa" w:w="1474"/>
            <w:shd w:val="clear" w:color="auto" w:fill="DCE6F1"/>
          </w:tcPr>
          <w:p>
            <w:pPr>
              <w:spacing w:after="40" w:line="240" w:lineRule="auto"/>
              <w:jc w:val="left"/>
            </w:pPr>
            <w:r/>
            <w:r>
              <w:rPr>
                <w:rFonts w:ascii="Cambria" w:hAnsi="Cambria" w:eastAsia="Cambria"/>
                <w:b w:val="0"/>
                <w:i w:val="0"/>
                <w:sz w:val="22"/>
              </w:rPr>
              <w:t>Financial Resources</w:t>
            </w:r>
          </w:p>
        </w:tc>
        <w:tc>
          <w:tcPr>
            <w:tcW w:type="dxa" w:w="3005"/>
            <w:shd w:val="clear" w:color="auto" w:fill="DCE6F1"/>
          </w:tcPr>
          <w:p>
            <w:pPr>
              <w:spacing w:after="40" w:line="240" w:lineRule="auto"/>
              <w:jc w:val="center"/>
            </w:pPr>
            <w:r/>
            <w:r>
              <w:rPr>
                <w:rFonts w:ascii="Cambria" w:hAnsi="Cambria" w:eastAsia="Cambria"/>
                <w:b w:val="0"/>
                <w:i w:val="0"/>
                <w:sz w:val="22"/>
              </w:rPr>
              <w:t>Annual budget, expenditure on academic infrastructure, salaries, R&amp;D spending</w:t>
            </w:r>
          </w:p>
        </w:tc>
        <w:tc>
          <w:tcPr>
            <w:tcW w:type="dxa" w:w="2381"/>
            <w:shd w:val="clear" w:color="auto" w:fill="DCE6F1"/>
          </w:tcPr>
          <w:p>
            <w:pPr>
              <w:spacing w:after="40" w:line="240" w:lineRule="auto"/>
              <w:jc w:val="center"/>
            </w:pPr>
            <w:r/>
            <w:r>
              <w:rPr>
                <w:rFonts w:ascii="Cambria" w:hAnsi="Cambria" w:eastAsia="Cambria"/>
                <w:b w:val="0"/>
                <w:i w:val="0"/>
                <w:sz w:val="22"/>
              </w:rPr>
              <w:t>Institution audited financial statements</w:t>
            </w:r>
          </w:p>
        </w:tc>
        <w:tc>
          <w:tcPr>
            <w:tcW w:type="dxa" w:w="2381"/>
            <w:shd w:val="clear" w:color="auto" w:fill="DCE6F1"/>
          </w:tcPr>
          <w:p>
            <w:pPr>
              <w:spacing w:after="40" w:line="240" w:lineRule="auto"/>
              <w:jc w:val="center"/>
            </w:pPr>
            <w:r/>
            <w:r>
              <w:rPr>
                <w:rFonts w:ascii="Cambria" w:hAnsi="Cambria" w:eastAsia="Cambria"/>
                <w:b w:val="0"/>
                <w:i w:val="0"/>
                <w:sz w:val="22"/>
              </w:rPr>
              <w:t>Audit reports, submitted financial statements</w:t>
            </w:r>
          </w:p>
        </w:tc>
      </w:tr>
      <w:tr>
        <w:tc>
          <w:tcPr>
            <w:tcW w:type="dxa" w:w="1474"/>
          </w:tcPr>
          <w:p>
            <w:pPr>
              <w:spacing w:after="40" w:line="240" w:lineRule="auto"/>
              <w:jc w:val="left"/>
            </w:pPr>
            <w:r/>
            <w:r>
              <w:rPr>
                <w:rFonts w:ascii="Cambria" w:hAnsi="Cambria" w:eastAsia="Cambria"/>
                <w:b w:val="0"/>
                <w:i w:val="0"/>
                <w:sz w:val="22"/>
              </w:rPr>
              <w:t>Research &amp; Publications</w:t>
            </w:r>
          </w:p>
        </w:tc>
        <w:tc>
          <w:tcPr>
            <w:tcW w:type="dxa" w:w="3005"/>
          </w:tcPr>
          <w:p>
            <w:pPr>
              <w:spacing w:after="40" w:line="240" w:lineRule="auto"/>
              <w:jc w:val="center"/>
            </w:pPr>
            <w:r/>
            <w:r>
              <w:rPr>
                <w:rFonts w:ascii="Cambria" w:hAnsi="Cambria" w:eastAsia="Cambria"/>
                <w:b w:val="0"/>
                <w:i w:val="0"/>
                <w:sz w:val="22"/>
              </w:rPr>
              <w:t>Journal papers, conference papers, citations, patents</w:t>
            </w:r>
          </w:p>
        </w:tc>
        <w:tc>
          <w:tcPr>
            <w:tcW w:type="dxa" w:w="2381"/>
          </w:tcPr>
          <w:p>
            <w:pPr>
              <w:spacing w:after="40" w:line="240" w:lineRule="auto"/>
              <w:jc w:val="center"/>
            </w:pPr>
            <w:r/>
            <w:r>
              <w:rPr>
                <w:rFonts w:ascii="Cambria" w:hAnsi="Cambria" w:eastAsia="Cambria"/>
                <w:b w:val="0"/>
                <w:i w:val="0"/>
                <w:sz w:val="22"/>
              </w:rPr>
              <w:t>Faculty research records, Scopus, Web of Science, Indian Patent Office</w:t>
            </w:r>
          </w:p>
        </w:tc>
        <w:tc>
          <w:tcPr>
            <w:tcW w:type="dxa" w:w="2381"/>
          </w:tcPr>
          <w:p>
            <w:pPr>
              <w:spacing w:after="40" w:line="240" w:lineRule="auto"/>
              <w:jc w:val="center"/>
            </w:pPr>
            <w:r/>
            <w:r>
              <w:rPr>
                <w:rFonts w:ascii="Cambria" w:hAnsi="Cambria" w:eastAsia="Cambria"/>
                <w:b w:val="0"/>
                <w:i w:val="0"/>
                <w:sz w:val="22"/>
              </w:rPr>
              <w:t>Scopus/WoS indexing, citation reports, patent filings</w:t>
            </w:r>
          </w:p>
        </w:tc>
      </w:tr>
      <w:tr>
        <w:tc>
          <w:tcPr>
            <w:tcW w:type="dxa" w:w="1474"/>
            <w:shd w:val="clear" w:color="auto" w:fill="DCE6F1"/>
          </w:tcPr>
          <w:p>
            <w:pPr>
              <w:spacing w:after="40" w:line="240" w:lineRule="auto"/>
              <w:jc w:val="left"/>
            </w:pPr>
            <w:r/>
            <w:r>
              <w:rPr>
                <w:rFonts w:ascii="Cambria" w:hAnsi="Cambria" w:eastAsia="Cambria"/>
                <w:b w:val="0"/>
                <w:i w:val="0"/>
                <w:sz w:val="22"/>
              </w:rPr>
              <w:t>Projects &amp; Consultancy</w:t>
            </w:r>
          </w:p>
        </w:tc>
        <w:tc>
          <w:tcPr>
            <w:tcW w:type="dxa" w:w="3005"/>
            <w:shd w:val="clear" w:color="auto" w:fill="DCE6F1"/>
          </w:tcPr>
          <w:p>
            <w:pPr>
              <w:spacing w:after="40" w:line="240" w:lineRule="auto"/>
              <w:jc w:val="center"/>
            </w:pPr>
            <w:r/>
            <w:r>
              <w:rPr>
                <w:rFonts w:ascii="Cambria" w:hAnsi="Cambria" w:eastAsia="Cambria"/>
                <w:b w:val="0"/>
                <w:i w:val="0"/>
                <w:sz w:val="22"/>
              </w:rPr>
              <w:t>Sponsored research projects, consultancy revenue, professional practice programs</w:t>
            </w:r>
          </w:p>
        </w:tc>
        <w:tc>
          <w:tcPr>
            <w:tcW w:type="dxa" w:w="2381"/>
            <w:shd w:val="clear" w:color="auto" w:fill="DCE6F1"/>
          </w:tcPr>
          <w:p>
            <w:pPr>
              <w:spacing w:after="40" w:line="240" w:lineRule="auto"/>
              <w:jc w:val="center"/>
            </w:pPr>
            <w:r/>
            <w:r>
              <w:rPr>
                <w:rFonts w:ascii="Cambria" w:hAnsi="Cambria" w:eastAsia="Cambria"/>
                <w:b w:val="0"/>
                <w:i w:val="0"/>
                <w:sz w:val="22"/>
              </w:rPr>
              <w:t>Institution R&amp;D cell, MoUs with industry</w:t>
            </w:r>
          </w:p>
        </w:tc>
        <w:tc>
          <w:tcPr>
            <w:tcW w:type="dxa" w:w="2381"/>
            <w:shd w:val="clear" w:color="auto" w:fill="DCE6F1"/>
          </w:tcPr>
          <w:p>
            <w:pPr>
              <w:spacing w:after="40" w:line="240" w:lineRule="auto"/>
              <w:jc w:val="center"/>
            </w:pPr>
            <w:r/>
            <w:r>
              <w:rPr>
                <w:rFonts w:ascii="Cambria" w:hAnsi="Cambria" w:eastAsia="Cambria"/>
                <w:b w:val="0"/>
                <w:i w:val="0"/>
                <w:sz w:val="22"/>
              </w:rPr>
              <w:t>Project sanction letters, funding agency databases</w:t>
            </w:r>
          </w:p>
        </w:tc>
      </w:tr>
      <w:tr>
        <w:tc>
          <w:tcPr>
            <w:tcW w:type="dxa" w:w="1474"/>
          </w:tcPr>
          <w:p>
            <w:pPr>
              <w:spacing w:after="40" w:line="240" w:lineRule="auto"/>
              <w:jc w:val="left"/>
            </w:pPr>
            <w:r/>
            <w:r>
              <w:rPr>
                <w:rFonts w:ascii="Cambria" w:hAnsi="Cambria" w:eastAsia="Cambria"/>
                <w:b w:val="0"/>
                <w:i w:val="0"/>
                <w:sz w:val="22"/>
              </w:rPr>
              <w:t>Graduation Outcomes</w:t>
            </w:r>
          </w:p>
        </w:tc>
        <w:tc>
          <w:tcPr>
            <w:tcW w:type="dxa" w:w="3005"/>
          </w:tcPr>
          <w:p>
            <w:pPr>
              <w:spacing w:after="40" w:line="240" w:lineRule="auto"/>
              <w:jc w:val="center"/>
            </w:pPr>
            <w:r/>
            <w:r>
              <w:rPr>
                <w:rFonts w:ascii="Cambria" w:hAnsi="Cambria" w:eastAsia="Cambria"/>
                <w:b w:val="0"/>
                <w:i w:val="0"/>
                <w:sz w:val="22"/>
              </w:rPr>
              <w:t>Placement numbers, salary packages, higher studies, exam results (GATE, NET, UPSC)</w:t>
            </w:r>
          </w:p>
        </w:tc>
        <w:tc>
          <w:tcPr>
            <w:tcW w:type="dxa" w:w="2381"/>
          </w:tcPr>
          <w:p>
            <w:pPr>
              <w:spacing w:after="40" w:line="240" w:lineRule="auto"/>
              <w:jc w:val="center"/>
            </w:pPr>
            <w:r/>
            <w:r>
              <w:rPr>
                <w:rFonts w:ascii="Cambria" w:hAnsi="Cambria" w:eastAsia="Cambria"/>
                <w:b w:val="0"/>
                <w:i w:val="0"/>
                <w:sz w:val="22"/>
              </w:rPr>
              <w:t>Placement cell, Alumni records</w:t>
            </w:r>
          </w:p>
        </w:tc>
        <w:tc>
          <w:tcPr>
            <w:tcW w:type="dxa" w:w="2381"/>
          </w:tcPr>
          <w:p>
            <w:pPr>
              <w:spacing w:after="40" w:line="240" w:lineRule="auto"/>
              <w:jc w:val="center"/>
            </w:pPr>
            <w:r/>
            <w:r>
              <w:rPr>
                <w:rFonts w:ascii="Cambria" w:hAnsi="Cambria" w:eastAsia="Cambria"/>
                <w:b w:val="0"/>
                <w:i w:val="0"/>
                <w:sz w:val="22"/>
              </w:rPr>
              <w:t>Employer feedback, alumni surveys, offer letters</w:t>
            </w:r>
          </w:p>
        </w:tc>
      </w:tr>
      <w:tr>
        <w:tc>
          <w:tcPr>
            <w:tcW w:type="dxa" w:w="1474"/>
            <w:shd w:val="clear" w:color="auto" w:fill="DCE6F1"/>
          </w:tcPr>
          <w:p>
            <w:pPr>
              <w:spacing w:after="40" w:line="240" w:lineRule="auto"/>
              <w:jc w:val="left"/>
            </w:pPr>
            <w:r/>
            <w:r>
              <w:rPr>
                <w:rFonts w:ascii="Cambria" w:hAnsi="Cambria" w:eastAsia="Cambria"/>
                <w:b w:val="0"/>
                <w:i w:val="0"/>
                <w:sz w:val="22"/>
              </w:rPr>
              <w:t>Inclusivity &amp; Diversity</w:t>
            </w:r>
          </w:p>
        </w:tc>
        <w:tc>
          <w:tcPr>
            <w:tcW w:type="dxa" w:w="3005"/>
            <w:shd w:val="clear" w:color="auto" w:fill="DCE6F1"/>
          </w:tcPr>
          <w:p>
            <w:pPr>
              <w:spacing w:after="40" w:line="240" w:lineRule="auto"/>
              <w:jc w:val="center"/>
            </w:pPr>
            <w:r/>
            <w:r>
              <w:rPr>
                <w:rFonts w:ascii="Cambria" w:hAnsi="Cambria" w:eastAsia="Cambria"/>
                <w:b w:val="0"/>
                <w:i w:val="0"/>
                <w:sz w:val="22"/>
              </w:rPr>
              <w:t>Gender ratio, regional diversity, representation of disadvantaged groups, facilities for differently-abled</w:t>
            </w:r>
          </w:p>
        </w:tc>
        <w:tc>
          <w:tcPr>
            <w:tcW w:type="dxa" w:w="2381"/>
            <w:shd w:val="clear" w:color="auto" w:fill="DCE6F1"/>
          </w:tcPr>
          <w:p>
            <w:pPr>
              <w:spacing w:after="40" w:line="240" w:lineRule="auto"/>
              <w:jc w:val="center"/>
            </w:pPr>
            <w:r/>
            <w:r>
              <w:rPr>
                <w:rFonts w:ascii="Cambria" w:hAnsi="Cambria" w:eastAsia="Cambria"/>
                <w:b w:val="0"/>
                <w:i w:val="0"/>
                <w:sz w:val="22"/>
              </w:rPr>
              <w:t>Student records, scholarship lists</w:t>
            </w:r>
          </w:p>
        </w:tc>
        <w:tc>
          <w:tcPr>
            <w:tcW w:type="dxa" w:w="2381"/>
            <w:shd w:val="clear" w:color="auto" w:fill="DCE6F1"/>
          </w:tcPr>
          <w:p>
            <w:pPr>
              <w:spacing w:after="40" w:line="240" w:lineRule="auto"/>
              <w:jc w:val="center"/>
            </w:pPr>
            <w:r/>
            <w:r>
              <w:rPr>
                <w:rFonts w:ascii="Cambria" w:hAnsi="Cambria" w:eastAsia="Cambria"/>
                <w:b w:val="0"/>
                <w:i w:val="0"/>
                <w:sz w:val="22"/>
              </w:rPr>
              <w:t>Government quota records, institutional facilities reports</w:t>
            </w:r>
          </w:p>
        </w:tc>
      </w:tr>
      <w:tr>
        <w:tc>
          <w:tcPr>
            <w:tcW w:type="dxa" w:w="1474"/>
          </w:tcPr>
          <w:p>
            <w:pPr>
              <w:spacing w:after="40" w:line="240" w:lineRule="auto"/>
              <w:jc w:val="left"/>
            </w:pPr>
            <w:r/>
            <w:r>
              <w:rPr>
                <w:rFonts w:ascii="Cambria" w:hAnsi="Cambria" w:eastAsia="Cambria"/>
                <w:b w:val="0"/>
                <w:i w:val="0"/>
                <w:sz w:val="22"/>
              </w:rPr>
              <w:t>Perception</w:t>
            </w:r>
          </w:p>
        </w:tc>
        <w:tc>
          <w:tcPr>
            <w:tcW w:type="dxa" w:w="3005"/>
          </w:tcPr>
          <w:p>
            <w:pPr>
              <w:spacing w:after="40" w:line="240" w:lineRule="auto"/>
              <w:jc w:val="center"/>
            </w:pPr>
            <w:r/>
            <w:r>
              <w:rPr>
                <w:rFonts w:ascii="Cambria" w:hAnsi="Cambria" w:eastAsia="Cambria"/>
                <w:b w:val="0"/>
                <w:i w:val="0"/>
                <w:sz w:val="22"/>
              </w:rPr>
              <w:t>Employer/peer reviews, academic reputation surveys</w:t>
            </w:r>
          </w:p>
        </w:tc>
        <w:tc>
          <w:tcPr>
            <w:tcW w:type="dxa" w:w="2381"/>
          </w:tcPr>
          <w:p>
            <w:pPr>
              <w:spacing w:after="40" w:line="240" w:lineRule="auto"/>
              <w:jc w:val="center"/>
            </w:pPr>
            <w:r/>
            <w:r>
              <w:rPr>
                <w:rFonts w:ascii="Cambria" w:hAnsi="Cambria" w:eastAsia="Cambria"/>
                <w:b w:val="0"/>
                <w:i w:val="0"/>
                <w:sz w:val="22"/>
              </w:rPr>
              <w:t>NIRF survey process (external)</w:t>
            </w:r>
          </w:p>
        </w:tc>
        <w:tc>
          <w:tcPr>
            <w:tcW w:type="dxa" w:w="2381"/>
          </w:tcPr>
          <w:p>
            <w:pPr>
              <w:spacing w:after="40" w:line="240" w:lineRule="auto"/>
              <w:jc w:val="center"/>
            </w:pPr>
            <w:r/>
            <w:r>
              <w:rPr>
                <w:rFonts w:ascii="Cambria" w:hAnsi="Cambria" w:eastAsia="Cambria"/>
                <w:b w:val="0"/>
                <w:i w:val="0"/>
                <w:sz w:val="22"/>
              </w:rPr>
              <w:t>NIRF-administered perception surveys</w:t>
            </w:r>
          </w:p>
        </w:tc>
      </w:tr>
      <w:tr>
        <w:tc>
          <w:tcPr>
            <w:tcW w:type="dxa" w:w="1474"/>
            <w:shd w:val="clear" w:color="auto" w:fill="DCE6F1"/>
          </w:tcPr>
          <w:p>
            <w:pPr>
              <w:spacing w:after="40" w:line="240" w:lineRule="auto"/>
              <w:jc w:val="left"/>
            </w:pPr>
            <w:r/>
            <w:r>
              <w:rPr>
                <w:rFonts w:ascii="Cambria" w:hAnsi="Cambria" w:eastAsia="Cambria"/>
                <w:b w:val="0"/>
                <w:i w:val="0"/>
                <w:sz w:val="22"/>
              </w:rPr>
              <w:t>Institutional Eligibility</w:t>
            </w:r>
          </w:p>
        </w:tc>
        <w:tc>
          <w:tcPr>
            <w:tcW w:type="dxa" w:w="3005"/>
            <w:shd w:val="clear" w:color="auto" w:fill="DCE6F1"/>
          </w:tcPr>
          <w:p>
            <w:pPr>
              <w:spacing w:after="40" w:line="240" w:lineRule="auto"/>
              <w:jc w:val="center"/>
            </w:pPr>
            <w:r/>
            <w:r>
              <w:rPr>
                <w:rFonts w:ascii="Cambria" w:hAnsi="Cambria" w:eastAsia="Cambria"/>
                <w:b w:val="0"/>
                <w:i w:val="0"/>
                <w:sz w:val="22"/>
              </w:rPr>
              <w:t>Age of institution, number of graduating batches (≥3)</w:t>
            </w:r>
          </w:p>
        </w:tc>
        <w:tc>
          <w:tcPr>
            <w:tcW w:type="dxa" w:w="2381"/>
            <w:shd w:val="clear" w:color="auto" w:fill="DCE6F1"/>
          </w:tcPr>
          <w:p>
            <w:pPr>
              <w:spacing w:after="40" w:line="240" w:lineRule="auto"/>
              <w:jc w:val="center"/>
            </w:pPr>
            <w:r/>
            <w:r>
              <w:rPr>
                <w:rFonts w:ascii="Cambria" w:hAnsi="Cambria" w:eastAsia="Cambria"/>
                <w:b w:val="0"/>
                <w:i w:val="0"/>
                <w:sz w:val="22"/>
              </w:rPr>
              <w:t>Institution history, registrar office</w:t>
            </w:r>
          </w:p>
        </w:tc>
        <w:tc>
          <w:tcPr>
            <w:tcW w:type="dxa" w:w="2381"/>
            <w:shd w:val="clear" w:color="auto" w:fill="DCE6F1"/>
          </w:tcPr>
          <w:p>
            <w:pPr>
              <w:spacing w:after="40" w:line="240" w:lineRule="auto"/>
              <w:jc w:val="center"/>
            </w:pPr>
            <w:r/>
            <w:r>
              <w:rPr>
                <w:rFonts w:ascii="Cambria" w:hAnsi="Cambria" w:eastAsia="Cambria"/>
                <w:b w:val="0"/>
                <w:i w:val="0"/>
                <w:sz w:val="22"/>
              </w:rPr>
              <w:t>Verified by accreditation agencies, affiliating university records</w:t>
            </w:r>
          </w:p>
        </w:tc>
      </w:tr>
    </w:tbl>
    <w:p>
      <w:pPr>
        <w:keepNext/>
        <w:spacing w:before="200" w:after="100"/>
      </w:pPr>
      <w:r>
        <w:rPr>
          <w:rFonts w:ascii="Cambria" w:hAnsi="Cambria" w:eastAsia="Cambria"/>
          <w:b/>
          <w:i w:val="0"/>
          <w:color w:val="1F3A5F"/>
          <w:sz w:val="26"/>
        </w:rPr>
        <w:t>Data transparency and hosting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Mandatory Data Hosting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upload all submitted NIRF data on their own official website.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data must be accessible via a prominent link named “NIRF” placed clearly on the homepage.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ensures that stakeholders (students, parents, faculty, policymakers, and the public) can directly access the same data used for rankings.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Timeline Requirement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for India Rankings 2024 must be hosted immediately after final submission to the NIRF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hosted data must remain available for a minimum of three years, maintaining continuity and accountability.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Feedback Mechanism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provide a dedicated email address on the NIRF webpage to receive comments and feedback.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encourages external stakeholders to highlight errors, discrepancies, or missing information.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Corrective Action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required to proactively review feedback in an objective manner.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Corrections must be made within the official correction window announced by NIRF on its website.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step strengthens accuracy, reliability, and trust in institutional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 and Benefits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Transparency: Enhances credibility of both the institution and the NIRF ranking 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Accountability: Prevents data manipulation and builds public trust.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Engagement: Allows stakeholders to actively participate in validating institutional claims.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Compliance: Mandatory for continued eligibility in rankings; non-compliance can lead to exclusion.</w:t>
      </w:r>
    </w:p>
    <w:p>
      <w:pPr>
        <w:spacing w:after="80" w:line="276" w:lineRule="auto"/>
      </w:pPr>
      <w:r>
        <w:rPr>
          <w:rFonts w:ascii="Cambria" w:hAnsi="Cambria" w:eastAsia="Cambria"/>
          <w:b/>
          <w:i w:val="0"/>
          <w:sz w:val="22"/>
        </w:rPr>
        <w:t>NIRF Data Disclosure – [Institution Name]</w:t>
      </w:r>
    </w:p>
    <w:p>
      <w:pPr>
        <w:spacing w:after="40" w:line="276" w:lineRule="auto"/>
      </w:pPr>
      <w:r>
        <w:rPr>
          <w:rFonts w:ascii="Cambria" w:hAnsi="Cambria" w:eastAsia="Cambria"/>
          <w:b/>
          <w:i w:val="0"/>
          <w:sz w:val="22"/>
        </w:rPr>
        <w:t>Introduction</w:t>
      </w:r>
    </w:p>
    <w:p>
      <w:pPr>
        <w:spacing w:after="120" w:line="276" w:lineRule="auto"/>
        <w:jc w:val="both"/>
      </w:pPr>
      <w:r>
        <w:rPr>
          <w:rFonts w:ascii="Cambria" w:hAnsi="Cambria" w:eastAsia="Cambria"/>
          <w:b w:val="0"/>
          <w:i w:val="0"/>
          <w:sz w:val="22"/>
        </w:rPr>
        <w:t>In compliance with the guidelines of the National Institutional Ranking Framework (NIRF), [Institution Name] has uploaded all data submitted for India Rankings 2024. This data is hosted publicly in the interest of transparency, accountability, and stakeholder engagement.</w:t>
      </w:r>
    </w:p>
    <w:p>
      <w:pPr>
        <w:spacing w:after="40" w:line="276" w:lineRule="auto"/>
      </w:pPr>
      <w:r>
        <w:rPr>
          <w:rFonts w:ascii="Cambria" w:hAnsi="Cambria" w:eastAsia="Cambria"/>
          <w:b/>
          <w:i w:val="0"/>
          <w:sz w:val="22"/>
        </w:rPr>
        <w:t>Submitted Data Categories</w:t>
      </w:r>
    </w:p>
    <w:tbl>
      <w:tblPr>
        <w:tblW w:type="dxa" w:w="9242"/>
        <w:jc w:val="center"/>
        <w:tblLayout w:type="fixed"/>
        <w:tblLook w:firstColumn="1" w:firstRow="1" w:lastColumn="0" w:lastRow="0" w:noHBand="0" w:noVBand="1" w:val="04A0"/>
        <w:tblLayout w:type="fixed"/>
      </w:tblPr>
      <w:tblGrid>
        <w:gridCol w:w="3137"/>
        <w:gridCol w:w="3137"/>
        <w:gridCol w:w="3137"/>
      </w:tblGrid>
      <w:tr>
        <w:tc>
          <w:tcPr>
            <w:tcW w:type="dxa" w:w="3005"/>
            <w:shd w:val="clear" w:color="auto" w:fill="1F3A5F"/>
          </w:tcPr>
          <w:p>
            <w:pPr>
              <w:spacing w:after="40" w:line="240" w:lineRule="auto"/>
              <w:jc w:val="center"/>
            </w:pPr>
            <w:r/>
            <w:r>
              <w:rPr>
                <w:rFonts w:ascii="Cambria" w:hAnsi="Cambria" w:eastAsia="Cambria"/>
                <w:b/>
                <w:i w:val="0"/>
                <w:color w:val="FFFFFF"/>
                <w:sz w:val="22"/>
              </w:rPr>
              <w:t>Data Category</w:t>
            </w:r>
          </w:p>
        </w:tc>
        <w:tc>
          <w:tcPr>
            <w:tcW w:type="dxa" w:w="4139"/>
            <w:shd w:val="clear" w:color="auto" w:fill="1F3A5F"/>
          </w:tcPr>
          <w:p>
            <w:pPr>
              <w:spacing w:after="40" w:line="240" w:lineRule="auto"/>
              <w:jc w:val="center"/>
            </w:pPr>
            <w:r/>
            <w:r>
              <w:rPr>
                <w:rFonts w:ascii="Cambria" w:hAnsi="Cambria" w:eastAsia="Cambria"/>
                <w:b/>
                <w:i w:val="0"/>
                <w:color w:val="FFFFFF"/>
                <w:sz w:val="22"/>
              </w:rPr>
              <w:t>Details / Reports</w:t>
            </w:r>
          </w:p>
        </w:tc>
        <w:tc>
          <w:tcPr>
            <w:tcW w:type="dxa" w:w="2097"/>
            <w:shd w:val="clear" w:color="auto" w:fill="1F3A5F"/>
          </w:tcPr>
          <w:p>
            <w:pPr>
              <w:spacing w:after="40" w:line="240" w:lineRule="auto"/>
              <w:jc w:val="center"/>
            </w:pPr>
            <w:r/>
            <w:r>
              <w:rPr>
                <w:rFonts w:ascii="Cambria" w:hAnsi="Cambria" w:eastAsia="Cambria"/>
                <w:b/>
                <w:i w:val="0"/>
                <w:color w:val="FFFFFF"/>
                <w:sz w:val="22"/>
              </w:rPr>
              <w:t>Download Link / View</w:t>
            </w:r>
          </w:p>
        </w:tc>
      </w:tr>
      <w:tr>
        <w:tc>
          <w:tcPr>
            <w:tcW w:type="dxa" w:w="3005"/>
          </w:tcPr>
          <w:p>
            <w:pPr>
              <w:spacing w:after="40" w:line="240" w:lineRule="auto"/>
              <w:jc w:val="left"/>
            </w:pPr>
            <w:r/>
            <w:r>
              <w:rPr>
                <w:rFonts w:ascii="Cambria" w:hAnsi="Cambria" w:eastAsia="Cambria"/>
                <w:b w:val="0"/>
                <w:i w:val="0"/>
                <w:sz w:val="22"/>
              </w:rPr>
              <w:t>Teaching, Learning &amp; Resources (TLR)</w:t>
            </w:r>
          </w:p>
        </w:tc>
        <w:tc>
          <w:tcPr>
            <w:tcW w:type="dxa" w:w="4139"/>
          </w:tcPr>
          <w:p>
            <w:pPr>
              <w:spacing w:after="40" w:line="240" w:lineRule="auto"/>
              <w:jc w:val="center"/>
            </w:pPr>
            <w:r/>
            <w:r>
              <w:rPr>
                <w:rFonts w:ascii="Cambria" w:hAnsi="Cambria" w:eastAsia="Cambria"/>
                <w:b w:val="0"/>
                <w:i w:val="0"/>
                <w:sz w:val="22"/>
              </w:rPr>
              <w:t>Faculty details, student intake, infrastructure, financial resources</w:t>
            </w:r>
          </w:p>
        </w:tc>
        <w:tc>
          <w:tcPr>
            <w:tcW w:type="dxa" w:w="2097"/>
          </w:tcPr>
          <w:p>
            <w:pPr>
              <w:spacing w:after="40" w:line="240" w:lineRule="auto"/>
              <w:jc w:val="center"/>
            </w:pPr>
            <w:r/>
            <w:r>
              <w:rPr>
                <w:rFonts w:ascii="Cambria" w:hAnsi="Cambria" w:eastAsia="Cambria"/>
                <w:b w:val="0"/>
                <w:i w:val="0"/>
                <w:sz w:val="22"/>
              </w:rPr>
              <w:t>[View / Download PDF]</w:t>
            </w:r>
          </w:p>
        </w:tc>
      </w:tr>
      <w:tr>
        <w:tc>
          <w:tcPr>
            <w:tcW w:type="dxa" w:w="3005"/>
            <w:shd w:val="clear" w:color="auto" w:fill="DCE6F1"/>
          </w:tcPr>
          <w:p>
            <w:pPr>
              <w:spacing w:after="40" w:line="240" w:lineRule="auto"/>
              <w:jc w:val="left"/>
            </w:pPr>
            <w:r/>
            <w:r>
              <w:rPr>
                <w:rFonts w:ascii="Cambria" w:hAnsi="Cambria" w:eastAsia="Cambria"/>
                <w:b w:val="0"/>
                <w:i w:val="0"/>
                <w:sz w:val="22"/>
              </w:rPr>
              <w:t>Research &amp; Professional Practices (RP)</w:t>
            </w:r>
          </w:p>
        </w:tc>
        <w:tc>
          <w:tcPr>
            <w:tcW w:type="dxa" w:w="4139"/>
            <w:shd w:val="clear" w:color="auto" w:fill="DCE6F1"/>
          </w:tcPr>
          <w:p>
            <w:pPr>
              <w:spacing w:after="40" w:line="240" w:lineRule="auto"/>
              <w:jc w:val="center"/>
            </w:pPr>
            <w:r/>
            <w:r>
              <w:rPr>
                <w:rFonts w:ascii="Cambria" w:hAnsi="Cambria" w:eastAsia="Cambria"/>
                <w:b w:val="0"/>
                <w:i w:val="0"/>
                <w:sz w:val="22"/>
              </w:rPr>
              <w:t>Publications, patents, sponsored projects, consultancy</w:t>
            </w:r>
          </w:p>
        </w:tc>
        <w:tc>
          <w:tcPr>
            <w:tcW w:type="dxa" w:w="2097"/>
            <w:shd w:val="clear" w:color="auto" w:fill="DCE6F1"/>
          </w:tcPr>
          <w:p>
            <w:pPr>
              <w:spacing w:after="40" w:line="240" w:lineRule="auto"/>
              <w:jc w:val="center"/>
            </w:pPr>
            <w:r/>
            <w:r>
              <w:rPr>
                <w:rFonts w:ascii="Cambria" w:hAnsi="Cambria" w:eastAsia="Cambria"/>
                <w:b w:val="0"/>
                <w:i w:val="0"/>
                <w:sz w:val="22"/>
              </w:rPr>
              <w:t>[View / Download PDF]</w:t>
            </w:r>
          </w:p>
        </w:tc>
      </w:tr>
      <w:tr>
        <w:tc>
          <w:tcPr>
            <w:tcW w:type="dxa" w:w="3005"/>
          </w:tcPr>
          <w:p>
            <w:pPr>
              <w:spacing w:after="40" w:line="240" w:lineRule="auto"/>
              <w:jc w:val="left"/>
            </w:pPr>
            <w:r/>
            <w:r>
              <w:rPr>
                <w:rFonts w:ascii="Cambria" w:hAnsi="Cambria" w:eastAsia="Cambria"/>
                <w:b w:val="0"/>
                <w:i w:val="0"/>
                <w:sz w:val="22"/>
              </w:rPr>
              <w:t>Graduation Outcomes (GO)</w:t>
            </w:r>
          </w:p>
        </w:tc>
        <w:tc>
          <w:tcPr>
            <w:tcW w:type="dxa" w:w="4139"/>
          </w:tcPr>
          <w:p>
            <w:pPr>
              <w:spacing w:after="40" w:line="240" w:lineRule="auto"/>
              <w:jc w:val="center"/>
            </w:pPr>
            <w:r/>
            <w:r>
              <w:rPr>
                <w:rFonts w:ascii="Cambria" w:hAnsi="Cambria" w:eastAsia="Cambria"/>
                <w:b w:val="0"/>
                <w:i w:val="0"/>
                <w:sz w:val="22"/>
              </w:rPr>
              <w:t>Placements, higher studies, median salary, Ph.D. outcomes</w:t>
            </w:r>
          </w:p>
        </w:tc>
        <w:tc>
          <w:tcPr>
            <w:tcW w:type="dxa" w:w="2097"/>
          </w:tcPr>
          <w:p>
            <w:pPr>
              <w:spacing w:after="40" w:line="240" w:lineRule="auto"/>
              <w:jc w:val="center"/>
            </w:pPr>
            <w:r/>
            <w:r>
              <w:rPr>
                <w:rFonts w:ascii="Cambria" w:hAnsi="Cambria" w:eastAsia="Cambria"/>
                <w:b w:val="0"/>
                <w:i w:val="0"/>
                <w:sz w:val="22"/>
              </w:rPr>
              <w:t>[View / Download PDF]</w:t>
            </w:r>
          </w:p>
        </w:tc>
      </w:tr>
      <w:tr>
        <w:tc>
          <w:tcPr>
            <w:tcW w:type="dxa" w:w="3005"/>
            <w:shd w:val="clear" w:color="auto" w:fill="DCE6F1"/>
          </w:tcPr>
          <w:p>
            <w:pPr>
              <w:spacing w:after="40" w:line="240" w:lineRule="auto"/>
              <w:jc w:val="left"/>
            </w:pPr>
            <w:r/>
            <w:r>
              <w:rPr>
                <w:rFonts w:ascii="Cambria" w:hAnsi="Cambria" w:eastAsia="Cambria"/>
                <w:b w:val="0"/>
                <w:i w:val="0"/>
                <w:sz w:val="22"/>
              </w:rPr>
              <w:t>Outreach &amp; Inclusivity (OI)</w:t>
            </w:r>
          </w:p>
        </w:tc>
        <w:tc>
          <w:tcPr>
            <w:tcW w:type="dxa" w:w="4139"/>
            <w:shd w:val="clear" w:color="auto" w:fill="DCE6F1"/>
          </w:tcPr>
          <w:p>
            <w:pPr>
              <w:spacing w:after="40" w:line="240" w:lineRule="auto"/>
              <w:jc w:val="center"/>
            </w:pPr>
            <w:r/>
            <w:r>
              <w:rPr>
                <w:rFonts w:ascii="Cambria" w:hAnsi="Cambria" w:eastAsia="Cambria"/>
                <w:b w:val="0"/>
                <w:i w:val="0"/>
                <w:sz w:val="22"/>
              </w:rPr>
              <w:t>Gender diversity, regional representation, disadvantaged student support</w:t>
            </w:r>
          </w:p>
        </w:tc>
        <w:tc>
          <w:tcPr>
            <w:tcW w:type="dxa" w:w="2097"/>
            <w:shd w:val="clear" w:color="auto" w:fill="DCE6F1"/>
          </w:tcPr>
          <w:p>
            <w:pPr>
              <w:spacing w:after="40" w:line="240" w:lineRule="auto"/>
              <w:jc w:val="center"/>
            </w:pPr>
            <w:r/>
            <w:r>
              <w:rPr>
                <w:rFonts w:ascii="Cambria" w:hAnsi="Cambria" w:eastAsia="Cambria"/>
                <w:b w:val="0"/>
                <w:i w:val="0"/>
                <w:sz w:val="22"/>
              </w:rPr>
              <w:t>[View / Download PDF]</w:t>
            </w:r>
          </w:p>
        </w:tc>
      </w:tr>
      <w:tr>
        <w:tc>
          <w:tcPr>
            <w:tcW w:type="dxa" w:w="3005"/>
          </w:tcPr>
          <w:p>
            <w:pPr>
              <w:spacing w:after="40" w:line="240" w:lineRule="auto"/>
              <w:jc w:val="left"/>
            </w:pPr>
            <w:r/>
            <w:r>
              <w:rPr>
                <w:rFonts w:ascii="Cambria" w:hAnsi="Cambria" w:eastAsia="Cambria"/>
                <w:b w:val="0"/>
                <w:i w:val="0"/>
                <w:sz w:val="22"/>
              </w:rPr>
              <w:t>Perception (PR)</w:t>
            </w:r>
          </w:p>
        </w:tc>
        <w:tc>
          <w:tcPr>
            <w:tcW w:type="dxa" w:w="4139"/>
          </w:tcPr>
          <w:p>
            <w:pPr>
              <w:spacing w:after="40" w:line="240" w:lineRule="auto"/>
              <w:jc w:val="center"/>
            </w:pPr>
            <w:r/>
            <w:r>
              <w:rPr>
                <w:rFonts w:ascii="Cambria" w:hAnsi="Cambria" w:eastAsia="Cambria"/>
                <w:b w:val="0"/>
                <w:i w:val="0"/>
                <w:sz w:val="22"/>
              </w:rPr>
              <w:t>Employer/peer perception survey results</w:t>
            </w:r>
          </w:p>
        </w:tc>
        <w:tc>
          <w:tcPr>
            <w:tcW w:type="dxa" w:w="2097"/>
          </w:tcPr>
          <w:p>
            <w:pPr>
              <w:spacing w:after="40" w:line="240" w:lineRule="auto"/>
              <w:jc w:val="center"/>
            </w:pPr>
            <w:r/>
            <w:r>
              <w:rPr>
                <w:rFonts w:ascii="Cambria" w:hAnsi="Cambria" w:eastAsia="Cambria"/>
                <w:b w:val="0"/>
                <w:i w:val="0"/>
                <w:sz w:val="22"/>
              </w:rPr>
              <w:t>[View / Download PDF]</w:t>
            </w:r>
          </w:p>
        </w:tc>
      </w:tr>
      <w:tr>
        <w:tc>
          <w:tcPr>
            <w:tcW w:type="dxa" w:w="3005"/>
            <w:shd w:val="clear" w:color="auto" w:fill="DCE6F1"/>
          </w:tcPr>
          <w:p>
            <w:pPr>
              <w:spacing w:after="40" w:line="240" w:lineRule="auto"/>
              <w:jc w:val="left"/>
            </w:pPr>
            <w:r/>
            <w:r>
              <w:rPr>
                <w:rFonts w:ascii="Cambria" w:hAnsi="Cambria" w:eastAsia="Cambria"/>
                <w:b w:val="0"/>
                <w:i w:val="0"/>
                <w:sz w:val="22"/>
              </w:rPr>
              <w:t>Overall Institutional Data Sheet</w:t>
            </w:r>
          </w:p>
        </w:tc>
        <w:tc>
          <w:tcPr>
            <w:tcW w:type="dxa" w:w="4139"/>
            <w:shd w:val="clear" w:color="auto" w:fill="DCE6F1"/>
          </w:tcPr>
          <w:p>
            <w:pPr>
              <w:spacing w:after="40" w:line="240" w:lineRule="auto"/>
              <w:jc w:val="center"/>
            </w:pPr>
            <w:r/>
            <w:r>
              <w:rPr>
                <w:rFonts w:ascii="Cambria" w:hAnsi="Cambria" w:eastAsia="Cambria"/>
                <w:b w:val="0"/>
                <w:i w:val="0"/>
                <w:sz w:val="22"/>
              </w:rPr>
              <w:t>Consolidated institutional submission for NIRF 2024</w:t>
            </w:r>
          </w:p>
        </w:tc>
        <w:tc>
          <w:tcPr>
            <w:tcW w:type="dxa" w:w="2097"/>
            <w:shd w:val="clear" w:color="auto" w:fill="DCE6F1"/>
          </w:tcPr>
          <w:p>
            <w:pPr>
              <w:spacing w:after="40" w:line="240" w:lineRule="auto"/>
              <w:jc w:val="center"/>
            </w:pPr>
            <w:r/>
            <w:r>
              <w:rPr>
                <w:rFonts w:ascii="Cambria" w:hAnsi="Cambria" w:eastAsia="Cambria"/>
                <w:b w:val="0"/>
                <w:i w:val="0"/>
                <w:sz w:val="22"/>
              </w:rPr>
              <w:t>[View / Download PDF]</w:t>
            </w:r>
          </w:p>
        </w:tc>
      </w:tr>
    </w:tbl>
    <w:p>
      <w:pPr>
        <w:spacing w:after="40" w:line="276" w:lineRule="auto"/>
      </w:pPr>
      <w:r>
        <w:rPr>
          <w:rFonts w:ascii="Cambria" w:hAnsi="Cambria" w:eastAsia="Cambria"/>
          <w:b/>
          <w:i w:val="0"/>
          <w:sz w:val="22"/>
        </w:rPr>
        <w:t>Feedback &amp; Comments</w:t>
      </w:r>
    </w:p>
    <w:p>
      <w:pPr>
        <w:spacing w:after="120" w:line="276" w:lineRule="auto"/>
        <w:jc w:val="both"/>
      </w:pPr>
      <w:r>
        <w:rPr>
          <w:rFonts w:ascii="Cambria" w:hAnsi="Cambria" w:eastAsia="Cambria"/>
          <w:b w:val="0"/>
          <w:i w:val="0"/>
          <w:sz w:val="22"/>
        </w:rPr>
        <w:t>We value stakeholder participation in ensuring the accuracy of our data.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Feedback Email Address: [nirf-feedback@institution.edu]</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Instructions: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Please mention the Data Category (e.g., TLR, RP, GO) in your email subject.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specific comments, discrepancies, or suggestions for correction.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constructive and verifiable feedback will be considered.</w:t>
      </w:r>
    </w:p>
    <w:p>
      <w:pPr>
        <w:spacing w:after="40" w:line="276" w:lineRule="auto"/>
      </w:pPr>
      <w:r>
        <w:rPr>
          <w:rFonts w:ascii="Cambria" w:hAnsi="Cambria" w:eastAsia="Cambria"/>
          <w:b/>
          <w:i w:val="0"/>
          <w:sz w:val="22"/>
        </w:rPr>
        <w:t>Correction Policy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All feedback will be objectively examined by the institution's NIRF committee.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Corrections, if warranted, will be made within the time slot announced by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Updated datasets will be re-published on this page.</w:t>
      </w:r>
    </w:p>
    <w:p>
      <w:pPr>
        <w:spacing w:after="40" w:line="276" w:lineRule="auto"/>
      </w:pPr>
      <w:r>
        <w:rPr>
          <w:rFonts w:ascii="Cambria" w:hAnsi="Cambria" w:eastAsia="Cambria"/>
          <w:b/>
          <w:i w:val="0"/>
          <w:sz w:val="22"/>
        </w:rPr>
        <w:t>Data Retention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As per NIRF guidelines, all submitted data will remain publicly accessible for three years from the date of submission.</w:t>
      </w:r>
    </w:p>
    <w:p>
      <w:pPr>
        <w:spacing w:after="40" w:line="276" w:lineRule="auto"/>
      </w:pPr>
      <w:r>
        <w:rPr>
          <w:rFonts w:ascii="Cambria" w:hAnsi="Cambria" w:eastAsia="Cambria"/>
          <w:b/>
          <w:i w:val="0"/>
          <w:sz w:val="22"/>
        </w:rPr>
        <w:t>Note for Web Admins: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Place a prominent “NIRF” link on the homepage menu or header that redirects to this disclosure page.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 all downloadable files are in PDF format for consistency and easy access.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Maintain version control of uploaded files (v1, v2 if corrections are made).</w:t>
      </w:r>
    </w:p>
    <w:p>
      <w:pPr>
        <w:keepNext/>
        <w:spacing w:before="200" w:after="100"/>
      </w:pPr>
      <w:r>
        <w:rPr>
          <w:rFonts w:ascii="Cambria" w:hAnsi="Cambria" w:eastAsia="Cambria"/>
          <w:b/>
          <w:i w:val="0"/>
          <w:color w:val="1F3A5F"/>
          <w:sz w:val="26"/>
        </w:rPr>
        <w:t>Physical verification and ethical compliance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Authority of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has the mandate to conduct physical checks at institutions when necessary.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These checks may include:</w:t>
      </w:r>
    </w:p>
    <w:p>
      <w:pPr>
        <w:spacing w:after="40"/>
        <w:ind w:left="1247" w:hanging="357"/>
      </w:pPr>
      <w:r>
        <w:rPr>
          <w:rFonts w:ascii="Cambria" w:hAnsi="Cambria" w:eastAsia="Cambria"/>
          <w:b w:val="0"/>
          <w:i w:val="0"/>
          <w:sz w:val="22"/>
        </w:rPr>
        <w:t>▪</w:t>
        <w:tab/>
      </w:r>
      <w:r>
        <w:rPr>
          <w:rFonts w:ascii="Cambria" w:hAnsi="Cambria" w:eastAsia="Cambria"/>
          <w:b w:val="0"/>
          <w:i w:val="0"/>
          <w:sz w:val="22"/>
        </w:rPr>
        <w:t>Reviewing original institutional records (student enrollment, faculty details, placements, etc.).</w:t>
      </w:r>
    </w:p>
    <w:p>
      <w:pPr>
        <w:spacing w:after="40"/>
        <w:ind w:left="1247" w:hanging="357"/>
      </w:pPr>
      <w:r>
        <w:rPr>
          <w:rFonts w:ascii="Cambria" w:hAnsi="Cambria" w:eastAsia="Cambria"/>
          <w:b w:val="0"/>
          <w:i w:val="0"/>
          <w:sz w:val="22"/>
        </w:rPr>
        <w:t>▪</w:t>
        <w:tab/>
      </w:r>
      <w:r>
        <w:rPr>
          <w:rFonts w:ascii="Cambria" w:hAnsi="Cambria" w:eastAsia="Cambria"/>
          <w:b w:val="0"/>
          <w:i w:val="0"/>
          <w:sz w:val="22"/>
        </w:rPr>
        <w:t>Inspecting audited accounts to verify financial data submitted.</w:t>
      </w:r>
    </w:p>
    <w:p>
      <w:pPr>
        <w:spacing w:after="40"/>
        <w:ind w:left="1247" w:hanging="357"/>
      </w:pPr>
      <w:r>
        <w:rPr>
          <w:rFonts w:ascii="Cambria" w:hAnsi="Cambria" w:eastAsia="Cambria"/>
          <w:b w:val="0"/>
          <w:i w:val="0"/>
          <w:sz w:val="22"/>
        </w:rPr>
        <w:t>▪</w:t>
        <w:tab/>
      </w:r>
      <w:r>
        <w:rPr>
          <w:rFonts w:ascii="Cambria" w:hAnsi="Cambria" w:eastAsia="Cambria"/>
          <w:b w:val="0"/>
          <w:i w:val="0"/>
          <w:sz w:val="22"/>
        </w:rPr>
        <w:t>Examining supporting evidence for research, publications, patents, and projects.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 of Physical Checks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ensure that data submitted aligns with reality and has not been manipulated.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uphold the principles of ethical behaviour in data reporting.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build trust and credibility in the NIRF ranking process.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Expectations from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fully co-operate with NIRF officials during physical inspections.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They must provide unhindered access to requested records, facilities, and staff.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Cooperation demonstrates transparency and accountability.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Consequences of Non-Compliance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Refusal or failure to cooperate during checks may result in:</w:t>
      </w:r>
    </w:p>
    <w:p>
      <w:pPr>
        <w:spacing w:after="40"/>
        <w:ind w:left="1247" w:hanging="357"/>
      </w:pPr>
      <w:r>
        <w:rPr>
          <w:rFonts w:ascii="Cambria" w:hAnsi="Cambria" w:eastAsia="Cambria"/>
          <w:b w:val="0"/>
          <w:i w:val="0"/>
          <w:sz w:val="22"/>
        </w:rPr>
        <w:t>▪</w:t>
        <w:tab/>
      </w:r>
      <w:r>
        <w:rPr>
          <w:rFonts w:ascii="Cambria" w:hAnsi="Cambria" w:eastAsia="Cambria"/>
          <w:b w:val="0"/>
          <w:i w:val="0"/>
          <w:sz w:val="22"/>
        </w:rPr>
        <w:t>Disqualification from the current ranking cycle.</w:t>
      </w:r>
    </w:p>
    <w:p>
      <w:pPr>
        <w:spacing w:after="40"/>
        <w:ind w:left="1247" w:hanging="357"/>
      </w:pPr>
      <w:r>
        <w:rPr>
          <w:rFonts w:ascii="Cambria" w:hAnsi="Cambria" w:eastAsia="Cambria"/>
          <w:b w:val="0"/>
          <w:i w:val="0"/>
          <w:sz w:val="22"/>
        </w:rPr>
        <w:t>▪</w:t>
        <w:tab/>
      </w:r>
      <w:r>
        <w:rPr>
          <w:rFonts w:ascii="Cambria" w:hAnsi="Cambria" w:eastAsia="Cambria"/>
          <w:b w:val="0"/>
          <w:i w:val="0"/>
          <w:sz w:val="22"/>
        </w:rPr>
        <w:t>Possible debarment from future participation in NIRF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Such penalties protect the integrity of the framework by discouraging unethical practices.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Importance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a culture of honest reporting and ethical governance.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reputational damage caused by exposure of false claims.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maintain accurate, verifiable records at all times.</w:t>
      </w:r>
    </w:p>
    <w:p>
      <w:pPr>
        <w:keepNext/>
        <w:spacing w:before="200" w:after="100"/>
      </w:pPr>
      <w:r>
        <w:rPr>
          <w:rFonts w:ascii="Cambria" w:hAnsi="Cambria" w:eastAsia="Cambria"/>
          <w:b/>
          <w:i w:val="0"/>
          <w:color w:val="1F3A5F"/>
          <w:sz w:val="26"/>
        </w:rPr>
        <w:t>NIRF Physical Verification Compliance Checklist</w:t>
      </w:r>
    </w:p>
    <w:tbl>
      <w:tblPr>
        <w:tblW w:type="dxa" w:w="8618"/>
        <w:jc w:val="center"/>
        <w:tblLayout w:type="fixed"/>
        <w:tblLook w:firstColumn="1" w:firstRow="1" w:lastColumn="0" w:lastRow="0" w:noHBand="0" w:noVBand="1" w:val="04A0"/>
        <w:tblLayout w:type="fixed"/>
      </w:tblPr>
      <w:tblGrid>
        <w:gridCol w:w="3137"/>
        <w:gridCol w:w="3137"/>
        <w:gridCol w:w="3137"/>
      </w:tblGrid>
      <w:tr>
        <w:tc>
          <w:tcPr>
            <w:tcW w:type="dxa" w:w="1757"/>
            <w:shd w:val="clear" w:color="auto" w:fill="1F3A5F"/>
          </w:tcPr>
          <w:p>
            <w:pPr>
              <w:spacing w:after="40" w:line="240" w:lineRule="auto"/>
              <w:jc w:val="center"/>
            </w:pPr>
            <w:r/>
            <w:r>
              <w:rPr>
                <w:rFonts w:ascii="Cambria" w:hAnsi="Cambria" w:eastAsia="Cambria"/>
                <w:b/>
                <w:i w:val="0"/>
                <w:color w:val="FFFFFF"/>
                <w:sz w:val="22"/>
              </w:rPr>
              <w:t>What to Keep Ready</w:t>
            </w:r>
          </w:p>
        </w:tc>
        <w:tc>
          <w:tcPr>
            <w:tcW w:type="dxa" w:w="3969"/>
            <w:shd w:val="clear" w:color="auto" w:fill="1F3A5F"/>
          </w:tcPr>
          <w:p>
            <w:pPr>
              <w:spacing w:after="40" w:line="240" w:lineRule="auto"/>
              <w:jc w:val="center"/>
            </w:pPr>
            <w:r/>
            <w:r>
              <w:rPr>
                <w:rFonts w:ascii="Cambria" w:hAnsi="Cambria" w:eastAsia="Cambria"/>
                <w:b/>
                <w:i w:val="0"/>
                <w:color w:val="FFFFFF"/>
                <w:sz w:val="22"/>
              </w:rPr>
              <w:t>Examples of Documents</w:t>
            </w:r>
          </w:p>
        </w:tc>
        <w:tc>
          <w:tcPr>
            <w:tcW w:type="dxa" w:w="2891"/>
            <w:shd w:val="clear" w:color="auto" w:fill="1F3A5F"/>
          </w:tcPr>
          <w:p>
            <w:pPr>
              <w:spacing w:after="40" w:line="240" w:lineRule="auto"/>
              <w:jc w:val="center"/>
            </w:pPr>
            <w:r/>
            <w:r>
              <w:rPr>
                <w:rFonts w:ascii="Cambria" w:hAnsi="Cambria" w:eastAsia="Cambria"/>
                <w:b/>
                <w:i w:val="0"/>
                <w:color w:val="FFFFFF"/>
                <w:sz w:val="22"/>
              </w:rPr>
              <w:t>Verification Method</w:t>
            </w:r>
          </w:p>
        </w:tc>
      </w:tr>
      <w:tr>
        <w:tc>
          <w:tcPr>
            <w:tcW w:type="dxa" w:w="1757"/>
          </w:tcPr>
          <w:p>
            <w:pPr>
              <w:spacing w:after="40" w:line="240" w:lineRule="auto"/>
              <w:jc w:val="left"/>
            </w:pPr>
            <w:r/>
            <w:r>
              <w:rPr>
                <w:rFonts w:ascii="Cambria" w:hAnsi="Cambria" w:eastAsia="Cambria"/>
                <w:b w:val="0"/>
                <w:i w:val="0"/>
                <w:sz w:val="22"/>
              </w:rPr>
              <w:t>Student Enrollment Records</w:t>
            </w:r>
          </w:p>
        </w:tc>
        <w:tc>
          <w:tcPr>
            <w:tcW w:type="dxa" w:w="3969"/>
          </w:tcPr>
          <w:p>
            <w:pPr>
              <w:spacing w:after="40" w:line="240" w:lineRule="auto"/>
              <w:jc w:val="center"/>
            </w:pPr>
            <w:r/>
            <w:r>
              <w:rPr>
                <w:rFonts w:ascii="Cambria" w:hAnsi="Cambria" w:eastAsia="Cambria"/>
                <w:b w:val="0"/>
                <w:i w:val="0"/>
                <w:sz w:val="22"/>
              </w:rPr>
              <w:t>Admission registers, student ID lists, fee receipts, enrollment statistics</w:t>
            </w:r>
          </w:p>
        </w:tc>
        <w:tc>
          <w:tcPr>
            <w:tcW w:type="dxa" w:w="2891"/>
          </w:tcPr>
          <w:p>
            <w:pPr>
              <w:spacing w:after="40" w:line="240" w:lineRule="auto"/>
              <w:jc w:val="center"/>
            </w:pPr>
            <w:r/>
            <w:r>
              <w:rPr>
                <w:rFonts w:ascii="Cambria" w:hAnsi="Cambria" w:eastAsia="Cambria"/>
                <w:b w:val="0"/>
                <w:i w:val="0"/>
                <w:sz w:val="22"/>
              </w:rPr>
              <w:t>Cross-check with AISHE data, UGC/AICTE approvals, random student ID verification</w:t>
            </w:r>
          </w:p>
        </w:tc>
      </w:tr>
      <w:tr>
        <w:tc>
          <w:tcPr>
            <w:tcW w:type="dxa" w:w="1757"/>
            <w:shd w:val="clear" w:color="auto" w:fill="DCE6F1"/>
          </w:tcPr>
          <w:p>
            <w:pPr>
              <w:spacing w:after="40" w:line="240" w:lineRule="auto"/>
              <w:jc w:val="left"/>
            </w:pPr>
            <w:r/>
            <w:r>
              <w:rPr>
                <w:rFonts w:ascii="Cambria" w:hAnsi="Cambria" w:eastAsia="Cambria"/>
                <w:b w:val="0"/>
                <w:i w:val="0"/>
                <w:sz w:val="22"/>
              </w:rPr>
              <w:t>Faculty Records</w:t>
            </w:r>
          </w:p>
        </w:tc>
        <w:tc>
          <w:tcPr>
            <w:tcW w:type="dxa" w:w="3969"/>
            <w:shd w:val="clear" w:color="auto" w:fill="DCE6F1"/>
          </w:tcPr>
          <w:p>
            <w:pPr>
              <w:spacing w:after="40" w:line="240" w:lineRule="auto"/>
              <w:jc w:val="center"/>
            </w:pPr>
            <w:r/>
            <w:r>
              <w:rPr>
                <w:rFonts w:ascii="Cambria" w:hAnsi="Cambria" w:eastAsia="Cambria"/>
                <w:b w:val="0"/>
                <w:i w:val="0"/>
                <w:sz w:val="22"/>
              </w:rPr>
              <w:t>Appointment letters, faculty qualification certificates, service registers, salary slips</w:t>
            </w:r>
          </w:p>
        </w:tc>
        <w:tc>
          <w:tcPr>
            <w:tcW w:type="dxa" w:w="2891"/>
            <w:shd w:val="clear" w:color="auto" w:fill="DCE6F1"/>
          </w:tcPr>
          <w:p>
            <w:pPr>
              <w:spacing w:after="40" w:line="240" w:lineRule="auto"/>
              <w:jc w:val="center"/>
            </w:pPr>
            <w:r/>
            <w:r>
              <w:rPr>
                <w:rFonts w:ascii="Cambria" w:hAnsi="Cambria" w:eastAsia="Cambria"/>
                <w:b w:val="0"/>
                <w:i w:val="0"/>
                <w:sz w:val="22"/>
              </w:rPr>
              <w:t>Verify against UGC/AICTE faculty approval lists, interviews with faculty</w:t>
            </w:r>
          </w:p>
        </w:tc>
      </w:tr>
      <w:tr>
        <w:tc>
          <w:tcPr>
            <w:tcW w:type="dxa" w:w="1757"/>
          </w:tcPr>
          <w:p>
            <w:pPr>
              <w:spacing w:after="40" w:line="240" w:lineRule="auto"/>
              <w:jc w:val="left"/>
            </w:pPr>
            <w:r/>
            <w:r>
              <w:rPr>
                <w:rFonts w:ascii="Cambria" w:hAnsi="Cambria" w:eastAsia="Cambria"/>
                <w:b w:val="0"/>
                <w:i w:val="0"/>
                <w:sz w:val="22"/>
              </w:rPr>
              <w:t>Infrastructure &amp; Resources</w:t>
            </w:r>
          </w:p>
        </w:tc>
        <w:tc>
          <w:tcPr>
            <w:tcW w:type="dxa" w:w="3969"/>
          </w:tcPr>
          <w:p>
            <w:pPr>
              <w:spacing w:after="40" w:line="240" w:lineRule="auto"/>
              <w:jc w:val="center"/>
            </w:pPr>
            <w:r/>
            <w:r>
              <w:rPr>
                <w:rFonts w:ascii="Cambria" w:hAnsi="Cambria" w:eastAsia="Cambria"/>
                <w:b w:val="0"/>
                <w:i w:val="0"/>
                <w:sz w:val="22"/>
              </w:rPr>
              <w:t>Inventory of classrooms, labs, library resources, ICT facilities, timetables</w:t>
            </w:r>
          </w:p>
        </w:tc>
        <w:tc>
          <w:tcPr>
            <w:tcW w:type="dxa" w:w="2891"/>
          </w:tcPr>
          <w:p>
            <w:pPr>
              <w:spacing w:after="40" w:line="240" w:lineRule="auto"/>
              <w:jc w:val="center"/>
            </w:pPr>
            <w:r/>
            <w:r>
              <w:rPr>
                <w:rFonts w:ascii="Cambria" w:hAnsi="Cambria" w:eastAsia="Cambria"/>
                <w:b w:val="0"/>
                <w:i w:val="0"/>
                <w:sz w:val="22"/>
              </w:rPr>
              <w:t>Physical inspection, photographs, campus visit validation</w:t>
            </w:r>
          </w:p>
        </w:tc>
      </w:tr>
      <w:tr>
        <w:tc>
          <w:tcPr>
            <w:tcW w:type="dxa" w:w="1757"/>
            <w:shd w:val="clear" w:color="auto" w:fill="DCE6F1"/>
          </w:tcPr>
          <w:p>
            <w:pPr>
              <w:spacing w:after="40" w:line="240" w:lineRule="auto"/>
              <w:jc w:val="left"/>
            </w:pPr>
            <w:r/>
            <w:r>
              <w:rPr>
                <w:rFonts w:ascii="Cambria" w:hAnsi="Cambria" w:eastAsia="Cambria"/>
                <w:b w:val="0"/>
                <w:i w:val="0"/>
                <w:sz w:val="22"/>
              </w:rPr>
              <w:t>Financial Accounts</w:t>
            </w:r>
          </w:p>
        </w:tc>
        <w:tc>
          <w:tcPr>
            <w:tcW w:type="dxa" w:w="3969"/>
            <w:shd w:val="clear" w:color="auto" w:fill="DCE6F1"/>
          </w:tcPr>
          <w:p>
            <w:pPr>
              <w:spacing w:after="40" w:line="240" w:lineRule="auto"/>
              <w:jc w:val="center"/>
            </w:pPr>
            <w:r/>
            <w:r>
              <w:rPr>
                <w:rFonts w:ascii="Cambria" w:hAnsi="Cambria" w:eastAsia="Cambria"/>
                <w:b w:val="0"/>
                <w:i w:val="0"/>
                <w:sz w:val="22"/>
              </w:rPr>
              <w:t>Audited financial statements, annual reports, budget allocation and utilization records</w:t>
            </w:r>
          </w:p>
        </w:tc>
        <w:tc>
          <w:tcPr>
            <w:tcW w:type="dxa" w:w="2891"/>
            <w:shd w:val="clear" w:color="auto" w:fill="DCE6F1"/>
          </w:tcPr>
          <w:p>
            <w:pPr>
              <w:spacing w:after="40" w:line="240" w:lineRule="auto"/>
              <w:jc w:val="center"/>
            </w:pPr>
            <w:r/>
            <w:r>
              <w:rPr>
                <w:rFonts w:ascii="Cambria" w:hAnsi="Cambria" w:eastAsia="Cambria"/>
                <w:b w:val="0"/>
                <w:i w:val="0"/>
                <w:sz w:val="22"/>
              </w:rPr>
              <w:t>Review of auditor's certification, tally with expenditure proofs</w:t>
            </w:r>
          </w:p>
        </w:tc>
      </w:tr>
      <w:tr>
        <w:tc>
          <w:tcPr>
            <w:tcW w:type="dxa" w:w="1757"/>
          </w:tcPr>
          <w:p>
            <w:pPr>
              <w:spacing w:after="40" w:line="240" w:lineRule="auto"/>
              <w:jc w:val="left"/>
            </w:pPr>
            <w:r/>
            <w:r>
              <w:rPr>
                <w:rFonts w:ascii="Cambria" w:hAnsi="Cambria" w:eastAsia="Cambria"/>
                <w:b w:val="0"/>
                <w:i w:val="0"/>
                <w:sz w:val="22"/>
              </w:rPr>
              <w:t>Research &amp; Publications</w:t>
            </w:r>
          </w:p>
        </w:tc>
        <w:tc>
          <w:tcPr>
            <w:tcW w:type="dxa" w:w="3969"/>
          </w:tcPr>
          <w:p>
            <w:pPr>
              <w:spacing w:after="40" w:line="240" w:lineRule="auto"/>
              <w:jc w:val="center"/>
            </w:pPr>
            <w:r/>
            <w:r>
              <w:rPr>
                <w:rFonts w:ascii="Cambria" w:hAnsi="Cambria" w:eastAsia="Cambria"/>
                <w:b w:val="0"/>
                <w:i w:val="0"/>
                <w:sz w:val="22"/>
              </w:rPr>
              <w:t>Copies of published papers, Scopus/WoS indexing, patent certificates, project sanction letters</w:t>
            </w:r>
          </w:p>
        </w:tc>
        <w:tc>
          <w:tcPr>
            <w:tcW w:type="dxa" w:w="2891"/>
          </w:tcPr>
          <w:p>
            <w:pPr>
              <w:spacing w:after="40" w:line="240" w:lineRule="auto"/>
              <w:jc w:val="center"/>
            </w:pPr>
            <w:r/>
            <w:r>
              <w:rPr>
                <w:rFonts w:ascii="Cambria" w:hAnsi="Cambria" w:eastAsia="Cambria"/>
                <w:b w:val="0"/>
                <w:i w:val="0"/>
                <w:sz w:val="22"/>
              </w:rPr>
              <w:t>Verify via Scopus, Web of Science, Indian Patent Office databases</w:t>
            </w:r>
          </w:p>
        </w:tc>
      </w:tr>
      <w:tr>
        <w:tc>
          <w:tcPr>
            <w:tcW w:type="dxa" w:w="1757"/>
            <w:shd w:val="clear" w:color="auto" w:fill="DCE6F1"/>
          </w:tcPr>
          <w:p>
            <w:pPr>
              <w:spacing w:after="40" w:line="240" w:lineRule="auto"/>
              <w:jc w:val="left"/>
            </w:pPr>
            <w:r/>
            <w:r>
              <w:rPr>
                <w:rFonts w:ascii="Cambria" w:hAnsi="Cambria" w:eastAsia="Cambria"/>
                <w:b w:val="0"/>
                <w:i w:val="0"/>
                <w:sz w:val="22"/>
              </w:rPr>
              <w:t>Sponsored Projects &amp; Consultancy</w:t>
            </w:r>
          </w:p>
        </w:tc>
        <w:tc>
          <w:tcPr>
            <w:tcW w:type="dxa" w:w="3969"/>
            <w:shd w:val="clear" w:color="auto" w:fill="DCE6F1"/>
          </w:tcPr>
          <w:p>
            <w:pPr>
              <w:spacing w:after="40" w:line="240" w:lineRule="auto"/>
              <w:jc w:val="center"/>
            </w:pPr>
            <w:r/>
            <w:r>
              <w:rPr>
                <w:rFonts w:ascii="Cambria" w:hAnsi="Cambria" w:eastAsia="Cambria"/>
                <w:b w:val="0"/>
                <w:i w:val="0"/>
                <w:sz w:val="22"/>
              </w:rPr>
              <w:t>MoUs with industry, consultancy agreements, project completion reports</w:t>
            </w:r>
          </w:p>
        </w:tc>
        <w:tc>
          <w:tcPr>
            <w:tcW w:type="dxa" w:w="2891"/>
            <w:shd w:val="clear" w:color="auto" w:fill="DCE6F1"/>
          </w:tcPr>
          <w:p>
            <w:pPr>
              <w:spacing w:after="40" w:line="240" w:lineRule="auto"/>
              <w:jc w:val="center"/>
            </w:pPr>
            <w:r/>
            <w:r>
              <w:rPr>
                <w:rFonts w:ascii="Cambria" w:hAnsi="Cambria" w:eastAsia="Cambria"/>
                <w:b w:val="0"/>
                <w:i w:val="0"/>
                <w:sz w:val="22"/>
              </w:rPr>
              <w:t>Confirm with funding agencies, industry partners</w:t>
            </w:r>
          </w:p>
        </w:tc>
      </w:tr>
      <w:tr>
        <w:tc>
          <w:tcPr>
            <w:tcW w:type="dxa" w:w="1757"/>
          </w:tcPr>
          <w:p>
            <w:pPr>
              <w:spacing w:after="40" w:line="240" w:lineRule="auto"/>
              <w:jc w:val="left"/>
            </w:pPr>
            <w:r/>
            <w:r>
              <w:rPr>
                <w:rFonts w:ascii="Cambria" w:hAnsi="Cambria" w:eastAsia="Cambria"/>
                <w:b w:val="0"/>
                <w:i w:val="0"/>
                <w:sz w:val="22"/>
              </w:rPr>
              <w:t>Placement Records</w:t>
            </w:r>
          </w:p>
        </w:tc>
        <w:tc>
          <w:tcPr>
            <w:tcW w:type="dxa" w:w="3969"/>
          </w:tcPr>
          <w:p>
            <w:pPr>
              <w:spacing w:after="40" w:line="240" w:lineRule="auto"/>
              <w:jc w:val="center"/>
            </w:pPr>
            <w:r/>
            <w:r>
              <w:rPr>
                <w:rFonts w:ascii="Cambria" w:hAnsi="Cambria" w:eastAsia="Cambria"/>
                <w:b w:val="0"/>
                <w:i w:val="0"/>
                <w:sz w:val="22"/>
              </w:rPr>
              <w:t>Offer letters, placement reports, salary packages, higher studies confirmation letters</w:t>
            </w:r>
          </w:p>
        </w:tc>
        <w:tc>
          <w:tcPr>
            <w:tcW w:type="dxa" w:w="2891"/>
          </w:tcPr>
          <w:p>
            <w:pPr>
              <w:spacing w:after="40" w:line="240" w:lineRule="auto"/>
              <w:jc w:val="center"/>
            </w:pPr>
            <w:r/>
            <w:r>
              <w:rPr>
                <w:rFonts w:ascii="Cambria" w:hAnsi="Cambria" w:eastAsia="Cambria"/>
                <w:b w:val="0"/>
                <w:i w:val="0"/>
                <w:sz w:val="22"/>
              </w:rPr>
              <w:t>Random checks with employers, alumni surveys</w:t>
            </w:r>
          </w:p>
        </w:tc>
      </w:tr>
      <w:tr>
        <w:tc>
          <w:tcPr>
            <w:tcW w:type="dxa" w:w="1757"/>
            <w:shd w:val="clear" w:color="auto" w:fill="DCE6F1"/>
          </w:tcPr>
          <w:p>
            <w:pPr>
              <w:spacing w:after="40" w:line="240" w:lineRule="auto"/>
              <w:jc w:val="left"/>
            </w:pPr>
            <w:r/>
            <w:r>
              <w:rPr>
                <w:rFonts w:ascii="Cambria" w:hAnsi="Cambria" w:eastAsia="Cambria"/>
                <w:b w:val="0"/>
                <w:i w:val="0"/>
                <w:sz w:val="22"/>
              </w:rPr>
              <w:t>Inclusivity &amp; Diversity Data</w:t>
            </w:r>
          </w:p>
        </w:tc>
        <w:tc>
          <w:tcPr>
            <w:tcW w:type="dxa" w:w="3969"/>
            <w:shd w:val="clear" w:color="auto" w:fill="DCE6F1"/>
          </w:tcPr>
          <w:p>
            <w:pPr>
              <w:spacing w:after="40" w:line="240" w:lineRule="auto"/>
              <w:jc w:val="center"/>
            </w:pPr>
            <w:r/>
            <w:r>
              <w:rPr>
                <w:rFonts w:ascii="Cambria" w:hAnsi="Cambria" w:eastAsia="Cambria"/>
                <w:b w:val="0"/>
                <w:i w:val="0"/>
                <w:sz w:val="22"/>
              </w:rPr>
              <w:t>Scholarship records, student category-wise admissions, disability support facilities</w:t>
            </w:r>
          </w:p>
        </w:tc>
        <w:tc>
          <w:tcPr>
            <w:tcW w:type="dxa" w:w="2891"/>
            <w:shd w:val="clear" w:color="auto" w:fill="DCE6F1"/>
          </w:tcPr>
          <w:p>
            <w:pPr>
              <w:spacing w:after="40" w:line="240" w:lineRule="auto"/>
              <w:jc w:val="center"/>
            </w:pPr>
            <w:r/>
            <w:r>
              <w:rPr>
                <w:rFonts w:ascii="Cambria" w:hAnsi="Cambria" w:eastAsia="Cambria"/>
                <w:b w:val="0"/>
                <w:i w:val="0"/>
                <w:sz w:val="22"/>
              </w:rPr>
              <w:t>Cross-check with government scholarship databases, physical verification of facilities</w:t>
            </w:r>
          </w:p>
        </w:tc>
      </w:tr>
      <w:tr>
        <w:tc>
          <w:tcPr>
            <w:tcW w:type="dxa" w:w="1757"/>
          </w:tcPr>
          <w:p>
            <w:pPr>
              <w:spacing w:after="40" w:line="240" w:lineRule="auto"/>
              <w:jc w:val="left"/>
            </w:pPr>
            <w:r/>
            <w:r>
              <w:rPr>
                <w:rFonts w:ascii="Cambria" w:hAnsi="Cambria" w:eastAsia="Cambria"/>
                <w:b w:val="0"/>
                <w:i w:val="0"/>
                <w:sz w:val="22"/>
              </w:rPr>
              <w:t>Perception Inputs</w:t>
            </w:r>
          </w:p>
        </w:tc>
        <w:tc>
          <w:tcPr>
            <w:tcW w:type="dxa" w:w="3969"/>
          </w:tcPr>
          <w:p>
            <w:pPr>
              <w:spacing w:after="40" w:line="240" w:lineRule="auto"/>
              <w:jc w:val="center"/>
            </w:pPr>
            <w:r/>
            <w:r>
              <w:rPr>
                <w:rFonts w:ascii="Cambria" w:hAnsi="Cambria" w:eastAsia="Cambria"/>
                <w:b w:val="0"/>
                <w:i w:val="0"/>
                <w:sz w:val="22"/>
              </w:rPr>
              <w:t>Employer feedback forms, peer review records</w:t>
            </w:r>
          </w:p>
        </w:tc>
        <w:tc>
          <w:tcPr>
            <w:tcW w:type="dxa" w:w="2891"/>
          </w:tcPr>
          <w:p>
            <w:pPr>
              <w:spacing w:after="40" w:line="240" w:lineRule="auto"/>
              <w:jc w:val="center"/>
            </w:pPr>
            <w:r/>
            <w:r>
              <w:rPr>
                <w:rFonts w:ascii="Cambria" w:hAnsi="Cambria" w:eastAsia="Cambria"/>
                <w:b w:val="0"/>
                <w:i w:val="0"/>
                <w:sz w:val="22"/>
              </w:rPr>
              <w:t>Validation through NIRF-administered surveys</w:t>
            </w:r>
          </w:p>
        </w:tc>
      </w:tr>
      <w:tr>
        <w:tc>
          <w:tcPr>
            <w:tcW w:type="dxa" w:w="1757"/>
            <w:shd w:val="clear" w:color="auto" w:fill="DCE6F1"/>
          </w:tcPr>
          <w:p>
            <w:pPr>
              <w:spacing w:after="40" w:line="240" w:lineRule="auto"/>
              <w:jc w:val="left"/>
            </w:pPr>
            <w:r/>
            <w:r>
              <w:rPr>
                <w:rFonts w:ascii="Cambria" w:hAnsi="Cambria" w:eastAsia="Cambria"/>
                <w:b w:val="0"/>
                <w:i w:val="0"/>
                <w:sz w:val="22"/>
              </w:rPr>
              <w:t>Institutional Eligibility Proof</w:t>
            </w:r>
          </w:p>
        </w:tc>
        <w:tc>
          <w:tcPr>
            <w:tcW w:type="dxa" w:w="3969"/>
            <w:shd w:val="clear" w:color="auto" w:fill="DCE6F1"/>
          </w:tcPr>
          <w:p>
            <w:pPr>
              <w:spacing w:after="40" w:line="240" w:lineRule="auto"/>
              <w:jc w:val="center"/>
            </w:pPr>
            <w:r/>
            <w:r>
              <w:rPr>
                <w:rFonts w:ascii="Cambria" w:hAnsi="Cambria" w:eastAsia="Cambria"/>
                <w:b w:val="0"/>
                <w:i w:val="0"/>
                <w:sz w:val="22"/>
              </w:rPr>
              <w:t>Accreditation certificates, affiliation letters, records of graduating batches (≥3)</w:t>
            </w:r>
          </w:p>
        </w:tc>
        <w:tc>
          <w:tcPr>
            <w:tcW w:type="dxa" w:w="2891"/>
            <w:shd w:val="clear" w:color="auto" w:fill="DCE6F1"/>
          </w:tcPr>
          <w:p>
            <w:pPr>
              <w:spacing w:after="40" w:line="240" w:lineRule="auto"/>
              <w:jc w:val="center"/>
            </w:pPr>
            <w:r/>
            <w:r>
              <w:rPr>
                <w:rFonts w:ascii="Cambria" w:hAnsi="Cambria" w:eastAsia="Cambria"/>
                <w:b w:val="0"/>
                <w:i w:val="0"/>
                <w:sz w:val="22"/>
              </w:rPr>
              <w:t>Verified with NAAC/UGC/AICTE databases</w:t>
            </w:r>
          </w:p>
        </w:tc>
      </w:tr>
    </w:tbl>
    <w:p>
      <w:pPr>
        <w:keepNext/>
        <w:spacing w:before="200" w:after="100"/>
      </w:pPr>
      <w:r>
        <w:rPr>
          <w:rFonts w:ascii="Cambria" w:hAnsi="Cambria" w:eastAsia="Cambria"/>
          <w:b/>
          <w:i w:val="0"/>
          <w:color w:val="1F3A5F"/>
          <w:sz w:val="26"/>
        </w:rPr>
        <w:t>NIRF guideline on data sourcing for parameters like Research and Patents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Use of International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parameters such as Research &amp; Professional Practices (RP), NIRF relies on internationally recognized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 include:</w:t>
      </w:r>
    </w:p>
    <w:p>
      <w:pPr>
        <w:spacing w:after="40"/>
        <w:ind w:left="1247" w:hanging="357"/>
      </w:pPr>
      <w:r>
        <w:rPr>
          <w:rFonts w:ascii="Cambria" w:hAnsi="Cambria" w:eastAsia="Cambria"/>
          <w:b w:val="0"/>
          <w:i w:val="0"/>
          <w:sz w:val="22"/>
        </w:rPr>
        <w:t>▪</w:t>
        <w:tab/>
      </w:r>
      <w:r>
        <w:rPr>
          <w:rFonts w:ascii="Cambria" w:hAnsi="Cambria" w:eastAsia="Cambria"/>
          <w:b w:val="0"/>
          <w:i w:val="0"/>
          <w:sz w:val="22"/>
        </w:rPr>
        <w:t>Scopus and Web of Science (WoS): For publications, citations, h-index, journal quality.</w:t>
      </w:r>
    </w:p>
    <w:p>
      <w:pPr>
        <w:spacing w:after="40"/>
        <w:ind w:left="1247" w:hanging="357"/>
      </w:pPr>
      <w:r>
        <w:rPr>
          <w:rFonts w:ascii="Cambria" w:hAnsi="Cambria" w:eastAsia="Cambria"/>
          <w:b w:val="0"/>
          <w:i w:val="0"/>
          <w:sz w:val="22"/>
        </w:rPr>
        <w:t>▪</w:t>
        <w:tab/>
      </w:r>
      <w:r>
        <w:rPr>
          <w:rFonts w:ascii="Cambria" w:hAnsi="Cambria" w:eastAsia="Cambria"/>
          <w:b w:val="0"/>
          <w:i w:val="0"/>
          <w:sz w:val="22"/>
        </w:rPr>
        <w:t>Indian Patent Office (IPO) and World Intellectual Property Organization (WIPO): For patents filed, published, or granted.</w:t>
      </w:r>
    </w:p>
    <w:p>
      <w:pPr>
        <w:spacing w:after="40"/>
        <w:ind w:left="1247" w:hanging="357"/>
      </w:pPr>
      <w:r>
        <w:rPr>
          <w:rFonts w:ascii="Cambria" w:hAnsi="Cambria" w:eastAsia="Cambria"/>
          <w:b w:val="0"/>
          <w:i w:val="0"/>
          <w:sz w:val="22"/>
        </w:rPr>
        <w:t>▪</w:t>
        <w:tab/>
      </w:r>
      <w:r>
        <w:rPr>
          <w:rFonts w:ascii="Cambria" w:hAnsi="Cambria" w:eastAsia="Cambria"/>
          <w:b w:val="0"/>
          <w:i w:val="0"/>
          <w:sz w:val="22"/>
        </w:rPr>
        <w:t>Other global citation databases and indexing services for validation.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Flexibility in Source Selection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reserves the right to exclude a data source if it finds inaccuracies, gaps, or bias.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It may also include additional databases to broaden coverage and ensure fairness.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flexibility prevents institutions from gaming the system by over-relying on one database.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Direct Access to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will directly extract the relevant data from these databases to minimize dependence on institutional self-reporting.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ensures authenticity, reliability, and uniformity in evaluating research and patent outputs.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Collaboration with Resource Publishers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necessary, NIRF may work directly with database publishers (e.g., Elsevier for Scopus, Clarivate for WoS, IPO/WIPO for patents).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Collaboration ensures accurate integration of institutional records into the ranking framework.</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Implications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ensure their research outputs are properly indexed in international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and researchers should consistently update their affiliation details to avoid data mismatches.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 filings must be properly recorded with national/international offices for recognition in rankings.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Significance of this Approach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Enhances credibility by using trusted, globally recognized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Minimizes chances of false reporting or inflation of achievements.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strengthen their research visibility and patent activities in standard international platforms.</w:t>
      </w:r>
    </w:p>
    <w:p>
      <w:pPr>
        <w:keepNext/>
        <w:spacing w:before="200" w:after="100"/>
      </w:pPr>
      <w:r>
        <w:rPr>
          <w:rFonts w:ascii="Cambria" w:hAnsi="Cambria" w:eastAsia="Cambria"/>
          <w:b/>
          <w:i w:val="0"/>
          <w:color w:val="1F3A5F"/>
          <w:sz w:val="26"/>
        </w:rPr>
        <w:t>NIRF – Data Sources for Research &amp; Patents</w:t>
      </w:r>
    </w:p>
    <w:tbl>
      <w:tblPr>
        <w:tblW w:type="dxa" w:w="8845"/>
        <w:jc w:val="center"/>
        <w:tblLayout w:type="fixed"/>
        <w:tblLook w:firstColumn="1" w:firstRow="1" w:lastColumn="0" w:lastRow="0" w:noHBand="0" w:noVBand="1" w:val="04A0"/>
        <w:tblLayout w:type="fixed"/>
      </w:tblPr>
      <w:tblGrid>
        <w:gridCol w:w="2353"/>
        <w:gridCol w:w="2353"/>
        <w:gridCol w:w="2353"/>
        <w:gridCol w:w="2353"/>
      </w:tblGrid>
      <w:tr>
        <w:tc>
          <w:tcPr>
            <w:tcW w:type="dxa" w:w="1871"/>
            <w:shd w:val="clear" w:color="auto" w:fill="1F3A5F"/>
          </w:tcPr>
          <w:p>
            <w:pPr>
              <w:spacing w:after="40" w:line="240" w:lineRule="auto"/>
              <w:jc w:val="center"/>
            </w:pPr>
            <w:r/>
            <w:r>
              <w:rPr>
                <w:rFonts w:ascii="Cambria" w:hAnsi="Cambria" w:eastAsia="Cambria"/>
                <w:b/>
                <w:i w:val="0"/>
                <w:color w:val="FFFFFF"/>
                <w:sz w:val="22"/>
              </w:rPr>
              <w:t>Parameter</w:t>
            </w:r>
          </w:p>
        </w:tc>
        <w:tc>
          <w:tcPr>
            <w:tcW w:type="dxa" w:w="2551"/>
            <w:shd w:val="clear" w:color="auto" w:fill="1F3A5F"/>
          </w:tcPr>
          <w:p>
            <w:pPr>
              <w:spacing w:after="40" w:line="240" w:lineRule="auto"/>
              <w:jc w:val="center"/>
            </w:pPr>
            <w:r/>
            <w:r>
              <w:rPr>
                <w:rFonts w:ascii="Cambria" w:hAnsi="Cambria" w:eastAsia="Cambria"/>
                <w:b/>
                <w:i w:val="0"/>
                <w:color w:val="FFFFFF"/>
                <w:sz w:val="22"/>
              </w:rPr>
              <w:t>Preferred Databases</w:t>
            </w:r>
          </w:p>
        </w:tc>
        <w:tc>
          <w:tcPr>
            <w:tcW w:type="dxa" w:w="2664"/>
            <w:shd w:val="clear" w:color="auto" w:fill="1F3A5F"/>
          </w:tcPr>
          <w:p>
            <w:pPr>
              <w:spacing w:after="40" w:line="240" w:lineRule="auto"/>
              <w:jc w:val="center"/>
            </w:pPr>
            <w:r/>
            <w:r>
              <w:rPr>
                <w:rFonts w:ascii="Cambria" w:hAnsi="Cambria" w:eastAsia="Cambria"/>
                <w:b/>
                <w:i w:val="0"/>
                <w:color w:val="FFFFFF"/>
                <w:sz w:val="22"/>
              </w:rPr>
              <w:t>Example Metrics Used</w:t>
            </w:r>
          </w:p>
        </w:tc>
        <w:tc>
          <w:tcPr>
            <w:tcW w:type="dxa" w:w="1757"/>
            <w:shd w:val="clear" w:color="auto" w:fill="1F3A5F"/>
          </w:tcPr>
          <w:p>
            <w:pPr>
              <w:spacing w:after="40" w:line="240" w:lineRule="auto"/>
              <w:jc w:val="center"/>
            </w:pPr>
            <w:r/>
            <w:r>
              <w:rPr>
                <w:rFonts w:ascii="Cambria" w:hAnsi="Cambria" w:eastAsia="Cambria"/>
                <w:b/>
                <w:i w:val="0"/>
                <w:color w:val="FFFFFF"/>
                <w:sz w:val="22"/>
              </w:rPr>
              <w:t>Notes</w:t>
            </w:r>
          </w:p>
        </w:tc>
      </w:tr>
      <w:tr>
        <w:tc>
          <w:tcPr>
            <w:tcW w:type="dxa" w:w="1871"/>
          </w:tcPr>
          <w:p>
            <w:pPr>
              <w:spacing w:after="40" w:line="240" w:lineRule="auto"/>
              <w:jc w:val="left"/>
            </w:pPr>
            <w:r/>
            <w:r>
              <w:rPr>
                <w:rFonts w:ascii="Cambria" w:hAnsi="Cambria" w:eastAsia="Cambria"/>
                <w:b w:val="0"/>
                <w:i w:val="0"/>
                <w:sz w:val="22"/>
              </w:rPr>
              <w:t>Research Publications (PU)</w:t>
            </w:r>
          </w:p>
        </w:tc>
        <w:tc>
          <w:tcPr>
            <w:tcW w:type="dxa" w:w="2551"/>
          </w:tcPr>
          <w:p>
            <w:pPr>
              <w:spacing w:after="40" w:line="240" w:lineRule="auto"/>
              <w:jc w:val="center"/>
            </w:pPr>
            <w:r/>
            <w:r>
              <w:rPr>
                <w:rFonts w:ascii="Cambria" w:hAnsi="Cambria" w:eastAsia="Cambria"/>
                <w:b w:val="0"/>
                <w:i w:val="0"/>
                <w:sz w:val="22"/>
              </w:rPr>
              <w:t>Scopus, Web of Science (WoS), PubMed (Medical), Indian Citation Index</w:t>
            </w:r>
          </w:p>
        </w:tc>
        <w:tc>
          <w:tcPr>
            <w:tcW w:type="dxa" w:w="2664"/>
          </w:tcPr>
          <w:p>
            <w:pPr>
              <w:spacing w:after="40" w:line="240" w:lineRule="auto"/>
              <w:jc w:val="center"/>
            </w:pPr>
            <w:r/>
            <w:r>
              <w:rPr>
                <w:rFonts w:ascii="Cambria" w:hAnsi="Cambria" w:eastAsia="Cambria"/>
                <w:b w:val="0"/>
                <w:i w:val="0"/>
                <w:sz w:val="22"/>
              </w:rPr>
              <w:t>Number of publications, indexed journals, publication per faculty</w:t>
            </w:r>
          </w:p>
        </w:tc>
        <w:tc>
          <w:tcPr>
            <w:tcW w:type="dxa" w:w="1757"/>
          </w:tcPr>
          <w:p>
            <w:pPr>
              <w:spacing w:after="40" w:line="240" w:lineRule="auto"/>
              <w:jc w:val="center"/>
            </w:pPr>
            <w:r/>
            <w:r>
              <w:rPr>
                <w:rFonts w:ascii="Cambria" w:hAnsi="Cambria" w:eastAsia="Cambria"/>
                <w:b w:val="0"/>
                <w:i w:val="0"/>
                <w:sz w:val="22"/>
              </w:rPr>
              <w:t>Ensures use of peer-reviewed, globally recognized journals</w:t>
            </w:r>
          </w:p>
        </w:tc>
      </w:tr>
      <w:tr>
        <w:tc>
          <w:tcPr>
            <w:tcW w:type="dxa" w:w="1871"/>
            <w:shd w:val="clear" w:color="auto" w:fill="DCE6F1"/>
          </w:tcPr>
          <w:p>
            <w:pPr>
              <w:spacing w:after="40" w:line="240" w:lineRule="auto"/>
              <w:jc w:val="left"/>
            </w:pPr>
            <w:r/>
            <w:r>
              <w:rPr>
                <w:rFonts w:ascii="Cambria" w:hAnsi="Cambria" w:eastAsia="Cambria"/>
                <w:b w:val="0"/>
                <w:i w:val="0"/>
                <w:sz w:val="22"/>
              </w:rPr>
              <w:t>Quality of Publications (QP)</w:t>
            </w:r>
          </w:p>
        </w:tc>
        <w:tc>
          <w:tcPr>
            <w:tcW w:type="dxa" w:w="2551"/>
            <w:shd w:val="clear" w:color="auto" w:fill="DCE6F1"/>
          </w:tcPr>
          <w:p>
            <w:pPr>
              <w:spacing w:after="40" w:line="240" w:lineRule="auto"/>
              <w:jc w:val="center"/>
            </w:pPr>
            <w:r/>
            <w:r>
              <w:rPr>
                <w:rFonts w:ascii="Cambria" w:hAnsi="Cambria" w:eastAsia="Cambria"/>
                <w:b w:val="0"/>
                <w:i w:val="0"/>
                <w:sz w:val="22"/>
              </w:rPr>
              <w:t>Scopus (Citations), Web of Science (Impact Factor, h-index), SNIP, SJR</w:t>
            </w:r>
          </w:p>
        </w:tc>
        <w:tc>
          <w:tcPr>
            <w:tcW w:type="dxa" w:w="2664"/>
            <w:shd w:val="clear" w:color="auto" w:fill="DCE6F1"/>
          </w:tcPr>
          <w:p>
            <w:pPr>
              <w:spacing w:after="40" w:line="240" w:lineRule="auto"/>
              <w:jc w:val="center"/>
            </w:pPr>
            <w:r/>
            <w:r>
              <w:rPr>
                <w:rFonts w:ascii="Cambria" w:hAnsi="Cambria" w:eastAsia="Cambria"/>
                <w:b w:val="0"/>
                <w:i w:val="0"/>
                <w:sz w:val="22"/>
              </w:rPr>
              <w:t>Citation counts, Field-Weighted Citation Impact, journal quality indicators</w:t>
            </w:r>
          </w:p>
        </w:tc>
        <w:tc>
          <w:tcPr>
            <w:tcW w:type="dxa" w:w="1757"/>
            <w:shd w:val="clear" w:color="auto" w:fill="DCE6F1"/>
          </w:tcPr>
          <w:p>
            <w:pPr>
              <w:spacing w:after="40" w:line="240" w:lineRule="auto"/>
              <w:jc w:val="center"/>
            </w:pPr>
            <w:r/>
            <w:r>
              <w:rPr>
                <w:rFonts w:ascii="Cambria" w:hAnsi="Cambria" w:eastAsia="Cambria"/>
                <w:b w:val="0"/>
                <w:i w:val="0"/>
                <w:sz w:val="22"/>
              </w:rPr>
              <w:t>Validates not just quantity but also impact of research</w:t>
            </w:r>
          </w:p>
        </w:tc>
      </w:tr>
      <w:tr>
        <w:tc>
          <w:tcPr>
            <w:tcW w:type="dxa" w:w="1871"/>
          </w:tcPr>
          <w:p>
            <w:pPr>
              <w:spacing w:after="40" w:line="240" w:lineRule="auto"/>
              <w:jc w:val="left"/>
            </w:pPr>
            <w:r/>
            <w:r>
              <w:rPr>
                <w:rFonts w:ascii="Cambria" w:hAnsi="Cambria" w:eastAsia="Cambria"/>
                <w:b w:val="0"/>
                <w:i w:val="0"/>
                <w:sz w:val="22"/>
              </w:rPr>
              <w:t>Patents (IPR)</w:t>
            </w:r>
          </w:p>
        </w:tc>
        <w:tc>
          <w:tcPr>
            <w:tcW w:type="dxa" w:w="2551"/>
          </w:tcPr>
          <w:p>
            <w:pPr>
              <w:spacing w:after="40" w:line="240" w:lineRule="auto"/>
              <w:jc w:val="center"/>
            </w:pPr>
            <w:r/>
            <w:r>
              <w:rPr>
                <w:rFonts w:ascii="Cambria" w:hAnsi="Cambria" w:eastAsia="Cambria"/>
                <w:b w:val="0"/>
                <w:i w:val="0"/>
                <w:sz w:val="22"/>
              </w:rPr>
              <w:t>Indian Patent Office (IPO), WIPO, USPTO, EPO</w:t>
            </w:r>
          </w:p>
        </w:tc>
        <w:tc>
          <w:tcPr>
            <w:tcW w:type="dxa" w:w="2664"/>
          </w:tcPr>
          <w:p>
            <w:pPr>
              <w:spacing w:after="40" w:line="240" w:lineRule="auto"/>
              <w:jc w:val="center"/>
            </w:pPr>
            <w:r/>
            <w:r>
              <w:rPr>
                <w:rFonts w:ascii="Cambria" w:hAnsi="Cambria" w:eastAsia="Cambria"/>
                <w:b w:val="0"/>
                <w:i w:val="0"/>
                <w:sz w:val="22"/>
              </w:rPr>
              <w:t>Number of patents filed, published, granted; commercialization data</w:t>
            </w:r>
          </w:p>
        </w:tc>
        <w:tc>
          <w:tcPr>
            <w:tcW w:type="dxa" w:w="1757"/>
          </w:tcPr>
          <w:p>
            <w:pPr>
              <w:spacing w:after="40" w:line="240" w:lineRule="auto"/>
              <w:jc w:val="center"/>
            </w:pPr>
            <w:r/>
            <w:r>
              <w:rPr>
                <w:rFonts w:ascii="Cambria" w:hAnsi="Cambria" w:eastAsia="Cambria"/>
                <w:b w:val="0"/>
                <w:i w:val="0"/>
                <w:sz w:val="22"/>
              </w:rPr>
              <w:t>Institutions must ensure proper recording with official patent offices</w:t>
            </w:r>
          </w:p>
        </w:tc>
      </w:tr>
      <w:tr>
        <w:tc>
          <w:tcPr>
            <w:tcW w:type="dxa" w:w="1871"/>
            <w:shd w:val="clear" w:color="auto" w:fill="DCE6F1"/>
          </w:tcPr>
          <w:p>
            <w:pPr>
              <w:spacing w:after="40" w:line="240" w:lineRule="auto"/>
              <w:jc w:val="left"/>
            </w:pPr>
            <w:r/>
            <w:r>
              <w:rPr>
                <w:rFonts w:ascii="Cambria" w:hAnsi="Cambria" w:eastAsia="Cambria"/>
                <w:b w:val="0"/>
                <w:i w:val="0"/>
                <w:sz w:val="22"/>
              </w:rPr>
              <w:t>Research Funding &amp; Projects (FPPP)</w:t>
            </w:r>
          </w:p>
        </w:tc>
        <w:tc>
          <w:tcPr>
            <w:tcW w:type="dxa" w:w="2551"/>
            <w:shd w:val="clear" w:color="auto" w:fill="DCE6F1"/>
          </w:tcPr>
          <w:p>
            <w:pPr>
              <w:spacing w:after="40" w:line="240" w:lineRule="auto"/>
              <w:jc w:val="center"/>
            </w:pPr>
            <w:r/>
            <w:r>
              <w:rPr>
                <w:rFonts w:ascii="Cambria" w:hAnsi="Cambria" w:eastAsia="Cambria"/>
                <w:b w:val="0"/>
                <w:i w:val="0"/>
                <w:sz w:val="22"/>
              </w:rPr>
              <w:t>Government databases (DST, DBT, ICSSR, AICTE, UGC), International funding agencies</w:t>
            </w:r>
          </w:p>
        </w:tc>
        <w:tc>
          <w:tcPr>
            <w:tcW w:type="dxa" w:w="2664"/>
            <w:shd w:val="clear" w:color="auto" w:fill="DCE6F1"/>
          </w:tcPr>
          <w:p>
            <w:pPr>
              <w:spacing w:after="40" w:line="240" w:lineRule="auto"/>
              <w:jc w:val="center"/>
            </w:pPr>
            <w:r/>
            <w:r>
              <w:rPr>
                <w:rFonts w:ascii="Cambria" w:hAnsi="Cambria" w:eastAsia="Cambria"/>
                <w:b w:val="0"/>
                <w:i w:val="0"/>
                <w:sz w:val="22"/>
              </w:rPr>
              <w:t>Sponsored projects, consultancy revenue, funded research outcomes</w:t>
            </w:r>
          </w:p>
        </w:tc>
        <w:tc>
          <w:tcPr>
            <w:tcW w:type="dxa" w:w="1757"/>
            <w:shd w:val="clear" w:color="auto" w:fill="DCE6F1"/>
          </w:tcPr>
          <w:p>
            <w:pPr>
              <w:spacing w:after="40" w:line="240" w:lineRule="auto"/>
              <w:jc w:val="center"/>
            </w:pPr>
            <w:r/>
            <w:r>
              <w:rPr>
                <w:rFonts w:ascii="Cambria" w:hAnsi="Cambria" w:eastAsia="Cambria"/>
                <w:b w:val="0"/>
                <w:i w:val="0"/>
                <w:sz w:val="22"/>
              </w:rPr>
              <w:t>Data verified with sanction letters and funding databases</w:t>
            </w:r>
          </w:p>
        </w:tc>
      </w:tr>
      <w:tr>
        <w:tc>
          <w:tcPr>
            <w:tcW w:type="dxa" w:w="1871"/>
          </w:tcPr>
          <w:p>
            <w:pPr>
              <w:spacing w:after="40" w:line="240" w:lineRule="auto"/>
              <w:jc w:val="left"/>
            </w:pPr>
            <w:r/>
            <w:r>
              <w:rPr>
                <w:rFonts w:ascii="Cambria" w:hAnsi="Cambria" w:eastAsia="Cambria"/>
                <w:b w:val="0"/>
                <w:i w:val="0"/>
                <w:sz w:val="22"/>
              </w:rPr>
              <w:t>Graduate Outcomes (linked to research)</w:t>
            </w:r>
          </w:p>
        </w:tc>
        <w:tc>
          <w:tcPr>
            <w:tcW w:type="dxa" w:w="2551"/>
          </w:tcPr>
          <w:p>
            <w:pPr>
              <w:spacing w:after="40" w:line="240" w:lineRule="auto"/>
              <w:jc w:val="center"/>
            </w:pPr>
            <w:r/>
            <w:r>
              <w:rPr>
                <w:rFonts w:ascii="Cambria" w:hAnsi="Cambria" w:eastAsia="Cambria"/>
                <w:b w:val="0"/>
                <w:i w:val="0"/>
                <w:sz w:val="22"/>
              </w:rPr>
              <w:t>Institutional records, Alumni tracer studies, employer validation</w:t>
            </w:r>
          </w:p>
        </w:tc>
        <w:tc>
          <w:tcPr>
            <w:tcW w:type="dxa" w:w="2664"/>
          </w:tcPr>
          <w:p>
            <w:pPr>
              <w:spacing w:after="40" w:line="240" w:lineRule="auto"/>
              <w:jc w:val="center"/>
            </w:pPr>
            <w:r/>
            <w:r>
              <w:rPr>
                <w:rFonts w:ascii="Cambria" w:hAnsi="Cambria" w:eastAsia="Cambria"/>
                <w:b w:val="0"/>
                <w:i w:val="0"/>
                <w:sz w:val="22"/>
              </w:rPr>
              <w:t>Ph.D. completions, higher studies in research domains</w:t>
            </w:r>
          </w:p>
        </w:tc>
        <w:tc>
          <w:tcPr>
            <w:tcW w:type="dxa" w:w="1757"/>
          </w:tcPr>
          <w:p>
            <w:pPr>
              <w:spacing w:after="40" w:line="240" w:lineRule="auto"/>
              <w:jc w:val="center"/>
            </w:pPr>
            <w:r/>
            <w:r>
              <w:rPr>
                <w:rFonts w:ascii="Cambria" w:hAnsi="Cambria" w:eastAsia="Cambria"/>
                <w:b w:val="0"/>
                <w:i w:val="0"/>
                <w:sz w:val="22"/>
              </w:rPr>
              <w:t>Cross-checked with graduation data submitted to NIRF</w:t>
            </w:r>
          </w:p>
        </w:tc>
      </w:tr>
    </w:tbl>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Policy intent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may revise, add, drop, or re-define metrics/weights when data realities or methodological improvements demand it.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Objective is rationalisation: preserving fairness, validity, and comparability across institutions and disciplines.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Triggers for modification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quality issues (missing, noisy, unverifiable, or non-standardised submissions).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Discipline shifts (e.g., new research norms, altered placement ecosystems).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Gaming detection (unintended incentives that distort behaviour).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Source dependency risks (over-reliance on a single database; coverage gaps).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Policy/Regulatory updates (national priorities, inclusion mandates, NEP-aligned indicators).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Scope of changes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Metric definitions (formulae, caps, normalisation, thresholds).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 redistributions (between/within TLR, RP, GO, OI,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sources (add/remove external databases; alter verification layers).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Eligibility filters &amp; aggregation rules (e.g., treatment of outliers, tie-handling, cohort windows).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Governance &amp; transparency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Changes are formally notified at the time of ranking announcement.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 single, authoritative version is used for that year's computation.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should not assume year-to-year continuity; always review official notices.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Implications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 metric-agnostic, auditable data pipelines (clear provenance, versioned snapshots).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Stress-test internal scores under plausible weight/metric shifts (sensitivity analysis).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Keep evidence repositories current (faculty, research, placements, finance, inclusivity).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Monitor data coverage in external indices (Scopus/WoS, IPO/WIPO, funding portals).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Good-practice readiness checklist (internal)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dictionary aligned to current NIRF specs (fields, units, sampling window).</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Change log documenting any institutional recalculations after NIRF updates.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Scenario workbook to simulate score impact for ± changes in weights/limits.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Source parity audit (cross-verify institutional counts vs. external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Ethics &amp; QA sign-off before submission (prevents last-minute corrections).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Ready-to-use change-log table (embed in your book/portal)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Fields: Year → Parameter → Metric/Sub-metric → Old Definition/Weight → New Definition/Weight → Rationale → Data Impact → Action Required → Owner → Deadline.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Usage: Populate upon NIRF notification; drive campus-wide updates and communications.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Key takeaway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Metric flexibility protects the integrity of rankings as contexts evolve; proactive, well-documented data management ensures institutions remain resilient to such changes.</w:t>
      </w:r>
    </w:p>
    <w:p>
      <w:pPr>
        <w:keepNext/>
        <w:spacing w:before="200" w:after="100"/>
      </w:pPr>
      <w:r>
        <w:rPr>
          <w:rFonts w:ascii="Cambria" w:hAnsi="Cambria" w:eastAsia="Cambria"/>
          <w:b/>
          <w:i w:val="0"/>
          <w:color w:val="1F3A5F"/>
          <w:sz w:val="26"/>
        </w:rPr>
        <w:t>NIRF Metric Change-Log Table</w:t>
      </w:r>
    </w:p>
    <w:p>
      <w:pPr>
        <w:spacing w:line="276" w:lineRule="auto" w:after="120"/>
        <w:ind w:left="0"/>
        <w:jc w:val="both"/>
      </w:pPr>
      <w:r>
        <w:rPr>
          <w:rFonts w:ascii="Cambria" w:hAnsi="Cambria" w:eastAsia="Cambria"/>
          <w:b w:val="0"/>
          <w:i/>
          <w:sz w:val="22"/>
        </w:rPr>
        <w:t>The following records are presented as cards because the source table has more than five columns (Year, Parameter, Metric/Sub-metric, Old Definition/Weight, New Definition/Weight, Rationale, Data Impact, Action Required, Owner, Deadline).</w:t>
      </w:r>
    </w:p>
    <w:p>
      <w:pPr>
        <w:keepNext/>
        <w:spacing w:before="160" w:after="80"/>
      </w:pPr>
      <w:r>
        <w:rPr>
          <w:rFonts w:ascii="Cambria" w:hAnsi="Cambria" w:eastAsia="Cambria"/>
          <w:b/>
          <w:i w:val="0"/>
          <w:color w:val="1F3A5F"/>
          <w:sz w:val="23"/>
        </w:rPr>
        <w:t>2024 – Research &amp; Professional Practices (RP) – Publications (PU)</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Old Definition / Weight</w:t>
            </w:r>
          </w:p>
        </w:tc>
        <w:tc>
          <w:tcPr>
            <w:tcW w:type="dxa" w:w="6860"/>
          </w:tcPr>
          <w:p>
            <w:pPr>
              <w:spacing w:after="40" w:line="240" w:lineRule="auto"/>
            </w:pPr>
            <w:r/>
            <w:r>
              <w:rPr>
                <w:rFonts w:ascii="Cambria" w:hAnsi="Cambria" w:eastAsia="Cambria"/>
                <w:b w:val="0"/>
                <w:i w:val="0"/>
                <w:sz w:val="22"/>
              </w:rPr>
              <w:t>Count of Scopus-indexed publications only (Weight = 35%)</w:t>
            </w:r>
          </w:p>
        </w:tc>
      </w:tr>
      <w:tr>
        <w:tc>
          <w:tcPr>
            <w:tcW w:type="dxa" w:w="2551"/>
            <w:shd w:val="clear" w:color="auto" w:fill="DCE6F1"/>
          </w:tcPr>
          <w:p>
            <w:pPr>
              <w:spacing w:after="40" w:line="240" w:lineRule="auto"/>
            </w:pPr>
            <w:r/>
            <w:r>
              <w:rPr>
                <w:rFonts w:ascii="Cambria" w:hAnsi="Cambria" w:eastAsia="Cambria"/>
                <w:b/>
                <w:i w:val="0"/>
                <w:sz w:val="22"/>
              </w:rPr>
              <w:t>New Definition / Weight</w:t>
            </w:r>
          </w:p>
        </w:tc>
        <w:tc>
          <w:tcPr>
            <w:tcW w:type="dxa" w:w="6860"/>
            <w:shd w:val="clear" w:color="auto" w:fill="DCE6F1"/>
          </w:tcPr>
          <w:p>
            <w:pPr>
              <w:spacing w:after="40" w:line="240" w:lineRule="auto"/>
            </w:pPr>
            <w:r/>
            <w:r>
              <w:rPr>
                <w:rFonts w:ascii="Cambria" w:hAnsi="Cambria" w:eastAsia="Cambria"/>
                <w:b w:val="0"/>
                <w:i w:val="0"/>
                <w:sz w:val="22"/>
              </w:rPr>
              <w:t>Count of Scopus + WoS-indexed publications (Weight = 30%)</w:t>
            </w:r>
          </w:p>
        </w:tc>
      </w:tr>
      <w:tr>
        <w:tc>
          <w:tcPr>
            <w:tcW w:type="dxa" w:w="2551"/>
          </w:tcPr>
          <w:p>
            <w:pPr>
              <w:spacing w:after="40" w:line="240" w:lineRule="auto"/>
            </w:pPr>
            <w:r/>
            <w:r>
              <w:rPr>
                <w:rFonts w:ascii="Cambria" w:hAnsi="Cambria" w:eastAsia="Cambria"/>
                <w:b/>
                <w:i w:val="0"/>
                <w:sz w:val="22"/>
              </w:rPr>
              <w:t>Rationale</w:t>
            </w:r>
          </w:p>
        </w:tc>
        <w:tc>
          <w:tcPr>
            <w:tcW w:type="dxa" w:w="6860"/>
          </w:tcPr>
          <w:p>
            <w:pPr>
              <w:spacing w:after="40" w:line="240" w:lineRule="auto"/>
            </w:pPr>
            <w:r/>
            <w:r>
              <w:rPr>
                <w:rFonts w:ascii="Cambria" w:hAnsi="Cambria" w:eastAsia="Cambria"/>
                <w:b w:val="0"/>
                <w:i w:val="0"/>
                <w:sz w:val="22"/>
              </w:rPr>
              <w:t>To broaden database coverage and ensure fairness</w:t>
            </w:r>
          </w:p>
        </w:tc>
      </w:tr>
      <w:tr>
        <w:tc>
          <w:tcPr>
            <w:tcW w:type="dxa" w:w="2551"/>
            <w:shd w:val="clear" w:color="auto" w:fill="DCE6F1"/>
          </w:tcPr>
          <w:p>
            <w:pPr>
              <w:spacing w:after="40" w:line="240" w:lineRule="auto"/>
            </w:pPr>
            <w:r/>
            <w:r>
              <w:rPr>
                <w:rFonts w:ascii="Cambria" w:hAnsi="Cambria" w:eastAsia="Cambria"/>
                <w:b/>
                <w:i w:val="0"/>
                <w:sz w:val="22"/>
              </w:rPr>
              <w:t>Data Impact</w:t>
            </w:r>
          </w:p>
        </w:tc>
        <w:tc>
          <w:tcPr>
            <w:tcW w:type="dxa" w:w="6860"/>
            <w:shd w:val="clear" w:color="auto" w:fill="DCE6F1"/>
          </w:tcPr>
          <w:p>
            <w:pPr>
              <w:spacing w:after="40" w:line="240" w:lineRule="auto"/>
            </w:pPr>
            <w:r/>
            <w:r>
              <w:rPr>
                <w:rFonts w:ascii="Cambria" w:hAnsi="Cambria" w:eastAsia="Cambria"/>
                <w:b w:val="0"/>
                <w:i w:val="0"/>
                <w:sz w:val="22"/>
              </w:rPr>
              <w:t>Slight increase in publication counts for some institutions</w:t>
            </w:r>
          </w:p>
        </w:tc>
      </w:tr>
      <w:tr>
        <w:tc>
          <w:tcPr>
            <w:tcW w:type="dxa" w:w="2551"/>
          </w:tcPr>
          <w:p>
            <w:pPr>
              <w:spacing w:after="40" w:line="240" w:lineRule="auto"/>
            </w:pPr>
            <w:r/>
            <w:r>
              <w:rPr>
                <w:rFonts w:ascii="Cambria" w:hAnsi="Cambria" w:eastAsia="Cambria"/>
                <w:b/>
                <w:i w:val="0"/>
                <w:sz w:val="22"/>
              </w:rPr>
              <w:t>Action Required</w:t>
            </w:r>
          </w:p>
        </w:tc>
        <w:tc>
          <w:tcPr>
            <w:tcW w:type="dxa" w:w="6860"/>
          </w:tcPr>
          <w:p>
            <w:pPr>
              <w:spacing w:after="40" w:line="240" w:lineRule="auto"/>
            </w:pPr>
            <w:r/>
            <w:r>
              <w:rPr>
                <w:rFonts w:ascii="Cambria" w:hAnsi="Cambria" w:eastAsia="Cambria"/>
                <w:b w:val="0"/>
                <w:i w:val="0"/>
                <w:sz w:val="22"/>
              </w:rPr>
              <w:t>Update publication records, re-verify faculty profiles</w:t>
            </w:r>
          </w:p>
        </w:tc>
      </w:tr>
      <w:tr>
        <w:tc>
          <w:tcPr>
            <w:tcW w:type="dxa" w:w="2551"/>
            <w:shd w:val="clear" w:color="auto" w:fill="DCE6F1"/>
          </w:tcPr>
          <w:p>
            <w:pPr>
              <w:spacing w:after="40" w:line="240" w:lineRule="auto"/>
            </w:pPr>
            <w:r/>
            <w:r>
              <w:rPr>
                <w:rFonts w:ascii="Cambria" w:hAnsi="Cambria" w:eastAsia="Cambria"/>
                <w:b/>
                <w:i w:val="0"/>
                <w:sz w:val="22"/>
              </w:rPr>
              <w:t>Owner</w:t>
            </w:r>
          </w:p>
        </w:tc>
        <w:tc>
          <w:tcPr>
            <w:tcW w:type="dxa" w:w="6860"/>
            <w:shd w:val="clear" w:color="auto" w:fill="DCE6F1"/>
          </w:tcPr>
          <w:p>
            <w:pPr>
              <w:spacing w:after="40" w:line="240" w:lineRule="auto"/>
            </w:pPr>
            <w:r/>
            <w:r>
              <w:rPr>
                <w:rFonts w:ascii="Cambria" w:hAnsi="Cambria" w:eastAsia="Cambria"/>
                <w:b w:val="0"/>
                <w:i w:val="0"/>
                <w:sz w:val="22"/>
              </w:rPr>
              <w:t>Research Cell / Dean (R&amp;D)</w:t>
            </w:r>
          </w:p>
        </w:tc>
      </w:tr>
      <w:tr>
        <w:tc>
          <w:tcPr>
            <w:tcW w:type="dxa" w:w="2551"/>
          </w:tcPr>
          <w:p>
            <w:pPr>
              <w:spacing w:after="40" w:line="240" w:lineRule="auto"/>
            </w:pPr>
            <w:r/>
            <w:r>
              <w:rPr>
                <w:rFonts w:ascii="Cambria" w:hAnsi="Cambria" w:eastAsia="Cambria"/>
                <w:b/>
                <w:i w:val="0"/>
                <w:sz w:val="22"/>
              </w:rPr>
              <w:t>Deadline</w:t>
            </w:r>
          </w:p>
        </w:tc>
        <w:tc>
          <w:tcPr>
            <w:tcW w:type="dxa" w:w="6860"/>
          </w:tcPr>
          <w:p>
            <w:pPr>
              <w:spacing w:after="40" w:line="240" w:lineRule="auto"/>
            </w:pPr>
            <w:r/>
            <w:r>
              <w:rPr>
                <w:rFonts w:ascii="Cambria" w:hAnsi="Cambria" w:eastAsia="Cambria"/>
                <w:b w:val="0"/>
                <w:i w:val="0"/>
                <w:sz w:val="22"/>
              </w:rPr>
              <w:t>March 2024</w:t>
            </w:r>
          </w:p>
        </w:tc>
      </w:tr>
    </w:tbl>
    <w:p>
      <w:pPr>
        <w:spacing w:after="80"/>
      </w:pPr>
    </w:p>
    <w:p>
      <w:pPr>
        <w:keepNext/>
        <w:spacing w:before="160" w:after="80"/>
      </w:pPr>
      <w:r>
        <w:rPr>
          <w:rFonts w:ascii="Cambria" w:hAnsi="Cambria" w:eastAsia="Cambria"/>
          <w:b/>
          <w:i w:val="0"/>
          <w:color w:val="1F3A5F"/>
          <w:sz w:val="23"/>
        </w:rPr>
        <w:t>2024 – Graduation Outcomes (GO) – Placement Outcomes (GPH)</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Old Definition / Weight</w:t>
            </w:r>
          </w:p>
        </w:tc>
        <w:tc>
          <w:tcPr>
            <w:tcW w:type="dxa" w:w="6860"/>
          </w:tcPr>
          <w:p>
            <w:pPr>
              <w:spacing w:after="40" w:line="240" w:lineRule="auto"/>
            </w:pPr>
            <w:r/>
            <w:r>
              <w:rPr>
                <w:rFonts w:ascii="Cambria" w:hAnsi="Cambria" w:eastAsia="Cambria"/>
                <w:b w:val="0"/>
                <w:i w:val="0"/>
                <w:sz w:val="22"/>
              </w:rPr>
              <w:t>Median Salary considered only (Weight = 40%)</w:t>
            </w:r>
          </w:p>
        </w:tc>
      </w:tr>
      <w:tr>
        <w:tc>
          <w:tcPr>
            <w:tcW w:type="dxa" w:w="2551"/>
            <w:shd w:val="clear" w:color="auto" w:fill="DCE6F1"/>
          </w:tcPr>
          <w:p>
            <w:pPr>
              <w:spacing w:after="40" w:line="240" w:lineRule="auto"/>
            </w:pPr>
            <w:r/>
            <w:r>
              <w:rPr>
                <w:rFonts w:ascii="Cambria" w:hAnsi="Cambria" w:eastAsia="Cambria"/>
                <w:b/>
                <w:i w:val="0"/>
                <w:sz w:val="22"/>
              </w:rPr>
              <w:t>New Definition / Weight</w:t>
            </w:r>
          </w:p>
        </w:tc>
        <w:tc>
          <w:tcPr>
            <w:tcW w:type="dxa" w:w="6860"/>
            <w:shd w:val="clear" w:color="auto" w:fill="DCE6F1"/>
          </w:tcPr>
          <w:p>
            <w:pPr>
              <w:spacing w:after="40" w:line="240" w:lineRule="auto"/>
            </w:pPr>
            <w:r/>
            <w:r>
              <w:rPr>
                <w:rFonts w:ascii="Cambria" w:hAnsi="Cambria" w:eastAsia="Cambria"/>
                <w:b w:val="0"/>
                <w:i w:val="0"/>
                <w:sz w:val="22"/>
              </w:rPr>
              <w:t>Median Salary + Placement Percentage combined (Weight = 35%)</w:t>
            </w:r>
          </w:p>
        </w:tc>
      </w:tr>
      <w:tr>
        <w:tc>
          <w:tcPr>
            <w:tcW w:type="dxa" w:w="2551"/>
          </w:tcPr>
          <w:p>
            <w:pPr>
              <w:spacing w:after="40" w:line="240" w:lineRule="auto"/>
            </w:pPr>
            <w:r/>
            <w:r>
              <w:rPr>
                <w:rFonts w:ascii="Cambria" w:hAnsi="Cambria" w:eastAsia="Cambria"/>
                <w:b/>
                <w:i w:val="0"/>
                <w:sz w:val="22"/>
              </w:rPr>
              <w:t>Rationale</w:t>
            </w:r>
          </w:p>
        </w:tc>
        <w:tc>
          <w:tcPr>
            <w:tcW w:type="dxa" w:w="6860"/>
          </w:tcPr>
          <w:p>
            <w:pPr>
              <w:spacing w:after="40" w:line="240" w:lineRule="auto"/>
            </w:pPr>
            <w:r/>
            <w:r>
              <w:rPr>
                <w:rFonts w:ascii="Cambria" w:hAnsi="Cambria" w:eastAsia="Cambria"/>
                <w:b w:val="0"/>
                <w:i w:val="0"/>
                <w:sz w:val="22"/>
              </w:rPr>
              <w:t>To better capture employability</w:t>
            </w:r>
          </w:p>
        </w:tc>
      </w:tr>
      <w:tr>
        <w:tc>
          <w:tcPr>
            <w:tcW w:type="dxa" w:w="2551"/>
            <w:shd w:val="clear" w:color="auto" w:fill="DCE6F1"/>
          </w:tcPr>
          <w:p>
            <w:pPr>
              <w:spacing w:after="40" w:line="240" w:lineRule="auto"/>
            </w:pPr>
            <w:r/>
            <w:r>
              <w:rPr>
                <w:rFonts w:ascii="Cambria" w:hAnsi="Cambria" w:eastAsia="Cambria"/>
                <w:b/>
                <w:i w:val="0"/>
                <w:sz w:val="22"/>
              </w:rPr>
              <w:t>Data Impact</w:t>
            </w:r>
          </w:p>
        </w:tc>
        <w:tc>
          <w:tcPr>
            <w:tcW w:type="dxa" w:w="6860"/>
            <w:shd w:val="clear" w:color="auto" w:fill="DCE6F1"/>
          </w:tcPr>
          <w:p>
            <w:pPr>
              <w:spacing w:after="40" w:line="240" w:lineRule="auto"/>
            </w:pPr>
            <w:r/>
            <w:r>
              <w:rPr>
                <w:rFonts w:ascii="Cambria" w:hAnsi="Cambria" w:eastAsia="Cambria"/>
                <w:b w:val="0"/>
                <w:i w:val="0"/>
                <w:sz w:val="22"/>
              </w:rPr>
              <w:t>Changes graduate outcome calculation</w:t>
            </w:r>
          </w:p>
        </w:tc>
      </w:tr>
      <w:tr>
        <w:tc>
          <w:tcPr>
            <w:tcW w:type="dxa" w:w="2551"/>
          </w:tcPr>
          <w:p>
            <w:pPr>
              <w:spacing w:after="40" w:line="240" w:lineRule="auto"/>
            </w:pPr>
            <w:r/>
            <w:r>
              <w:rPr>
                <w:rFonts w:ascii="Cambria" w:hAnsi="Cambria" w:eastAsia="Cambria"/>
                <w:b/>
                <w:i w:val="0"/>
                <w:sz w:val="22"/>
              </w:rPr>
              <w:t>Action Required</w:t>
            </w:r>
          </w:p>
        </w:tc>
        <w:tc>
          <w:tcPr>
            <w:tcW w:type="dxa" w:w="6860"/>
          </w:tcPr>
          <w:p>
            <w:pPr>
              <w:spacing w:after="40" w:line="240" w:lineRule="auto"/>
            </w:pPr>
            <w:r/>
            <w:r>
              <w:rPr>
                <w:rFonts w:ascii="Cambria" w:hAnsi="Cambria" w:eastAsia="Cambria"/>
                <w:b w:val="0"/>
                <w:i w:val="0"/>
                <w:sz w:val="22"/>
              </w:rPr>
              <w:t>Placement cell to recompile placement reports</w:t>
            </w:r>
          </w:p>
        </w:tc>
      </w:tr>
      <w:tr>
        <w:tc>
          <w:tcPr>
            <w:tcW w:type="dxa" w:w="2551"/>
            <w:shd w:val="clear" w:color="auto" w:fill="DCE6F1"/>
          </w:tcPr>
          <w:p>
            <w:pPr>
              <w:spacing w:after="40" w:line="240" w:lineRule="auto"/>
            </w:pPr>
            <w:r/>
            <w:r>
              <w:rPr>
                <w:rFonts w:ascii="Cambria" w:hAnsi="Cambria" w:eastAsia="Cambria"/>
                <w:b/>
                <w:i w:val="0"/>
                <w:sz w:val="22"/>
              </w:rPr>
              <w:t>Owner</w:t>
            </w:r>
          </w:p>
        </w:tc>
        <w:tc>
          <w:tcPr>
            <w:tcW w:type="dxa" w:w="6860"/>
            <w:shd w:val="clear" w:color="auto" w:fill="DCE6F1"/>
          </w:tcPr>
          <w:p>
            <w:pPr>
              <w:spacing w:after="40" w:line="240" w:lineRule="auto"/>
            </w:pPr>
            <w:r/>
            <w:r>
              <w:rPr>
                <w:rFonts w:ascii="Cambria" w:hAnsi="Cambria" w:eastAsia="Cambria"/>
                <w:b w:val="0"/>
                <w:i w:val="0"/>
                <w:sz w:val="22"/>
              </w:rPr>
              <w:t>Training &amp; Placement Officer</w:t>
            </w:r>
          </w:p>
        </w:tc>
      </w:tr>
      <w:tr>
        <w:tc>
          <w:tcPr>
            <w:tcW w:type="dxa" w:w="2551"/>
          </w:tcPr>
          <w:p>
            <w:pPr>
              <w:spacing w:after="40" w:line="240" w:lineRule="auto"/>
            </w:pPr>
            <w:r/>
            <w:r>
              <w:rPr>
                <w:rFonts w:ascii="Cambria" w:hAnsi="Cambria" w:eastAsia="Cambria"/>
                <w:b/>
                <w:i w:val="0"/>
                <w:sz w:val="22"/>
              </w:rPr>
              <w:t>Deadline</w:t>
            </w:r>
          </w:p>
        </w:tc>
        <w:tc>
          <w:tcPr>
            <w:tcW w:type="dxa" w:w="6860"/>
          </w:tcPr>
          <w:p>
            <w:pPr>
              <w:spacing w:after="40" w:line="240" w:lineRule="auto"/>
            </w:pPr>
            <w:r/>
            <w:r>
              <w:rPr>
                <w:rFonts w:ascii="Cambria" w:hAnsi="Cambria" w:eastAsia="Cambria"/>
                <w:b w:val="0"/>
                <w:i w:val="0"/>
                <w:sz w:val="22"/>
              </w:rPr>
              <w:t>March 2024</w:t>
            </w:r>
          </w:p>
        </w:tc>
      </w:tr>
    </w:tbl>
    <w:p>
      <w:pPr>
        <w:spacing w:after="80"/>
      </w:pPr>
    </w:p>
    <w:p>
      <w:pPr>
        <w:keepNext/>
        <w:spacing w:before="160" w:after="80"/>
      </w:pPr>
      <w:r>
        <w:rPr>
          <w:rFonts w:ascii="Cambria" w:hAnsi="Cambria" w:eastAsia="Cambria"/>
          <w:b/>
          <w:i w:val="0"/>
          <w:color w:val="1F3A5F"/>
          <w:sz w:val="23"/>
        </w:rPr>
        <w:t>2025 – Outreach &amp; Inclusivity (OI) – Gender Diversity (WD)</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Old Definition / Weight</w:t>
            </w:r>
          </w:p>
        </w:tc>
        <w:tc>
          <w:tcPr>
            <w:tcW w:type="dxa" w:w="6860"/>
          </w:tcPr>
          <w:p>
            <w:pPr>
              <w:spacing w:after="40" w:line="240" w:lineRule="auto"/>
            </w:pPr>
            <w:r/>
            <w:r>
              <w:rPr>
                <w:rFonts w:ascii="Cambria" w:hAnsi="Cambria" w:eastAsia="Cambria"/>
                <w:b w:val="0"/>
                <w:i w:val="0"/>
                <w:sz w:val="22"/>
              </w:rPr>
              <w:t>Female student ratio (Weight = 30%)</w:t>
            </w:r>
          </w:p>
        </w:tc>
      </w:tr>
      <w:tr>
        <w:tc>
          <w:tcPr>
            <w:tcW w:type="dxa" w:w="2551"/>
            <w:shd w:val="clear" w:color="auto" w:fill="DCE6F1"/>
          </w:tcPr>
          <w:p>
            <w:pPr>
              <w:spacing w:after="40" w:line="240" w:lineRule="auto"/>
            </w:pPr>
            <w:r/>
            <w:r>
              <w:rPr>
                <w:rFonts w:ascii="Cambria" w:hAnsi="Cambria" w:eastAsia="Cambria"/>
                <w:b/>
                <w:i w:val="0"/>
                <w:sz w:val="22"/>
              </w:rPr>
              <w:t>New Definition / Weight</w:t>
            </w:r>
          </w:p>
        </w:tc>
        <w:tc>
          <w:tcPr>
            <w:tcW w:type="dxa" w:w="6860"/>
            <w:shd w:val="clear" w:color="auto" w:fill="DCE6F1"/>
          </w:tcPr>
          <w:p>
            <w:pPr>
              <w:spacing w:after="40" w:line="240" w:lineRule="auto"/>
            </w:pPr>
            <w:r/>
            <w:r>
              <w:rPr>
                <w:rFonts w:ascii="Cambria" w:hAnsi="Cambria" w:eastAsia="Cambria"/>
                <w:b w:val="0"/>
                <w:i w:val="0"/>
                <w:sz w:val="22"/>
              </w:rPr>
              <w:t>Female + Transgender student ratio (Weight = 30%)</w:t>
            </w:r>
          </w:p>
        </w:tc>
      </w:tr>
      <w:tr>
        <w:tc>
          <w:tcPr>
            <w:tcW w:type="dxa" w:w="2551"/>
          </w:tcPr>
          <w:p>
            <w:pPr>
              <w:spacing w:after="40" w:line="240" w:lineRule="auto"/>
            </w:pPr>
            <w:r/>
            <w:r>
              <w:rPr>
                <w:rFonts w:ascii="Cambria" w:hAnsi="Cambria" w:eastAsia="Cambria"/>
                <w:b/>
                <w:i w:val="0"/>
                <w:sz w:val="22"/>
              </w:rPr>
              <w:t>Rationale</w:t>
            </w:r>
          </w:p>
        </w:tc>
        <w:tc>
          <w:tcPr>
            <w:tcW w:type="dxa" w:w="6860"/>
          </w:tcPr>
          <w:p>
            <w:pPr>
              <w:spacing w:after="40" w:line="240" w:lineRule="auto"/>
            </w:pPr>
            <w:r/>
            <w:r>
              <w:rPr>
                <w:rFonts w:ascii="Cambria" w:hAnsi="Cambria" w:eastAsia="Cambria"/>
                <w:b w:val="0"/>
                <w:i w:val="0"/>
                <w:sz w:val="22"/>
              </w:rPr>
              <w:t>To align with inclusivity goals of NEP 2020</w:t>
            </w:r>
          </w:p>
        </w:tc>
      </w:tr>
      <w:tr>
        <w:tc>
          <w:tcPr>
            <w:tcW w:type="dxa" w:w="2551"/>
            <w:shd w:val="clear" w:color="auto" w:fill="DCE6F1"/>
          </w:tcPr>
          <w:p>
            <w:pPr>
              <w:spacing w:after="40" w:line="240" w:lineRule="auto"/>
            </w:pPr>
            <w:r/>
            <w:r>
              <w:rPr>
                <w:rFonts w:ascii="Cambria" w:hAnsi="Cambria" w:eastAsia="Cambria"/>
                <w:b/>
                <w:i w:val="0"/>
                <w:sz w:val="22"/>
              </w:rPr>
              <w:t>Data Impact</w:t>
            </w:r>
          </w:p>
        </w:tc>
        <w:tc>
          <w:tcPr>
            <w:tcW w:type="dxa" w:w="6860"/>
            <w:shd w:val="clear" w:color="auto" w:fill="DCE6F1"/>
          </w:tcPr>
          <w:p>
            <w:pPr>
              <w:spacing w:after="40" w:line="240" w:lineRule="auto"/>
            </w:pPr>
            <w:r/>
            <w:r>
              <w:rPr>
                <w:rFonts w:ascii="Cambria" w:hAnsi="Cambria" w:eastAsia="Cambria"/>
                <w:b w:val="0"/>
                <w:i w:val="0"/>
                <w:sz w:val="22"/>
              </w:rPr>
              <w:t>More inclusive diversity score</w:t>
            </w:r>
          </w:p>
        </w:tc>
      </w:tr>
      <w:tr>
        <w:tc>
          <w:tcPr>
            <w:tcW w:type="dxa" w:w="2551"/>
          </w:tcPr>
          <w:p>
            <w:pPr>
              <w:spacing w:after="40" w:line="240" w:lineRule="auto"/>
            </w:pPr>
            <w:r/>
            <w:r>
              <w:rPr>
                <w:rFonts w:ascii="Cambria" w:hAnsi="Cambria" w:eastAsia="Cambria"/>
                <w:b/>
                <w:i w:val="0"/>
                <w:sz w:val="22"/>
              </w:rPr>
              <w:t>Action Required</w:t>
            </w:r>
          </w:p>
        </w:tc>
        <w:tc>
          <w:tcPr>
            <w:tcW w:type="dxa" w:w="6860"/>
          </w:tcPr>
          <w:p>
            <w:pPr>
              <w:spacing w:after="40" w:line="240" w:lineRule="auto"/>
            </w:pPr>
            <w:r/>
            <w:r>
              <w:rPr>
                <w:rFonts w:ascii="Cambria" w:hAnsi="Cambria" w:eastAsia="Cambria"/>
                <w:b w:val="0"/>
                <w:i w:val="0"/>
                <w:sz w:val="22"/>
              </w:rPr>
              <w:t>Update student admission datasets</w:t>
            </w:r>
          </w:p>
        </w:tc>
      </w:tr>
      <w:tr>
        <w:tc>
          <w:tcPr>
            <w:tcW w:type="dxa" w:w="2551"/>
            <w:shd w:val="clear" w:color="auto" w:fill="DCE6F1"/>
          </w:tcPr>
          <w:p>
            <w:pPr>
              <w:spacing w:after="40" w:line="240" w:lineRule="auto"/>
            </w:pPr>
            <w:r/>
            <w:r>
              <w:rPr>
                <w:rFonts w:ascii="Cambria" w:hAnsi="Cambria" w:eastAsia="Cambria"/>
                <w:b/>
                <w:i w:val="0"/>
                <w:sz w:val="22"/>
              </w:rPr>
              <w:t>Owner</w:t>
            </w:r>
          </w:p>
        </w:tc>
        <w:tc>
          <w:tcPr>
            <w:tcW w:type="dxa" w:w="6860"/>
            <w:shd w:val="clear" w:color="auto" w:fill="DCE6F1"/>
          </w:tcPr>
          <w:p>
            <w:pPr>
              <w:spacing w:after="40" w:line="240" w:lineRule="auto"/>
            </w:pPr>
            <w:r/>
            <w:r>
              <w:rPr>
                <w:rFonts w:ascii="Cambria" w:hAnsi="Cambria" w:eastAsia="Cambria"/>
                <w:b w:val="0"/>
                <w:i w:val="0"/>
                <w:sz w:val="22"/>
              </w:rPr>
              <w:t>Registrar (Admissions)</w:t>
            </w:r>
          </w:p>
        </w:tc>
      </w:tr>
      <w:tr>
        <w:tc>
          <w:tcPr>
            <w:tcW w:type="dxa" w:w="2551"/>
          </w:tcPr>
          <w:p>
            <w:pPr>
              <w:spacing w:after="40" w:line="240" w:lineRule="auto"/>
            </w:pPr>
            <w:r/>
            <w:r>
              <w:rPr>
                <w:rFonts w:ascii="Cambria" w:hAnsi="Cambria" w:eastAsia="Cambria"/>
                <w:b/>
                <w:i w:val="0"/>
                <w:sz w:val="22"/>
              </w:rPr>
              <w:t>Deadline</w:t>
            </w:r>
          </w:p>
        </w:tc>
        <w:tc>
          <w:tcPr>
            <w:tcW w:type="dxa" w:w="6860"/>
          </w:tcPr>
          <w:p>
            <w:pPr>
              <w:spacing w:after="40" w:line="240" w:lineRule="auto"/>
            </w:pPr>
            <w:r/>
            <w:r>
              <w:rPr>
                <w:rFonts w:ascii="Cambria" w:hAnsi="Cambria" w:eastAsia="Cambria"/>
                <w:b w:val="0"/>
                <w:i w:val="0"/>
                <w:sz w:val="22"/>
              </w:rPr>
              <w:t>Feb 2025</w:t>
            </w:r>
          </w:p>
        </w:tc>
      </w:tr>
    </w:tbl>
    <w:p>
      <w:pPr>
        <w:spacing w:after="80"/>
      </w:pPr>
    </w:p>
    <w:p>
      <w:pPr>
        <w:keepNext/>
        <w:spacing w:before="160" w:after="80"/>
      </w:pPr>
      <w:r>
        <w:rPr>
          <w:rFonts w:ascii="Cambria" w:hAnsi="Cambria" w:eastAsia="Cambria"/>
          <w:b/>
          <w:i w:val="0"/>
          <w:color w:val="1F3A5F"/>
          <w:sz w:val="23"/>
        </w:rPr>
        <w:t>2025 – Teaching, Learning &amp; Resources (TLR) – Faculty–Student Ratio (FSR)</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Old Definition / Weight</w:t>
            </w:r>
          </w:p>
        </w:tc>
        <w:tc>
          <w:tcPr>
            <w:tcW w:type="dxa" w:w="6860"/>
          </w:tcPr>
          <w:p>
            <w:pPr>
              <w:spacing w:after="40" w:line="240" w:lineRule="auto"/>
            </w:pPr>
            <w:r/>
            <w:r>
              <w:rPr>
                <w:rFonts w:ascii="Cambria" w:hAnsi="Cambria" w:eastAsia="Cambria"/>
                <w:b w:val="0"/>
                <w:i w:val="0"/>
                <w:sz w:val="22"/>
              </w:rPr>
              <w:t>Count included all faculty (Weight = 30%)</w:t>
            </w:r>
          </w:p>
        </w:tc>
      </w:tr>
      <w:tr>
        <w:tc>
          <w:tcPr>
            <w:tcW w:type="dxa" w:w="2551"/>
            <w:shd w:val="clear" w:color="auto" w:fill="DCE6F1"/>
          </w:tcPr>
          <w:p>
            <w:pPr>
              <w:spacing w:after="40" w:line="240" w:lineRule="auto"/>
            </w:pPr>
            <w:r/>
            <w:r>
              <w:rPr>
                <w:rFonts w:ascii="Cambria" w:hAnsi="Cambria" w:eastAsia="Cambria"/>
                <w:b/>
                <w:i w:val="0"/>
                <w:sz w:val="22"/>
              </w:rPr>
              <w:t>New Definition / Weight</w:t>
            </w:r>
          </w:p>
        </w:tc>
        <w:tc>
          <w:tcPr>
            <w:tcW w:type="dxa" w:w="6860"/>
            <w:shd w:val="clear" w:color="auto" w:fill="DCE6F1"/>
          </w:tcPr>
          <w:p>
            <w:pPr>
              <w:spacing w:after="40" w:line="240" w:lineRule="auto"/>
            </w:pPr>
            <w:r/>
            <w:r>
              <w:rPr>
                <w:rFonts w:ascii="Cambria" w:hAnsi="Cambria" w:eastAsia="Cambria"/>
                <w:b w:val="0"/>
                <w:i w:val="0"/>
                <w:sz w:val="22"/>
              </w:rPr>
              <w:t>Count includes only permanent faculty (Weight = 30%)</w:t>
            </w:r>
          </w:p>
        </w:tc>
      </w:tr>
      <w:tr>
        <w:tc>
          <w:tcPr>
            <w:tcW w:type="dxa" w:w="2551"/>
          </w:tcPr>
          <w:p>
            <w:pPr>
              <w:spacing w:after="40" w:line="240" w:lineRule="auto"/>
            </w:pPr>
            <w:r/>
            <w:r>
              <w:rPr>
                <w:rFonts w:ascii="Cambria" w:hAnsi="Cambria" w:eastAsia="Cambria"/>
                <w:b/>
                <w:i w:val="0"/>
                <w:sz w:val="22"/>
              </w:rPr>
              <w:t>Rationale</w:t>
            </w:r>
          </w:p>
        </w:tc>
        <w:tc>
          <w:tcPr>
            <w:tcW w:type="dxa" w:w="6860"/>
          </w:tcPr>
          <w:p>
            <w:pPr>
              <w:spacing w:after="40" w:line="240" w:lineRule="auto"/>
            </w:pPr>
            <w:r/>
            <w:r>
              <w:rPr>
                <w:rFonts w:ascii="Cambria" w:hAnsi="Cambria" w:eastAsia="Cambria"/>
                <w:b w:val="0"/>
                <w:i w:val="0"/>
                <w:sz w:val="22"/>
              </w:rPr>
              <w:t>To discourage contractual-only appointments</w:t>
            </w:r>
          </w:p>
        </w:tc>
      </w:tr>
      <w:tr>
        <w:tc>
          <w:tcPr>
            <w:tcW w:type="dxa" w:w="2551"/>
            <w:shd w:val="clear" w:color="auto" w:fill="DCE6F1"/>
          </w:tcPr>
          <w:p>
            <w:pPr>
              <w:spacing w:after="40" w:line="240" w:lineRule="auto"/>
            </w:pPr>
            <w:r/>
            <w:r>
              <w:rPr>
                <w:rFonts w:ascii="Cambria" w:hAnsi="Cambria" w:eastAsia="Cambria"/>
                <w:b/>
                <w:i w:val="0"/>
                <w:sz w:val="22"/>
              </w:rPr>
              <w:t>Data Impact</w:t>
            </w:r>
          </w:p>
        </w:tc>
        <w:tc>
          <w:tcPr>
            <w:tcW w:type="dxa" w:w="6860"/>
            <w:shd w:val="clear" w:color="auto" w:fill="DCE6F1"/>
          </w:tcPr>
          <w:p>
            <w:pPr>
              <w:spacing w:after="40" w:line="240" w:lineRule="auto"/>
            </w:pPr>
            <w:r/>
            <w:r>
              <w:rPr>
                <w:rFonts w:ascii="Cambria" w:hAnsi="Cambria" w:eastAsia="Cambria"/>
                <w:b w:val="0"/>
                <w:i w:val="0"/>
                <w:sz w:val="22"/>
              </w:rPr>
              <w:t>Drop in ratio for contract-heavy institutions</w:t>
            </w:r>
          </w:p>
        </w:tc>
      </w:tr>
      <w:tr>
        <w:tc>
          <w:tcPr>
            <w:tcW w:type="dxa" w:w="2551"/>
          </w:tcPr>
          <w:p>
            <w:pPr>
              <w:spacing w:after="40" w:line="240" w:lineRule="auto"/>
            </w:pPr>
            <w:r/>
            <w:r>
              <w:rPr>
                <w:rFonts w:ascii="Cambria" w:hAnsi="Cambria" w:eastAsia="Cambria"/>
                <w:b/>
                <w:i w:val="0"/>
                <w:sz w:val="22"/>
              </w:rPr>
              <w:t>Action Required</w:t>
            </w:r>
          </w:p>
        </w:tc>
        <w:tc>
          <w:tcPr>
            <w:tcW w:type="dxa" w:w="6860"/>
          </w:tcPr>
          <w:p>
            <w:pPr>
              <w:spacing w:after="40" w:line="240" w:lineRule="auto"/>
            </w:pPr>
            <w:r/>
            <w:r>
              <w:rPr>
                <w:rFonts w:ascii="Cambria" w:hAnsi="Cambria" w:eastAsia="Cambria"/>
                <w:b w:val="0"/>
                <w:i w:val="0"/>
                <w:sz w:val="22"/>
              </w:rPr>
              <w:t>Revise HR records and mark permanent faculty separately</w:t>
            </w:r>
          </w:p>
        </w:tc>
      </w:tr>
      <w:tr>
        <w:tc>
          <w:tcPr>
            <w:tcW w:type="dxa" w:w="2551"/>
            <w:shd w:val="clear" w:color="auto" w:fill="DCE6F1"/>
          </w:tcPr>
          <w:p>
            <w:pPr>
              <w:spacing w:after="40" w:line="240" w:lineRule="auto"/>
            </w:pPr>
            <w:r/>
            <w:r>
              <w:rPr>
                <w:rFonts w:ascii="Cambria" w:hAnsi="Cambria" w:eastAsia="Cambria"/>
                <w:b/>
                <w:i w:val="0"/>
                <w:sz w:val="22"/>
              </w:rPr>
              <w:t>Owner</w:t>
            </w:r>
          </w:p>
        </w:tc>
        <w:tc>
          <w:tcPr>
            <w:tcW w:type="dxa" w:w="6860"/>
            <w:shd w:val="clear" w:color="auto" w:fill="DCE6F1"/>
          </w:tcPr>
          <w:p>
            <w:pPr>
              <w:spacing w:after="40" w:line="240" w:lineRule="auto"/>
            </w:pPr>
            <w:r/>
            <w:r>
              <w:rPr>
                <w:rFonts w:ascii="Cambria" w:hAnsi="Cambria" w:eastAsia="Cambria"/>
                <w:b w:val="0"/>
                <w:i w:val="0"/>
                <w:sz w:val="22"/>
              </w:rPr>
              <w:t>HR &amp; Academic Audit Cell</w:t>
            </w:r>
          </w:p>
        </w:tc>
      </w:tr>
      <w:tr>
        <w:tc>
          <w:tcPr>
            <w:tcW w:type="dxa" w:w="2551"/>
          </w:tcPr>
          <w:p>
            <w:pPr>
              <w:spacing w:after="40" w:line="240" w:lineRule="auto"/>
            </w:pPr>
            <w:r/>
            <w:r>
              <w:rPr>
                <w:rFonts w:ascii="Cambria" w:hAnsi="Cambria" w:eastAsia="Cambria"/>
                <w:b/>
                <w:i w:val="0"/>
                <w:sz w:val="22"/>
              </w:rPr>
              <w:t>Deadline</w:t>
            </w:r>
          </w:p>
        </w:tc>
        <w:tc>
          <w:tcPr>
            <w:tcW w:type="dxa" w:w="6860"/>
          </w:tcPr>
          <w:p>
            <w:pPr>
              <w:spacing w:after="40" w:line="240" w:lineRule="auto"/>
            </w:pPr>
            <w:r/>
            <w:r>
              <w:rPr>
                <w:rFonts w:ascii="Cambria" w:hAnsi="Cambria" w:eastAsia="Cambria"/>
                <w:b w:val="0"/>
                <w:i w:val="0"/>
                <w:sz w:val="22"/>
              </w:rPr>
              <w:t>Feb 2025</w:t>
            </w:r>
          </w:p>
        </w:tc>
      </w:tr>
    </w:tbl>
    <w:p>
      <w:pPr>
        <w:spacing w:after="80"/>
      </w:pP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How to use this table: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Update rows every year when NIRF publishes metric changes.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Assign owners (responsible departments/persons) for quick action.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Use the deadline field to align with NIRF's submission cut-off dates.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Keep this table online and accessible for transparency and tracking.</w:t>
      </w:r>
    </w:p>
    <w:p>
      <w:pPr>
        <w:keepNext/>
        <w:spacing w:before="200" w:after="100"/>
      </w:pPr>
      <w:r>
        <w:rPr>
          <w:rFonts w:ascii="Cambria" w:hAnsi="Cambria" w:eastAsia="Cambria"/>
          <w:b/>
          <w:i w:val="0"/>
          <w:color w:val="1F3A5F"/>
          <w:sz w:val="26"/>
        </w:rPr>
        <w:t>NIRF guideline regarding promotional/canvassing emails during the ranking exercise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Context of the Rule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rankings include a Perception (PR) parameter, which is partly based on surveys of peers, academics, and employers.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may be tempted to influence perception surveys by sending bulk promotional or canvassing emails asking stakeholders to “vote” for them.</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Definition of Canvassing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Any activity where an institution directly contacts survey participants (employers, academics, peers) with the intent to bias their responses.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 include:</w:t>
      </w:r>
    </w:p>
    <w:p>
      <w:pPr>
        <w:spacing w:after="40"/>
        <w:ind w:left="1247" w:hanging="357"/>
      </w:pPr>
      <w:r>
        <w:rPr>
          <w:rFonts w:ascii="Cambria" w:hAnsi="Cambria" w:eastAsia="Cambria"/>
          <w:b w:val="0"/>
          <w:i w:val="0"/>
          <w:sz w:val="22"/>
        </w:rPr>
        <w:t>▪</w:t>
        <w:tab/>
      </w:r>
      <w:r>
        <w:rPr>
          <w:rFonts w:ascii="Cambria" w:hAnsi="Cambria" w:eastAsia="Cambria"/>
          <w:b w:val="0"/>
          <w:i w:val="0"/>
          <w:sz w:val="22"/>
        </w:rPr>
        <w:t>Mass emails requesting positive survey ratings.</w:t>
      </w:r>
    </w:p>
    <w:p>
      <w:pPr>
        <w:spacing w:after="40"/>
        <w:ind w:left="1247" w:hanging="357"/>
      </w:pPr>
      <w:r>
        <w:rPr>
          <w:rFonts w:ascii="Cambria" w:hAnsi="Cambria" w:eastAsia="Cambria"/>
          <w:b w:val="0"/>
          <w:i w:val="0"/>
          <w:sz w:val="22"/>
        </w:rPr>
        <w:t>▪</w:t>
        <w:tab/>
      </w:r>
      <w:r>
        <w:rPr>
          <w:rFonts w:ascii="Cambria" w:hAnsi="Cambria" w:eastAsia="Cambria"/>
          <w:b w:val="0"/>
          <w:i w:val="0"/>
          <w:sz w:val="22"/>
        </w:rPr>
        <w:t>Advertising campaigns specifically urging stakeholders to support them in NIRF surveys.</w:t>
      </w:r>
    </w:p>
    <w:p>
      <w:pPr>
        <w:spacing w:after="40"/>
        <w:ind w:left="1247" w:hanging="357"/>
      </w:pPr>
      <w:r>
        <w:rPr>
          <w:rFonts w:ascii="Cambria" w:hAnsi="Cambria" w:eastAsia="Cambria"/>
          <w:b w:val="0"/>
          <w:i w:val="0"/>
          <w:sz w:val="22"/>
        </w:rPr>
        <w:t>▪</w:t>
        <w:tab/>
      </w:r>
      <w:r>
        <w:rPr>
          <w:rFonts w:ascii="Cambria" w:hAnsi="Cambria" w:eastAsia="Cambria"/>
          <w:b w:val="0"/>
          <w:i w:val="0"/>
          <w:sz w:val="22"/>
        </w:rPr>
        <w:t>Incentivizing or pressuring students, alumni, or employers to cast favourable opinions.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NIRF's Position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Such practices are strictly prohibited, as they compromise the objectivity and integrity of the survey process.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aims to ensure that perception scores are based on genuine professional experience and reputation, not artificial influence or marketing tactics.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Penalty for Violation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an institution is found guilty of canvassing:</w:t>
      </w:r>
    </w:p>
    <w:p>
      <w:pPr>
        <w:spacing w:after="40"/>
        <w:ind w:left="1247" w:hanging="357"/>
      </w:pPr>
      <w:r>
        <w:rPr>
          <w:rFonts w:ascii="Cambria" w:hAnsi="Cambria" w:eastAsia="Cambria"/>
          <w:b w:val="0"/>
          <w:i w:val="0"/>
          <w:sz w:val="22"/>
        </w:rPr>
        <w:t>▪</w:t>
        <w:tab/>
      </w:r>
      <w:r>
        <w:rPr>
          <w:rFonts w:ascii="Cambria" w:hAnsi="Cambria" w:eastAsia="Cambria"/>
          <w:b w:val="0"/>
          <w:i w:val="0"/>
          <w:sz w:val="22"/>
        </w:rPr>
        <w:t>All votes received in the survey will be nullified (i.e., their perception score will be set to zero).</w:t>
      </w:r>
    </w:p>
    <w:p>
      <w:pPr>
        <w:spacing w:after="40"/>
        <w:ind w:left="1247" w:hanging="357"/>
      </w:pPr>
      <w:r>
        <w:rPr>
          <w:rFonts w:ascii="Cambria" w:hAnsi="Cambria" w:eastAsia="Cambria"/>
          <w:b w:val="0"/>
          <w:i w:val="0"/>
          <w:sz w:val="22"/>
        </w:rPr>
        <w:t>▪</w:t>
        <w:tab/>
      </w:r>
      <w:r>
        <w:rPr>
          <w:rFonts w:ascii="Cambria" w:hAnsi="Cambria" w:eastAsia="Cambria"/>
          <w:b w:val="0"/>
          <w:i w:val="0"/>
          <w:sz w:val="22"/>
        </w:rPr>
        <w:t>This can significantly reduce their overall NIRF score, since Perception carries 10% weight in the ranking framework.</w:t>
      </w:r>
    </w:p>
    <w:p>
      <w:pPr>
        <w:spacing w:after="40"/>
        <w:ind w:left="1247" w:hanging="357"/>
      </w:pPr>
      <w:r>
        <w:rPr>
          <w:rFonts w:ascii="Cambria" w:hAnsi="Cambria" w:eastAsia="Cambria"/>
          <w:b w:val="0"/>
          <w:i w:val="0"/>
          <w:sz w:val="22"/>
        </w:rPr>
        <w:t>▪</w:t>
        <w:tab/>
      </w:r>
      <w:r>
        <w:rPr>
          <w:rFonts w:ascii="Cambria" w:hAnsi="Cambria" w:eastAsia="Cambria"/>
          <w:b w:val="0"/>
          <w:i w:val="0"/>
          <w:sz w:val="22"/>
        </w:rPr>
        <w:t>Repeat violations may also damage institutional reputation and credibility.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How NIRF Detects Violations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Monitoring of email traffic and reports from survey respondents.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 of spam detection tools to identify bulk promotional emails.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Complaints raised by stakeholders who receive such canvassing communications.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Implications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maintain a code of ethical conduct during the ranking cycle.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They should not engage in canvassing, but instead focus on genuine quality improvements that naturally build reputation.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encouraged to improve perception scores through:</w:t>
      </w:r>
    </w:p>
    <w:p>
      <w:pPr>
        <w:spacing w:after="40"/>
        <w:ind w:left="1247" w:hanging="357"/>
      </w:pPr>
      <w:r>
        <w:rPr>
          <w:rFonts w:ascii="Cambria" w:hAnsi="Cambria" w:eastAsia="Cambria"/>
          <w:b w:val="0"/>
          <w:i w:val="0"/>
          <w:sz w:val="22"/>
        </w:rPr>
        <w:t>▪</w:t>
        <w:tab/>
      </w:r>
      <w:r>
        <w:rPr>
          <w:rFonts w:ascii="Cambria" w:hAnsi="Cambria" w:eastAsia="Cambria"/>
          <w:b w:val="0"/>
          <w:i w:val="0"/>
          <w:sz w:val="22"/>
        </w:rPr>
        <w:t>Strong academic-industry partnerships.</w:t>
      </w:r>
    </w:p>
    <w:p>
      <w:pPr>
        <w:spacing w:after="40"/>
        <w:ind w:left="1247" w:hanging="357"/>
      </w:pPr>
      <w:r>
        <w:rPr>
          <w:rFonts w:ascii="Cambria" w:hAnsi="Cambria" w:eastAsia="Cambria"/>
          <w:b w:val="0"/>
          <w:i w:val="0"/>
          <w:sz w:val="22"/>
        </w:rPr>
        <w:t>▪</w:t>
        <w:tab/>
      </w:r>
      <w:r>
        <w:rPr>
          <w:rFonts w:ascii="Cambria" w:hAnsi="Cambria" w:eastAsia="Cambria"/>
          <w:b w:val="0"/>
          <w:i w:val="0"/>
          <w:sz w:val="22"/>
        </w:rPr>
        <w:t>High-quality research output.</w:t>
      </w:r>
    </w:p>
    <w:p>
      <w:pPr>
        <w:spacing w:after="40"/>
        <w:ind w:left="1247" w:hanging="357"/>
      </w:pPr>
      <w:r>
        <w:rPr>
          <w:rFonts w:ascii="Cambria" w:hAnsi="Cambria" w:eastAsia="Cambria"/>
          <w:b w:val="0"/>
          <w:i w:val="0"/>
          <w:sz w:val="22"/>
        </w:rPr>
        <w:t>▪</w:t>
        <w:tab/>
      </w:r>
      <w:r>
        <w:rPr>
          <w:rFonts w:ascii="Cambria" w:hAnsi="Cambria" w:eastAsia="Cambria"/>
          <w:b w:val="0"/>
          <w:i w:val="0"/>
          <w:sz w:val="22"/>
        </w:rPr>
        <w:t>Alumni success and recognition.</w:t>
      </w:r>
    </w:p>
    <w:p>
      <w:pPr>
        <w:spacing w:after="40"/>
        <w:ind w:left="1247" w:hanging="357"/>
      </w:pPr>
      <w:r>
        <w:rPr>
          <w:rFonts w:ascii="Cambria" w:hAnsi="Cambria" w:eastAsia="Cambria"/>
          <w:b w:val="0"/>
          <w:i w:val="0"/>
          <w:sz w:val="22"/>
        </w:rPr>
        <w:t>▪</w:t>
        <w:tab/>
      </w:r>
      <w:r>
        <w:rPr>
          <w:rFonts w:ascii="Cambria" w:hAnsi="Cambria" w:eastAsia="Cambria"/>
          <w:b w:val="0"/>
          <w:i w:val="0"/>
          <w:sz w:val="22"/>
        </w:rPr>
        <w:t>Participation in national and international academic networks.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Key Takeaway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Perception must be earned, not manipulated.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Promotional emails during the ranking process not only fail to improve scores but can backfire drastically, leading to a zero perception score.</w:t>
      </w:r>
    </w:p>
    <w:p>
      <w:pPr>
        <w:keepNext/>
        <w:spacing w:before="200" w:after="100"/>
      </w:pPr>
      <w:r>
        <w:rPr>
          <w:rFonts w:ascii="Cambria" w:hAnsi="Cambria" w:eastAsia="Cambria"/>
          <w:b/>
          <w:i w:val="0"/>
          <w:color w:val="1F3A5F"/>
          <w:sz w:val="26"/>
        </w:rPr>
        <w:t>Do's and Don'ts Checklist for institutions during the NIRF survey phase</w:t>
      </w:r>
    </w:p>
    <w:p>
      <w:pPr>
        <w:spacing w:after="40" w:line="276" w:lineRule="auto"/>
      </w:pPr>
      <w:r>
        <w:rPr>
          <w:rFonts w:ascii="Cambria" w:hAnsi="Cambria" w:eastAsia="Cambria"/>
          <w:b/>
          <w:i w:val="0"/>
          <w:sz w:val="22"/>
        </w:rPr>
        <w:t>Do's for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Provide Accurate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Submit institutional data in the prescribed format without exaggeration or omission.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Maintain Transparency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Host the submitted data on your institution's official website under a clear NIRF link.</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Encourage Genuine Engagement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Build long-term goodwill with alumni, industry, and academic peers through collaborations, not canvassing.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Ensure Ethical Practices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Train staff and committees about ethical guidelines in ranking participation.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Prepare Evidence Repository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Keep audited records, research outputs, placement reports, and diversity data ready for possible NIRF 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Monitor Communications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 no faculty, staff, or students send messages that can be interpreted as canvassing.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Promote Quality through Action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Focus on academic achievements, research contributions, and community service to naturally improve perception.</w:t>
      </w:r>
    </w:p>
    <w:p>
      <w:pPr>
        <w:spacing w:after="40" w:line="276" w:lineRule="auto"/>
      </w:pPr>
      <w:r>
        <w:rPr>
          <w:rFonts w:ascii="Cambria" w:hAnsi="Cambria" w:eastAsia="Cambria"/>
          <w:b/>
          <w:i w:val="0"/>
          <w:sz w:val="22"/>
        </w:rPr>
        <w:t>Don'ts for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No Canvassing or Promotional Emails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Do not send bulk emails or messages asking stakeholders to vote positively in perception surveys.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No Misrepresentation of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Avoid inflating publication counts, placements, faculty strength, or infrastructure claims.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No Incentivizing Stakeholders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Do not offer benefits or rewards to alumni, students, or employers for favourable survey responses.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No Pressurizing Students or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Discourage internal campaigns urging staff or students to influence survey outcomes.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No Last-minute Cosmetic Changes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Avoid temporary measures (like short-term faculty appointments) solely for boosting rankings.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No Withholding Negative Feedback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Accept and address stakeholder comments transparently instead of suppressing or ignoring them.</w:t>
      </w:r>
    </w:p>
    <w:p>
      <w:pPr>
        <w:spacing w:after="40" w:line="276" w:lineRule="auto"/>
      </w:pPr>
      <w:r>
        <w:rPr>
          <w:rFonts w:ascii="Cambria" w:hAnsi="Cambria" w:eastAsia="Cambria"/>
          <w:b/>
          <w:i w:val="0"/>
          <w:sz w:val="22"/>
        </w:rPr>
        <w:t>Key Reminder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Violations (especially canvassing) may result in Perception scores being set to zero and can even damage institutional credibility in future ranking cycles.</w:t>
      </w:r>
    </w:p>
    <w:p>
      <w:r>
        <w:br w:type="page"/>
      </w:r>
    </w:p>
    <w:p>
      <w:pPr>
        <w:keepNext/>
        <w:spacing w:before="360" w:after="160"/>
      </w:pPr>
      <w:r>
        <w:rPr>
          <w:rFonts w:ascii="Cambria" w:hAnsi="Cambria" w:eastAsia="Cambria"/>
          <w:b/>
          <w:i w:val="0"/>
          <w:color w:val="1F3A5F"/>
          <w:sz w:val="36"/>
        </w:rPr>
        <w:t>5. Implementation Details</w:t>
      </w:r>
    </w:p>
    <w:p>
      <w:pPr>
        <w:keepNext/>
        <w:spacing w:before="200" w:after="100"/>
      </w:pPr>
      <w:r>
        <w:rPr>
          <w:rFonts w:ascii="Cambria" w:hAnsi="Cambria" w:eastAsia="Cambria"/>
          <w:b/>
          <w:i w:val="0"/>
          <w:color w:val="1F3A5F"/>
          <w:sz w:val="26"/>
        </w:rPr>
        <w:t>National Board of Accreditation (NBA) as the Ranking Agency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Role of NBA in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National Board of Accreditation (NBA) has been entrusted to act as the Ranking Agency for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NBA will continue this responsibility for India Rankings 2024, just as it did in the previous year.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NBA?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NBA is an autonomous body under the Ministry of Education (MoE), Government of India.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It already has expertise in evaluating academic institutions, quality assurance, and accreditation processes.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Its experience ensures that ranking procedures are conducted with professionalism, transparency, and fairness.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Functions of NBA as Ranking Agency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Manage the end-to-end ranking process on behalf of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Collect institutional data via the official NIRF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Validate submitted data (cross-check with third-party databases like Scopus, WoS, Patent offices, AISHE).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Administer perception surveys (employers, academics, peers).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Compute scores using approved NIRF methodology and weightages.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 adherence to ethical guidelines (no canvassing, manipulation, or false reporting).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Announce results in coordination with the Ministry of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Benefits of NBA as Ranking Agency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Continuity: Institutions are already familiar with NBA's procedures from previous cycles.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Expertise: NBA brings a strong background in accreditation and evaluation aligned with outcome-based education.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Trustworthiness: NBA's independent functioning enhances credibility of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Accountability: Institutions can appeal or clarify with a recognized and established body.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Implications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follow the standardized formats and procedures prescribed by NBA for NIRF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must be prepared in alignment with NBA's accreditation-style evidence requirements (audits, documentation, verifiable proofs).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Compliance with NBA-led processes is mandatory for participation in NIRF 2024 rankings.</w:t>
      </w:r>
    </w:p>
    <w:p>
      <w:pPr>
        <w:keepNext/>
        <w:spacing w:before="200" w:after="100"/>
      </w:pPr>
      <w:r>
        <w:rPr>
          <w:rFonts w:ascii="Cambria" w:hAnsi="Cambria" w:eastAsia="Cambria"/>
          <w:b/>
          <w:i w:val="0"/>
          <w:color w:val="1F3A5F"/>
          <w:sz w:val="26"/>
        </w:rPr>
        <w:t>Registration and data submission for NIRF</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Registration Process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interested in participating in the NIRF ranking exercise must register on the official NIRF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Registration involves providing institutional details such as:</w:t>
      </w:r>
    </w:p>
    <w:p>
      <w:pPr>
        <w:spacing w:after="40"/>
        <w:ind w:left="1247" w:hanging="357"/>
      </w:pPr>
      <w:r>
        <w:rPr>
          <w:rFonts w:ascii="Cambria" w:hAnsi="Cambria" w:eastAsia="Cambria"/>
          <w:b w:val="0"/>
          <w:i w:val="0"/>
          <w:sz w:val="22"/>
        </w:rPr>
        <w:t>▪</w:t>
        <w:tab/>
      </w:r>
      <w:r>
        <w:rPr>
          <w:rFonts w:ascii="Cambria" w:hAnsi="Cambria" w:eastAsia="Cambria"/>
          <w:b w:val="0"/>
          <w:i w:val="0"/>
          <w:sz w:val="22"/>
        </w:rPr>
        <w:t>Name of institution and type (University, Engineering, Management, Medical, etc.)</w:t>
      </w:r>
    </w:p>
    <w:p>
      <w:pPr>
        <w:spacing w:after="40"/>
        <w:ind w:left="1247" w:hanging="357"/>
      </w:pPr>
      <w:r>
        <w:rPr>
          <w:rFonts w:ascii="Cambria" w:hAnsi="Cambria" w:eastAsia="Cambria"/>
          <w:b w:val="0"/>
          <w:i w:val="0"/>
          <w:sz w:val="22"/>
        </w:rPr>
        <w:t>▪</w:t>
        <w:tab/>
      </w:r>
      <w:r>
        <w:rPr>
          <w:rFonts w:ascii="Cambria" w:hAnsi="Cambria" w:eastAsia="Cambria"/>
          <w:b w:val="0"/>
          <w:i w:val="0"/>
          <w:sz w:val="22"/>
        </w:rPr>
        <w:t>Location and contact details</w:t>
      </w:r>
    </w:p>
    <w:p>
      <w:pPr>
        <w:spacing w:after="40"/>
        <w:ind w:left="1247" w:hanging="357"/>
      </w:pPr>
      <w:r>
        <w:rPr>
          <w:rFonts w:ascii="Cambria" w:hAnsi="Cambria" w:eastAsia="Cambria"/>
          <w:b w:val="0"/>
          <w:i w:val="0"/>
          <w:sz w:val="22"/>
        </w:rPr>
        <w:t>▪</w:t>
        <w:tab/>
      </w:r>
      <w:r>
        <w:rPr>
          <w:rFonts w:ascii="Cambria" w:hAnsi="Cambria" w:eastAsia="Cambria"/>
          <w:b w:val="0"/>
          <w:i w:val="0"/>
          <w:sz w:val="22"/>
        </w:rPr>
        <w:t>Accreditation/affiliation status (UGC, AICTE, NAAC, NBA, etc.)</w:t>
      </w:r>
    </w:p>
    <w:p>
      <w:pPr>
        <w:spacing w:after="40"/>
        <w:ind w:left="1247" w:hanging="357"/>
      </w:pPr>
      <w:r>
        <w:rPr>
          <w:rFonts w:ascii="Cambria" w:hAnsi="Cambria" w:eastAsia="Cambria"/>
          <w:b w:val="0"/>
          <w:i w:val="0"/>
          <w:sz w:val="22"/>
        </w:rPr>
        <w:t>▪</w:t>
        <w:tab/>
      </w:r>
      <w:r>
        <w:rPr>
          <w:rFonts w:ascii="Cambria" w:hAnsi="Cambria" w:eastAsia="Cambria"/>
          <w:b w:val="0"/>
          <w:i w:val="0"/>
          <w:sz w:val="22"/>
        </w:rPr>
        <w:t>Nodal officer details for communication with NIRF.</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Data Submission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After registration, institutions are required to submit their data online using the structured format provided on the NIRF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data submission covers all five broad parameters:</w:t>
      </w:r>
    </w:p>
    <w:p>
      <w:pPr>
        <w:spacing w:after="40"/>
        <w:ind w:left="1247" w:hanging="357"/>
      </w:pPr>
      <w:r>
        <w:rPr>
          <w:rFonts w:ascii="Cambria" w:hAnsi="Cambria" w:eastAsia="Cambria"/>
          <w:b w:val="0"/>
          <w:i w:val="0"/>
          <w:sz w:val="22"/>
        </w:rPr>
        <w:t>▪</w:t>
        <w:tab/>
      </w:r>
      <w:r>
        <w:rPr>
          <w:rFonts w:ascii="Cambria" w:hAnsi="Cambria" w:eastAsia="Cambria"/>
          <w:b w:val="0"/>
          <w:i w:val="0"/>
          <w:sz w:val="22"/>
        </w:rPr>
        <w:t>Teaching, Learning &amp; Resources (TLR)</w:t>
      </w:r>
    </w:p>
    <w:p>
      <w:pPr>
        <w:spacing w:after="40"/>
        <w:ind w:left="1247" w:hanging="357"/>
      </w:pPr>
      <w:r>
        <w:rPr>
          <w:rFonts w:ascii="Cambria" w:hAnsi="Cambria" w:eastAsia="Cambria"/>
          <w:b w:val="0"/>
          <w:i w:val="0"/>
          <w:sz w:val="22"/>
        </w:rPr>
        <w:t>▪</w:t>
        <w:tab/>
      </w:r>
      <w:r>
        <w:rPr>
          <w:rFonts w:ascii="Cambria" w:hAnsi="Cambria" w:eastAsia="Cambria"/>
          <w:b w:val="0"/>
          <w:i w:val="0"/>
          <w:sz w:val="22"/>
        </w:rPr>
        <w:t>Research &amp; Professional Practices (RP)</w:t>
      </w:r>
    </w:p>
    <w:p>
      <w:pPr>
        <w:spacing w:after="40"/>
        <w:ind w:left="1247" w:hanging="357"/>
      </w:pPr>
      <w:r>
        <w:rPr>
          <w:rFonts w:ascii="Cambria" w:hAnsi="Cambria" w:eastAsia="Cambria"/>
          <w:b w:val="0"/>
          <w:i w:val="0"/>
          <w:sz w:val="22"/>
        </w:rPr>
        <w:t>▪</w:t>
        <w:tab/>
      </w:r>
      <w:r>
        <w:rPr>
          <w:rFonts w:ascii="Cambria" w:hAnsi="Cambria" w:eastAsia="Cambria"/>
          <w:b w:val="0"/>
          <w:i w:val="0"/>
          <w:sz w:val="22"/>
        </w:rPr>
        <w:t>Graduation Outcomes (GO)</w:t>
      </w:r>
    </w:p>
    <w:p>
      <w:pPr>
        <w:spacing w:after="40"/>
        <w:ind w:left="1247" w:hanging="357"/>
      </w:pPr>
      <w:r>
        <w:rPr>
          <w:rFonts w:ascii="Cambria" w:hAnsi="Cambria" w:eastAsia="Cambria"/>
          <w:b w:val="0"/>
          <w:i w:val="0"/>
          <w:sz w:val="22"/>
        </w:rPr>
        <w:t>▪</w:t>
        <w:tab/>
      </w:r>
      <w:r>
        <w:rPr>
          <w:rFonts w:ascii="Cambria" w:hAnsi="Cambria" w:eastAsia="Cambria"/>
          <w:b w:val="0"/>
          <w:i w:val="0"/>
          <w:sz w:val="22"/>
        </w:rPr>
        <w:t>Outreach &amp; Inclusivity (OI)</w:t>
      </w:r>
    </w:p>
    <w:p>
      <w:pPr>
        <w:spacing w:after="40"/>
        <w:ind w:left="1247" w:hanging="357"/>
      </w:pPr>
      <w:r>
        <w:rPr>
          <w:rFonts w:ascii="Cambria" w:hAnsi="Cambria" w:eastAsia="Cambria"/>
          <w:b w:val="0"/>
          <w:i w:val="0"/>
          <w:sz w:val="22"/>
        </w:rPr>
        <w:t>▪</w:t>
        <w:tab/>
      </w:r>
      <w:r>
        <w:rPr>
          <w:rFonts w:ascii="Cambria" w:hAnsi="Cambria" w:eastAsia="Cambria"/>
          <w:b w:val="0"/>
          <w:i w:val="0"/>
          <w:sz w:val="22"/>
        </w:rPr>
        <w:t>Perception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Sub-parameters and metrics within each category must also be filled accurately.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Online Facility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provides a dedicated online data submission facility to ensure standardization.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system includes:</w:t>
      </w:r>
    </w:p>
    <w:p>
      <w:pPr>
        <w:spacing w:after="40"/>
        <w:ind w:left="1247" w:hanging="357"/>
      </w:pPr>
      <w:r>
        <w:rPr>
          <w:rFonts w:ascii="Cambria" w:hAnsi="Cambria" w:eastAsia="Cambria"/>
          <w:b w:val="0"/>
          <w:i w:val="0"/>
          <w:sz w:val="22"/>
        </w:rPr>
        <w:t>▪</w:t>
        <w:tab/>
      </w:r>
      <w:r>
        <w:rPr>
          <w:rFonts w:ascii="Cambria" w:hAnsi="Cambria" w:eastAsia="Cambria"/>
          <w:b w:val="0"/>
          <w:i w:val="0"/>
          <w:sz w:val="22"/>
        </w:rPr>
        <w:t>Data input forms for each parameter.</w:t>
      </w:r>
    </w:p>
    <w:p>
      <w:pPr>
        <w:spacing w:after="40"/>
        <w:ind w:left="1247" w:hanging="357"/>
      </w:pPr>
      <w:r>
        <w:rPr>
          <w:rFonts w:ascii="Cambria" w:hAnsi="Cambria" w:eastAsia="Cambria"/>
          <w:b w:val="0"/>
          <w:i w:val="0"/>
          <w:sz w:val="22"/>
        </w:rPr>
        <w:t>▪</w:t>
        <w:tab/>
      </w:r>
      <w:r>
        <w:rPr>
          <w:rFonts w:ascii="Cambria" w:hAnsi="Cambria" w:eastAsia="Cambria"/>
          <w:b w:val="0"/>
          <w:i w:val="0"/>
          <w:sz w:val="22"/>
        </w:rPr>
        <w:t>Drop-down menus and fixed formats to avoid misreporting.</w:t>
      </w:r>
    </w:p>
    <w:p>
      <w:pPr>
        <w:spacing w:after="40"/>
        <w:ind w:left="1247" w:hanging="357"/>
      </w:pPr>
      <w:r>
        <w:rPr>
          <w:rFonts w:ascii="Cambria" w:hAnsi="Cambria" w:eastAsia="Cambria"/>
          <w:b w:val="0"/>
          <w:i w:val="0"/>
          <w:sz w:val="22"/>
        </w:rPr>
        <w:t>▪</w:t>
        <w:tab/>
      </w:r>
      <w:r>
        <w:rPr>
          <w:rFonts w:ascii="Cambria" w:hAnsi="Cambria" w:eastAsia="Cambria"/>
          <w:b w:val="0"/>
          <w:i w:val="0"/>
          <w:sz w:val="22"/>
        </w:rPr>
        <w:t>Upload options for supporting documents (PDFs, scanned reports, audited statements).</w:t>
      </w:r>
    </w:p>
    <w:p>
      <w:pPr>
        <w:spacing w:after="40"/>
        <w:ind w:left="1247" w:hanging="357"/>
      </w:pPr>
      <w:r>
        <w:rPr>
          <w:rFonts w:ascii="Cambria" w:hAnsi="Cambria" w:eastAsia="Cambria"/>
          <w:b w:val="0"/>
          <w:i w:val="0"/>
          <w:sz w:val="22"/>
        </w:rPr>
        <w:t>▪</w:t>
        <w:tab/>
      </w:r>
      <w:r>
        <w:rPr>
          <w:rFonts w:ascii="Cambria" w:hAnsi="Cambria" w:eastAsia="Cambria"/>
          <w:b w:val="0"/>
          <w:i w:val="0"/>
          <w:sz w:val="22"/>
        </w:rPr>
        <w:t>Validation checks to ensure data completeness.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Advantages of Online Submission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Standardization: Ensures uniformity across all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Transparency: Institutions know exactly what data is required and how it will be used.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Efficiency: Eliminates paperwork, manual errors, and delays.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Traceability: Data submissions are logged with timestamps for accountability.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Institutional Responsibility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submitted must be accurate, verifiable, and free of exaggeration.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required to host the same submitted data on their official website (as per transparency norms).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Failure to register or submit data within the deadline results in exclusion from that year's ranking exercise.</w:t>
      </w:r>
    </w:p>
    <w:p>
      <w:pPr>
        <w:spacing w:after="120" w:line="276" w:lineRule="auto"/>
        <w:jc w:val="both"/>
      </w:pPr>
      <w:r>
        <w:rPr>
          <w:rFonts w:ascii="Cambria" w:hAnsi="Cambria" w:eastAsia="Cambria"/>
          <w:b/>
          <w:i w:val="0"/>
          <w:sz w:val="22"/>
        </w:rPr>
        <w:t xml:space="preserve">Key takeaway: </w:t>
      </w:r>
      <w:r>
        <w:rPr>
          <w:rFonts w:ascii="Cambria" w:hAnsi="Cambria" w:eastAsia="Cambria"/>
          <w:b w:val="0"/>
          <w:i w:val="0"/>
          <w:sz w:val="22"/>
        </w:rPr>
        <w:t>Participation in NIRF rankings begins with registration on the NIRF portal followed by structured online data submission, ensuring uniformity, transparency, and fairness across all institutions.</w:t>
      </w:r>
    </w:p>
    <w:p>
      <w:pPr>
        <w:keepNext/>
        <w:spacing w:before="200" w:after="100"/>
      </w:pPr>
      <w:r>
        <w:rPr>
          <w:rFonts w:ascii="Cambria" w:hAnsi="Cambria" w:eastAsia="Cambria"/>
          <w:b/>
          <w:i w:val="0"/>
          <w:color w:val="1F3A5F"/>
          <w:sz w:val="26"/>
        </w:rPr>
        <w:t>NIRF guideline on data authentication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Need for Authentication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maintain the credibility and integrity of rankings, NIRF cannot rely solely on self-reported institutional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Authentication ensures that institutions are not inflating numbers or misrepresenting achievements.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Who Conducts Authentication?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itself: Through internal validation checks on submitted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Partner agencies: Third-party organizations, government bodies, or recognized data providers may assist in verification.</w:t>
      </w:r>
    </w:p>
    <w:p>
      <w:pPr>
        <w:spacing w:after="40"/>
        <w:ind w:left="1247" w:hanging="357"/>
      </w:pPr>
      <w:r>
        <w:rPr>
          <w:rFonts w:ascii="Cambria" w:hAnsi="Cambria" w:eastAsia="Cambria"/>
          <w:b w:val="0"/>
          <w:i w:val="0"/>
          <w:sz w:val="22"/>
        </w:rPr>
        <w:t>▪</w:t>
        <w:tab/>
      </w:r>
      <w:r>
        <w:rPr>
          <w:rFonts w:ascii="Cambria" w:hAnsi="Cambria" w:eastAsia="Cambria"/>
          <w:b w:val="0"/>
          <w:i w:val="0"/>
          <w:sz w:val="22"/>
        </w:rPr>
        <w:t>Examples: Scopus, Web of Science, Indian Patent Office, UGC, AICTE, NAAC, NBA, DST, DBT.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Scope of Authentication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Research &amp; Publications: Verified through citation databases (Scopus, WoS, PubMed).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&amp; IPR: Verified via Indian Patent Office (IPO), WIPO, or other patent registries.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&amp; Student Strength: Cross-checked with AISHE, UGC, AICTE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Financial Data: Reviewed through audited reports and government funding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Graduation Outcomes: Placement claims checked with employer feedback, alumni records, or industry surveys.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Inclusivity Data: Cross-referenced with government scholarships and demographic records.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When Authentication is Applied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Wherever necessary: If data looks inconsistent, suspicious, or unusually high/low.</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Where feasible: If reliable external sources exist to validate the information.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flexibility so that NIRF can adapt verification methods depending on the type of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Benefits of Authentication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Transparency: Institutions are held accountable for accuracy.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Fairness: Prevents manipulation, ensuring all institutions are judged equally.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Reliability: Stakeholders (students, parents, policymakers) can trust the ranking outcomes.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Continuous Improvement: Encourages institutions to maintain accurate and standardized data systems.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Institutional Implications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keep supporting documents and evidence repositories ready (faculty lists, financial audits, placement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They should ensure their research and patents are properly indexed in international/national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Failure in authentication may lead to downgraded scores or even exclusion from the rankings.</w:t>
      </w:r>
    </w:p>
    <w:p>
      <w:pPr>
        <w:keepNext/>
        <w:spacing w:before="200" w:after="100"/>
      </w:pPr>
      <w:r>
        <w:rPr>
          <w:rFonts w:ascii="Cambria" w:hAnsi="Cambria" w:eastAsia="Cambria"/>
          <w:b/>
          <w:i w:val="0"/>
          <w:color w:val="1F3A5F"/>
          <w:sz w:val="26"/>
        </w:rPr>
        <w:t>NIRF Data Authentication Responsibility Matrix</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1644"/>
            <w:shd w:val="clear" w:color="auto" w:fill="1F3A5F"/>
          </w:tcPr>
          <w:p>
            <w:pPr>
              <w:spacing w:after="40" w:line="240" w:lineRule="auto"/>
              <w:jc w:val="center"/>
            </w:pPr>
            <w:r/>
            <w:r>
              <w:rPr>
                <w:rFonts w:ascii="Cambria" w:hAnsi="Cambria" w:eastAsia="Cambria"/>
                <w:b/>
                <w:i w:val="0"/>
                <w:color w:val="FFFFFF"/>
                <w:sz w:val="22"/>
              </w:rPr>
              <w:t>Parameter</w:t>
            </w:r>
          </w:p>
        </w:tc>
        <w:tc>
          <w:tcPr>
            <w:tcW w:type="dxa" w:w="2664"/>
            <w:shd w:val="clear" w:color="auto" w:fill="1F3A5F"/>
          </w:tcPr>
          <w:p>
            <w:pPr>
              <w:spacing w:after="40" w:line="240" w:lineRule="auto"/>
              <w:jc w:val="center"/>
            </w:pPr>
            <w:r/>
            <w:r>
              <w:rPr>
                <w:rFonts w:ascii="Cambria" w:hAnsi="Cambria" w:eastAsia="Cambria"/>
                <w:b/>
                <w:i w:val="0"/>
                <w:color w:val="FFFFFF"/>
                <w:sz w:val="22"/>
              </w:rPr>
              <w:t>Data to be Authenticated</w:t>
            </w:r>
          </w:p>
        </w:tc>
        <w:tc>
          <w:tcPr>
            <w:tcW w:type="dxa" w:w="2494"/>
            <w:shd w:val="clear" w:color="auto" w:fill="1F3A5F"/>
          </w:tcPr>
          <w:p>
            <w:pPr>
              <w:spacing w:after="40" w:line="240" w:lineRule="auto"/>
              <w:jc w:val="center"/>
            </w:pPr>
            <w:r/>
            <w:r>
              <w:rPr>
                <w:rFonts w:ascii="Cambria" w:hAnsi="Cambria" w:eastAsia="Cambria"/>
                <w:b/>
                <w:i w:val="0"/>
                <w:color w:val="FFFFFF"/>
                <w:sz w:val="22"/>
              </w:rPr>
              <w:t>Agency / Source</w:t>
            </w:r>
          </w:p>
        </w:tc>
        <w:tc>
          <w:tcPr>
            <w:tcW w:type="dxa" w:w="2608"/>
            <w:shd w:val="clear" w:color="auto" w:fill="1F3A5F"/>
          </w:tcPr>
          <w:p>
            <w:pPr>
              <w:spacing w:after="40" w:line="240" w:lineRule="auto"/>
              <w:jc w:val="center"/>
            </w:pPr>
            <w:r/>
            <w:r>
              <w:rPr>
                <w:rFonts w:ascii="Cambria" w:hAnsi="Cambria" w:eastAsia="Cambria"/>
                <w:b/>
                <w:i w:val="0"/>
                <w:color w:val="FFFFFF"/>
                <w:sz w:val="22"/>
              </w:rPr>
              <w:t>Mode of Verification</w:t>
            </w:r>
          </w:p>
        </w:tc>
      </w:tr>
      <w:tr>
        <w:tc>
          <w:tcPr>
            <w:tcW w:type="dxa" w:w="1644"/>
          </w:tcPr>
          <w:p>
            <w:pPr>
              <w:spacing w:after="40" w:line="240" w:lineRule="auto"/>
              <w:jc w:val="left"/>
            </w:pPr>
            <w:r/>
            <w:r>
              <w:rPr>
                <w:rFonts w:ascii="Cambria" w:hAnsi="Cambria" w:eastAsia="Cambria"/>
                <w:b w:val="0"/>
                <w:i w:val="0"/>
                <w:sz w:val="22"/>
              </w:rPr>
              <w:t>Teaching, Learning &amp; Resources (TLR)</w:t>
            </w:r>
          </w:p>
        </w:tc>
        <w:tc>
          <w:tcPr>
            <w:tcW w:type="dxa" w:w="2664"/>
          </w:tcPr>
          <w:p>
            <w:pPr>
              <w:spacing w:after="40" w:line="240" w:lineRule="auto"/>
              <w:jc w:val="center"/>
            </w:pPr>
            <w:r/>
            <w:r>
              <w:rPr>
                <w:rFonts w:ascii="Cambria" w:hAnsi="Cambria" w:eastAsia="Cambria"/>
                <w:b w:val="0"/>
                <w:i w:val="0"/>
                <w:sz w:val="22"/>
              </w:rPr>
              <w:t>Student enrollment, faculty count, qualifications, financial resources</w:t>
            </w:r>
          </w:p>
        </w:tc>
        <w:tc>
          <w:tcPr>
            <w:tcW w:type="dxa" w:w="2494"/>
          </w:tcPr>
          <w:p>
            <w:pPr>
              <w:spacing w:after="40" w:line="240" w:lineRule="auto"/>
              <w:jc w:val="center"/>
            </w:pPr>
            <w:r/>
            <w:r>
              <w:rPr>
                <w:rFonts w:ascii="Cambria" w:hAnsi="Cambria" w:eastAsia="Cambria"/>
                <w:b w:val="0"/>
                <w:i w:val="0"/>
                <w:sz w:val="22"/>
              </w:rPr>
              <w:t>AISHE, UGC, AICTE, Institutional audited reports</w:t>
            </w:r>
          </w:p>
        </w:tc>
        <w:tc>
          <w:tcPr>
            <w:tcW w:type="dxa" w:w="2608"/>
          </w:tcPr>
          <w:p>
            <w:pPr>
              <w:spacing w:after="40" w:line="240" w:lineRule="auto"/>
              <w:jc w:val="center"/>
            </w:pPr>
            <w:r/>
            <w:r>
              <w:rPr>
                <w:rFonts w:ascii="Cambria" w:hAnsi="Cambria" w:eastAsia="Cambria"/>
                <w:b w:val="0"/>
                <w:i w:val="0"/>
                <w:sz w:val="22"/>
              </w:rPr>
              <w:t>Cross-check with official databases, verify documents, review audit reports</w:t>
            </w:r>
          </w:p>
        </w:tc>
      </w:tr>
      <w:tr>
        <w:tc>
          <w:tcPr>
            <w:tcW w:type="dxa" w:w="1644"/>
            <w:shd w:val="clear" w:color="auto" w:fill="DCE6F1"/>
          </w:tcPr>
          <w:p>
            <w:pPr>
              <w:spacing w:after="40" w:line="240" w:lineRule="auto"/>
              <w:jc w:val="left"/>
            </w:pPr>
            <w:r/>
            <w:r>
              <w:rPr>
                <w:rFonts w:ascii="Cambria" w:hAnsi="Cambria" w:eastAsia="Cambria"/>
                <w:b w:val="0"/>
                <w:i w:val="0"/>
                <w:sz w:val="22"/>
              </w:rPr>
              <w:t>Research &amp; Professional Practices (RP)</w:t>
            </w:r>
          </w:p>
        </w:tc>
        <w:tc>
          <w:tcPr>
            <w:tcW w:type="dxa" w:w="2664"/>
            <w:shd w:val="clear" w:color="auto" w:fill="DCE6F1"/>
          </w:tcPr>
          <w:p>
            <w:pPr>
              <w:spacing w:after="40" w:line="240" w:lineRule="auto"/>
              <w:jc w:val="center"/>
            </w:pPr>
            <w:r/>
            <w:r>
              <w:rPr>
                <w:rFonts w:ascii="Cambria" w:hAnsi="Cambria" w:eastAsia="Cambria"/>
                <w:b w:val="0"/>
                <w:i w:val="0"/>
                <w:sz w:val="22"/>
              </w:rPr>
              <w:t>Publications, citations, research quality</w:t>
            </w:r>
          </w:p>
        </w:tc>
        <w:tc>
          <w:tcPr>
            <w:tcW w:type="dxa" w:w="2494"/>
            <w:shd w:val="clear" w:color="auto" w:fill="DCE6F1"/>
          </w:tcPr>
          <w:p>
            <w:pPr>
              <w:spacing w:after="40" w:line="240" w:lineRule="auto"/>
              <w:jc w:val="center"/>
            </w:pPr>
            <w:r/>
            <w:r>
              <w:rPr>
                <w:rFonts w:ascii="Cambria" w:hAnsi="Cambria" w:eastAsia="Cambria"/>
                <w:b w:val="0"/>
                <w:i w:val="0"/>
                <w:sz w:val="22"/>
              </w:rPr>
              <w:t>Scopus, Web of Science (WoS), PubMed (Medical), Indian Citation Index</w:t>
            </w:r>
          </w:p>
        </w:tc>
        <w:tc>
          <w:tcPr>
            <w:tcW w:type="dxa" w:w="2608"/>
            <w:shd w:val="clear" w:color="auto" w:fill="DCE6F1"/>
          </w:tcPr>
          <w:p>
            <w:pPr>
              <w:spacing w:after="40" w:line="240" w:lineRule="auto"/>
              <w:jc w:val="center"/>
            </w:pPr>
            <w:r/>
            <w:r>
              <w:rPr>
                <w:rFonts w:ascii="Cambria" w:hAnsi="Cambria" w:eastAsia="Cambria"/>
                <w:b w:val="0"/>
                <w:i w:val="0"/>
                <w:sz w:val="22"/>
              </w:rPr>
              <w:t>Direct database queries, citation reports, h-index validation</w:t>
            </w:r>
          </w:p>
        </w:tc>
      </w:tr>
      <w:tr>
        <w:tc>
          <w:tcPr>
            <w:tcW w:type="dxa" w:w="1644"/>
          </w:tcPr>
          <w:p>
            <w:pPr>
              <w:spacing w:after="40" w:line="240" w:lineRule="auto"/>
              <w:jc w:val="left"/>
            </w:pPr>
            <w:r/>
            <w:r>
              <w:rPr>
                <w:rFonts w:ascii="Cambria" w:hAnsi="Cambria" w:eastAsia="Cambria"/>
                <w:b w:val="0"/>
                <w:i w:val="0"/>
                <w:sz w:val="22"/>
              </w:rPr>
              <w:t>Patents &amp; IPR (RP sub-metric)</w:t>
            </w:r>
          </w:p>
        </w:tc>
        <w:tc>
          <w:tcPr>
            <w:tcW w:type="dxa" w:w="2664"/>
          </w:tcPr>
          <w:p>
            <w:pPr>
              <w:spacing w:after="40" w:line="240" w:lineRule="auto"/>
              <w:jc w:val="center"/>
            </w:pPr>
            <w:r/>
            <w:r>
              <w:rPr>
                <w:rFonts w:ascii="Cambria" w:hAnsi="Cambria" w:eastAsia="Cambria"/>
                <w:b w:val="0"/>
                <w:i w:val="0"/>
                <w:sz w:val="22"/>
              </w:rPr>
              <w:t>Patents filed, published, granted, commercialized</w:t>
            </w:r>
          </w:p>
        </w:tc>
        <w:tc>
          <w:tcPr>
            <w:tcW w:type="dxa" w:w="2494"/>
          </w:tcPr>
          <w:p>
            <w:pPr>
              <w:spacing w:after="40" w:line="240" w:lineRule="auto"/>
              <w:jc w:val="center"/>
            </w:pPr>
            <w:r/>
            <w:r>
              <w:rPr>
                <w:rFonts w:ascii="Cambria" w:hAnsi="Cambria" w:eastAsia="Cambria"/>
                <w:b w:val="0"/>
                <w:i w:val="0"/>
                <w:sz w:val="22"/>
              </w:rPr>
              <w:t>Indian Patent Office (IPO), WIPO, USPTO, EPO</w:t>
            </w:r>
          </w:p>
        </w:tc>
        <w:tc>
          <w:tcPr>
            <w:tcW w:type="dxa" w:w="2608"/>
          </w:tcPr>
          <w:p>
            <w:pPr>
              <w:spacing w:after="40" w:line="240" w:lineRule="auto"/>
              <w:jc w:val="center"/>
            </w:pPr>
            <w:r/>
            <w:r>
              <w:rPr>
                <w:rFonts w:ascii="Cambria" w:hAnsi="Cambria" w:eastAsia="Cambria"/>
                <w:b w:val="0"/>
                <w:i w:val="0"/>
                <w:sz w:val="22"/>
              </w:rPr>
              <w:t>Patent number lookup, verification from patent registries</w:t>
            </w:r>
          </w:p>
        </w:tc>
      </w:tr>
      <w:tr>
        <w:tc>
          <w:tcPr>
            <w:tcW w:type="dxa" w:w="1644"/>
            <w:shd w:val="clear" w:color="auto" w:fill="DCE6F1"/>
          </w:tcPr>
          <w:p>
            <w:pPr>
              <w:spacing w:after="40" w:line="240" w:lineRule="auto"/>
              <w:jc w:val="left"/>
            </w:pPr>
            <w:r/>
            <w:r>
              <w:rPr>
                <w:rFonts w:ascii="Cambria" w:hAnsi="Cambria" w:eastAsia="Cambria"/>
                <w:b w:val="0"/>
                <w:i w:val="0"/>
                <w:sz w:val="22"/>
              </w:rPr>
              <w:t>Projects &amp; Consultancy (RP sub-metric)</w:t>
            </w:r>
          </w:p>
        </w:tc>
        <w:tc>
          <w:tcPr>
            <w:tcW w:type="dxa" w:w="2664"/>
            <w:shd w:val="clear" w:color="auto" w:fill="DCE6F1"/>
          </w:tcPr>
          <w:p>
            <w:pPr>
              <w:spacing w:after="40" w:line="240" w:lineRule="auto"/>
              <w:jc w:val="center"/>
            </w:pPr>
            <w:r/>
            <w:r>
              <w:rPr>
                <w:rFonts w:ascii="Cambria" w:hAnsi="Cambria" w:eastAsia="Cambria"/>
                <w:b w:val="0"/>
                <w:i w:val="0"/>
                <w:sz w:val="22"/>
              </w:rPr>
              <w:t>Sponsored projects, consultancy revenue, executive programs</w:t>
            </w:r>
          </w:p>
        </w:tc>
        <w:tc>
          <w:tcPr>
            <w:tcW w:type="dxa" w:w="2494"/>
            <w:shd w:val="clear" w:color="auto" w:fill="DCE6F1"/>
          </w:tcPr>
          <w:p>
            <w:pPr>
              <w:spacing w:after="40" w:line="240" w:lineRule="auto"/>
              <w:jc w:val="center"/>
            </w:pPr>
            <w:r/>
            <w:r>
              <w:rPr>
                <w:rFonts w:ascii="Cambria" w:hAnsi="Cambria" w:eastAsia="Cambria"/>
                <w:b w:val="0"/>
                <w:i w:val="0"/>
                <w:sz w:val="22"/>
              </w:rPr>
              <w:t>DST, DBT, ICSSR, AICTE, UGC, industry partners</w:t>
            </w:r>
          </w:p>
        </w:tc>
        <w:tc>
          <w:tcPr>
            <w:tcW w:type="dxa" w:w="2608"/>
            <w:shd w:val="clear" w:color="auto" w:fill="DCE6F1"/>
          </w:tcPr>
          <w:p>
            <w:pPr>
              <w:spacing w:after="40" w:line="240" w:lineRule="auto"/>
              <w:jc w:val="center"/>
            </w:pPr>
            <w:r/>
            <w:r>
              <w:rPr>
                <w:rFonts w:ascii="Cambria" w:hAnsi="Cambria" w:eastAsia="Cambria"/>
                <w:b w:val="0"/>
                <w:i w:val="0"/>
                <w:sz w:val="22"/>
              </w:rPr>
              <w:t>Project sanction letters, funding agency databases, MoU verification</w:t>
            </w:r>
          </w:p>
        </w:tc>
      </w:tr>
      <w:tr>
        <w:tc>
          <w:tcPr>
            <w:tcW w:type="dxa" w:w="1644"/>
          </w:tcPr>
          <w:p>
            <w:pPr>
              <w:spacing w:after="40" w:line="240" w:lineRule="auto"/>
              <w:jc w:val="left"/>
            </w:pPr>
            <w:r/>
            <w:r>
              <w:rPr>
                <w:rFonts w:ascii="Cambria" w:hAnsi="Cambria" w:eastAsia="Cambria"/>
                <w:b w:val="0"/>
                <w:i w:val="0"/>
                <w:sz w:val="22"/>
              </w:rPr>
              <w:t>Graduation Outcomes (GO)</w:t>
            </w:r>
          </w:p>
        </w:tc>
        <w:tc>
          <w:tcPr>
            <w:tcW w:type="dxa" w:w="2664"/>
          </w:tcPr>
          <w:p>
            <w:pPr>
              <w:spacing w:after="40" w:line="240" w:lineRule="auto"/>
              <w:jc w:val="center"/>
            </w:pPr>
            <w:r/>
            <w:r>
              <w:rPr>
                <w:rFonts w:ascii="Cambria" w:hAnsi="Cambria" w:eastAsia="Cambria"/>
                <w:b w:val="0"/>
                <w:i w:val="0"/>
                <w:sz w:val="22"/>
              </w:rPr>
              <w:t>Placements, higher studies, median salary, exam results, Ph.D. completions</w:t>
            </w:r>
          </w:p>
        </w:tc>
        <w:tc>
          <w:tcPr>
            <w:tcW w:type="dxa" w:w="2494"/>
          </w:tcPr>
          <w:p>
            <w:pPr>
              <w:spacing w:after="40" w:line="240" w:lineRule="auto"/>
              <w:jc w:val="center"/>
            </w:pPr>
            <w:r/>
            <w:r>
              <w:rPr>
                <w:rFonts w:ascii="Cambria" w:hAnsi="Cambria" w:eastAsia="Cambria"/>
                <w:b w:val="0"/>
                <w:i w:val="0"/>
                <w:sz w:val="22"/>
              </w:rPr>
              <w:t>Employer feedback, Alumni tracer studies, Placement cell records, AICTE</w:t>
            </w:r>
          </w:p>
        </w:tc>
        <w:tc>
          <w:tcPr>
            <w:tcW w:type="dxa" w:w="2608"/>
          </w:tcPr>
          <w:p>
            <w:pPr>
              <w:spacing w:after="40" w:line="240" w:lineRule="auto"/>
              <w:jc w:val="center"/>
            </w:pPr>
            <w:r/>
            <w:r>
              <w:rPr>
                <w:rFonts w:ascii="Cambria" w:hAnsi="Cambria" w:eastAsia="Cambria"/>
                <w:b w:val="0"/>
                <w:i w:val="0"/>
                <w:sz w:val="22"/>
              </w:rPr>
              <w:t>Employer surveys, alumni confirmation, placement reports</w:t>
            </w:r>
          </w:p>
        </w:tc>
      </w:tr>
      <w:tr>
        <w:tc>
          <w:tcPr>
            <w:tcW w:type="dxa" w:w="1644"/>
            <w:shd w:val="clear" w:color="auto" w:fill="DCE6F1"/>
          </w:tcPr>
          <w:p>
            <w:pPr>
              <w:spacing w:after="40" w:line="240" w:lineRule="auto"/>
              <w:jc w:val="left"/>
            </w:pPr>
            <w:r/>
            <w:r>
              <w:rPr>
                <w:rFonts w:ascii="Cambria" w:hAnsi="Cambria" w:eastAsia="Cambria"/>
                <w:b w:val="0"/>
                <w:i w:val="0"/>
                <w:sz w:val="22"/>
              </w:rPr>
              <w:t>Outreach &amp; Inclusivity (OI)</w:t>
            </w:r>
          </w:p>
        </w:tc>
        <w:tc>
          <w:tcPr>
            <w:tcW w:type="dxa" w:w="2664"/>
            <w:shd w:val="clear" w:color="auto" w:fill="DCE6F1"/>
          </w:tcPr>
          <w:p>
            <w:pPr>
              <w:spacing w:after="40" w:line="240" w:lineRule="auto"/>
              <w:jc w:val="center"/>
            </w:pPr>
            <w:r/>
            <w:r>
              <w:rPr>
                <w:rFonts w:ascii="Cambria" w:hAnsi="Cambria" w:eastAsia="Cambria"/>
                <w:b w:val="0"/>
                <w:i w:val="0"/>
                <w:sz w:val="22"/>
              </w:rPr>
              <w:t>Gender ratio, regional diversity, disadvantaged group representation, facilities for differently-abled</w:t>
            </w:r>
          </w:p>
        </w:tc>
        <w:tc>
          <w:tcPr>
            <w:tcW w:type="dxa" w:w="2494"/>
            <w:shd w:val="clear" w:color="auto" w:fill="DCE6F1"/>
          </w:tcPr>
          <w:p>
            <w:pPr>
              <w:spacing w:after="40" w:line="240" w:lineRule="auto"/>
              <w:jc w:val="center"/>
            </w:pPr>
            <w:r/>
            <w:r>
              <w:rPr>
                <w:rFonts w:ascii="Cambria" w:hAnsi="Cambria" w:eastAsia="Cambria"/>
                <w:b w:val="0"/>
                <w:i w:val="0"/>
                <w:sz w:val="22"/>
              </w:rPr>
              <w:t>Government scholarship databases, Institutional records</w:t>
            </w:r>
          </w:p>
        </w:tc>
        <w:tc>
          <w:tcPr>
            <w:tcW w:type="dxa" w:w="2608"/>
            <w:shd w:val="clear" w:color="auto" w:fill="DCE6F1"/>
          </w:tcPr>
          <w:p>
            <w:pPr>
              <w:spacing w:after="40" w:line="240" w:lineRule="auto"/>
              <w:jc w:val="center"/>
            </w:pPr>
            <w:r/>
            <w:r>
              <w:rPr>
                <w:rFonts w:ascii="Cambria" w:hAnsi="Cambria" w:eastAsia="Cambria"/>
                <w:b w:val="0"/>
                <w:i w:val="0"/>
                <w:sz w:val="22"/>
              </w:rPr>
              <w:t>Scholarship award verification, on-site facility audits</w:t>
            </w:r>
          </w:p>
        </w:tc>
      </w:tr>
      <w:tr>
        <w:tc>
          <w:tcPr>
            <w:tcW w:type="dxa" w:w="1644"/>
          </w:tcPr>
          <w:p>
            <w:pPr>
              <w:spacing w:after="40" w:line="240" w:lineRule="auto"/>
              <w:jc w:val="left"/>
            </w:pPr>
            <w:r/>
            <w:r>
              <w:rPr>
                <w:rFonts w:ascii="Cambria" w:hAnsi="Cambria" w:eastAsia="Cambria"/>
                <w:b w:val="0"/>
                <w:i w:val="0"/>
                <w:sz w:val="22"/>
              </w:rPr>
              <w:t>Perception (PR)</w:t>
            </w:r>
          </w:p>
        </w:tc>
        <w:tc>
          <w:tcPr>
            <w:tcW w:type="dxa" w:w="2664"/>
          </w:tcPr>
          <w:p>
            <w:pPr>
              <w:spacing w:after="40" w:line="240" w:lineRule="auto"/>
              <w:jc w:val="center"/>
            </w:pPr>
            <w:r/>
            <w:r>
              <w:rPr>
                <w:rFonts w:ascii="Cambria" w:hAnsi="Cambria" w:eastAsia="Cambria"/>
                <w:b w:val="0"/>
                <w:i w:val="0"/>
                <w:sz w:val="22"/>
              </w:rPr>
              <w:t>Academic/peer reputation, employer reputation</w:t>
            </w:r>
          </w:p>
        </w:tc>
        <w:tc>
          <w:tcPr>
            <w:tcW w:type="dxa" w:w="2494"/>
          </w:tcPr>
          <w:p>
            <w:pPr>
              <w:spacing w:after="40" w:line="240" w:lineRule="auto"/>
              <w:jc w:val="center"/>
            </w:pPr>
            <w:r/>
            <w:r>
              <w:rPr>
                <w:rFonts w:ascii="Cambria" w:hAnsi="Cambria" w:eastAsia="Cambria"/>
                <w:b w:val="0"/>
                <w:i w:val="0"/>
                <w:sz w:val="22"/>
              </w:rPr>
              <w:t>NIRF-administered perception survey</w:t>
            </w:r>
          </w:p>
        </w:tc>
        <w:tc>
          <w:tcPr>
            <w:tcW w:type="dxa" w:w="2608"/>
          </w:tcPr>
          <w:p>
            <w:pPr>
              <w:spacing w:after="40" w:line="240" w:lineRule="auto"/>
              <w:jc w:val="center"/>
            </w:pPr>
            <w:r/>
            <w:r>
              <w:rPr>
                <w:rFonts w:ascii="Cambria" w:hAnsi="Cambria" w:eastAsia="Cambria"/>
                <w:b w:val="0"/>
                <w:i w:val="0"/>
                <w:sz w:val="22"/>
              </w:rPr>
              <w:t>Independent surveys conducted by NIRF (no institutional intervention)</w:t>
            </w:r>
          </w:p>
        </w:tc>
      </w:tr>
    </w:tbl>
    <w:p>
      <w:pPr>
        <w:spacing w:after="40" w:line="276" w:lineRule="auto"/>
      </w:pPr>
      <w:r>
        <w:rPr>
          <w:rFonts w:ascii="Cambria" w:hAnsi="Cambria" w:eastAsia="Cambria"/>
          <w:b/>
          <w:i w:val="0"/>
          <w:sz w:val="22"/>
        </w:rPr>
        <w:t>Usage: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can use this matrix as a compliance guide to prepare evidence for each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Helps NIRF and partner agencies streamline data validation responsibilities.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Prevents last-minute discrepancies by keeping authenticated data sources ready in advance.</w:t>
      </w:r>
    </w:p>
    <w:p>
      <w:pPr>
        <w:keepNext/>
        <w:spacing w:before="200" w:after="100"/>
      </w:pPr>
      <w:r>
        <w:rPr>
          <w:rFonts w:ascii="Cambria" w:hAnsi="Cambria" w:eastAsia="Cambria"/>
          <w:b/>
          <w:i w:val="0"/>
          <w:color w:val="1F3A5F"/>
          <w:sz w:val="26"/>
        </w:rPr>
        <w:t>NIRF's data processing and ranking timeline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Automated Data Processing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Once institutions submit their data on the NIRF portal, the system extracts relevant information using standardized software tools.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software applies predefined metrics and formulas to compute sub-parameter scores, aggregate parameter scores, and overall scores (out of 100).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automation ensures objectivity, speed, and consistency in processing.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Computation of Metrics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is mapped to the five NIRF parameters (TLR, RP, GO, OI,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parameter's sub-metrics are scored based on institutional submissions and third-party authenticated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aggregation produces final scores, ensuring comparability across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Timeline for Completion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entire data extraction, computation, verification, and ranking exercise is expected to take about 3 months.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period includes:</w:t>
      </w:r>
    </w:p>
    <w:p>
      <w:pPr>
        <w:spacing w:after="40"/>
        <w:ind w:left="1247" w:hanging="357"/>
      </w:pPr>
      <w:r>
        <w:rPr>
          <w:rFonts w:ascii="Cambria" w:hAnsi="Cambria" w:eastAsia="Cambria"/>
          <w:b w:val="0"/>
          <w:i w:val="0"/>
          <w:sz w:val="22"/>
        </w:rPr>
        <w:t>▪</w:t>
        <w:tab/>
      </w:r>
      <w:r>
        <w:rPr>
          <w:rFonts w:ascii="Cambria" w:hAnsi="Cambria" w:eastAsia="Cambria"/>
          <w:b w:val="0"/>
          <w:i w:val="0"/>
          <w:sz w:val="22"/>
        </w:rPr>
        <w:t>Data cleaning and preprocessing</w:t>
      </w:r>
    </w:p>
    <w:p>
      <w:pPr>
        <w:spacing w:after="40"/>
        <w:ind w:left="1247" w:hanging="357"/>
      </w:pPr>
      <w:r>
        <w:rPr>
          <w:rFonts w:ascii="Cambria" w:hAnsi="Cambria" w:eastAsia="Cambria"/>
          <w:b w:val="0"/>
          <w:i w:val="0"/>
          <w:sz w:val="22"/>
        </w:rPr>
        <w:t>▪</w:t>
        <w:tab/>
      </w:r>
      <w:r>
        <w:rPr>
          <w:rFonts w:ascii="Cambria" w:hAnsi="Cambria" w:eastAsia="Cambria"/>
          <w:b w:val="0"/>
          <w:i w:val="0"/>
          <w:sz w:val="22"/>
        </w:rPr>
        <w:t>Authentication and validation (with external agencies if needed)</w:t>
      </w:r>
    </w:p>
    <w:p>
      <w:pPr>
        <w:spacing w:after="40"/>
        <w:ind w:left="1247" w:hanging="357"/>
      </w:pPr>
      <w:r>
        <w:rPr>
          <w:rFonts w:ascii="Cambria" w:hAnsi="Cambria" w:eastAsia="Cambria"/>
          <w:b w:val="0"/>
          <w:i w:val="0"/>
          <w:sz w:val="22"/>
        </w:rPr>
        <w:t>▪</w:t>
        <w:tab/>
      </w:r>
      <w:r>
        <w:rPr>
          <w:rFonts w:ascii="Cambria" w:hAnsi="Cambria" w:eastAsia="Cambria"/>
          <w:b w:val="0"/>
          <w:i w:val="0"/>
          <w:sz w:val="22"/>
        </w:rPr>
        <w:t>Metric computation and normalization</w:t>
      </w:r>
    </w:p>
    <w:p>
      <w:pPr>
        <w:spacing w:after="40"/>
        <w:ind w:left="1247" w:hanging="357"/>
      </w:pPr>
      <w:r>
        <w:rPr>
          <w:rFonts w:ascii="Cambria" w:hAnsi="Cambria" w:eastAsia="Cambria"/>
          <w:b w:val="0"/>
          <w:i w:val="0"/>
          <w:sz w:val="22"/>
        </w:rPr>
        <w:t>▪</w:t>
        <w:tab/>
      </w:r>
      <w:r>
        <w:rPr>
          <w:rFonts w:ascii="Cambria" w:hAnsi="Cambria" w:eastAsia="Cambria"/>
          <w:b w:val="0"/>
          <w:i w:val="0"/>
          <w:sz w:val="22"/>
        </w:rPr>
        <w:t>Draft report review and quality assurance</w:t>
      </w:r>
    </w:p>
    <w:p>
      <w:pPr>
        <w:spacing w:after="40"/>
        <w:ind w:left="1247" w:hanging="357"/>
      </w:pPr>
      <w:r>
        <w:rPr>
          <w:rFonts w:ascii="Cambria" w:hAnsi="Cambria" w:eastAsia="Cambria"/>
          <w:b w:val="0"/>
          <w:i w:val="0"/>
          <w:sz w:val="22"/>
        </w:rPr>
        <w:t>▪</w:t>
        <w:tab/>
      </w:r>
      <w:r>
        <w:rPr>
          <w:rFonts w:ascii="Cambria" w:hAnsi="Cambria" w:eastAsia="Cambria"/>
          <w:b w:val="0"/>
          <w:i w:val="0"/>
          <w:sz w:val="22"/>
        </w:rPr>
        <w:t>Final approval from NIRF governing committee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Publication Date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final rankings are released annually on the first Monday of April.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India Rankings 2024, this corresponds to 1st April 2024.</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Rankings are made available on the official NIRF website, covering Overall and Discipline-specific categories (Universities, Engineering, Management, Medical, Law, etc.).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Significance of Timeline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fixed publication date ensures predictability for institutions, students, and policymakers.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Aligns with admission cycles, allowing prospective students to use the rankings as a decision-making tool for choosing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institutions with a benchmark window to review and improve their performance annually.</w:t>
      </w:r>
    </w:p>
    <w:p>
      <w:pPr>
        <w:spacing w:after="120" w:line="276" w:lineRule="auto"/>
        <w:jc w:val="both"/>
      </w:pPr>
      <w:r>
        <w:rPr>
          <w:rFonts w:ascii="Cambria" w:hAnsi="Cambria" w:eastAsia="Cambria"/>
          <w:b/>
          <w:i w:val="0"/>
          <w:sz w:val="22"/>
        </w:rPr>
        <w:t xml:space="preserve">Key takeaway: </w:t>
      </w:r>
      <w:r>
        <w:rPr>
          <w:rFonts w:ascii="Cambria" w:hAnsi="Cambria" w:eastAsia="Cambria"/>
          <w:b w:val="0"/>
          <w:i w:val="0"/>
          <w:sz w:val="22"/>
        </w:rPr>
        <w:t>NIRF's ranking process is a software-driven, metric-based exercise completed in about 3 months, with the final rankings published annually on the first Monday of April, ensuring transparency, reliability, and timeliness.</w:t>
      </w:r>
    </w:p>
    <w:p>
      <w:r>
        <w:br w:type="page"/>
      </w:r>
    </w:p>
    <w:p>
      <w:pPr>
        <w:keepNext/>
        <w:spacing w:before="360" w:after="160"/>
      </w:pPr>
      <w:r>
        <w:rPr>
          <w:rFonts w:ascii="Cambria" w:hAnsi="Cambria" w:eastAsia="Cambria"/>
          <w:b/>
          <w:i w:val="0"/>
          <w:color w:val="1F3A5F"/>
          <w:sz w:val="36"/>
        </w:rPr>
        <w:t>6. Errors and Correction Policy</w:t>
      </w:r>
    </w:p>
    <w:p>
      <w:pPr>
        <w:keepNext/>
        <w:spacing w:before="200" w:after="100"/>
      </w:pPr>
      <w:r>
        <w:rPr>
          <w:rFonts w:ascii="Cambria" w:hAnsi="Cambria" w:eastAsia="Cambria"/>
          <w:b/>
          <w:i w:val="0"/>
          <w:color w:val="1F3A5F"/>
          <w:sz w:val="26"/>
        </w:rPr>
        <w:t>NIRF guideline on data display, cross-checking, and correction policy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Raw Data Display on NIRF Website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After institutions submit their data and NIRF completes its initial processing and validation, the raw processed data is displayed on the official NIRF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transparency step allows institutions to verify the exact dataset that will be used for final score computation and ranking.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Institutional Responsibility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carefully cross-check the displayed data against their own submissions.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any discrepancies are noticed (e.g., missing records, incorrect third-party data, errors in extraction), it is the institution's duty to highlight them.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Responsibility for accuracy rests with the institution, not with NIRF.</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Inclusion of Third-Party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Apart from self-reported data, NIRF also uses third-party data sources (e.g., Scopus, WoS, Patent databases, government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invited to review this extracted third-party data to confirm that it matches their actual output.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Feedback &amp; Correction Window</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specifies a limited time period (correction window) during which institutions can submit comments, corrections, or objections.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Feedback must be objective, evidence-based, and timely.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After the deadline expires, no further corrections will be entertained.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Finality of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Once rankings are published, they are final and binding.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petitions, complaints, or appeals for corrections will be accepted after:</w:t>
      </w:r>
    </w:p>
    <w:p>
      <w:pPr>
        <w:spacing w:line="276" w:lineRule="auto" w:after="40"/>
        <w:ind w:left="357" w:hanging="357"/>
      </w:pPr>
      <w:r>
        <w:rPr>
          <w:rFonts w:ascii="Cambria" w:hAnsi="Cambria" w:eastAsia="Cambria"/>
          <w:b w:val="0"/>
          <w:i w:val="0"/>
          <w:sz w:val="22"/>
        </w:rPr>
        <w:t>1.</w:t>
        <w:tab/>
      </w:r>
      <w:r>
        <w:rPr>
          <w:rFonts w:ascii="Cambria" w:hAnsi="Cambria" w:eastAsia="Cambria"/>
          <w:b w:val="0"/>
          <w:i w:val="0"/>
          <w:sz w:val="22"/>
        </w:rPr>
        <w:t>The declared correction window closes, or</w:t>
      </w:r>
    </w:p>
    <w:p>
      <w:pPr>
        <w:spacing w:line="276" w:lineRule="auto" w:after="40"/>
        <w:ind w:left="357" w:hanging="357"/>
      </w:pPr>
      <w:r>
        <w:rPr>
          <w:rFonts w:ascii="Cambria" w:hAnsi="Cambria" w:eastAsia="Cambria"/>
          <w:b w:val="0"/>
          <w:i w:val="0"/>
          <w:sz w:val="22"/>
        </w:rPr>
        <w:t>2.</w:t>
        <w:tab/>
      </w:r>
      <w:r>
        <w:rPr>
          <w:rFonts w:ascii="Cambria" w:hAnsi="Cambria" w:eastAsia="Cambria"/>
          <w:b w:val="0"/>
          <w:i w:val="0"/>
          <w:sz w:val="22"/>
        </w:rPr>
        <w:t>The rankings are officially announced.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Implications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adopt a proactive review mechanism when NIRF data is displayed.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Delays or negligence in cross-checking may result in errors being permanently reflected in the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should assign a dedicated NIRF Data Committee to verify the displayed data promptly within the given time frame.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Key Takeaway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rule enforces accountability on institutions to ensure the integrity of their own data, while NIRF ensures transparency by publicly displaying it before final scoring.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system prevents last-minute disputes and ensures that rankings are published on time with reliable data.</w:t>
      </w:r>
    </w:p>
    <w:p>
      <w:pPr>
        <w:keepNext/>
        <w:spacing w:before="200" w:after="100"/>
      </w:pPr>
      <w:r>
        <w:rPr>
          <w:rFonts w:ascii="Cambria" w:hAnsi="Cambria" w:eastAsia="Cambria"/>
          <w:b/>
          <w:i w:val="0"/>
          <w:color w:val="1F3A5F"/>
          <w:sz w:val="26"/>
        </w:rPr>
        <w:t>NIRF Data Monitoring Checklist</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1701"/>
            <w:shd w:val="clear" w:color="auto" w:fill="1F3A5F"/>
          </w:tcPr>
          <w:p>
            <w:pPr>
              <w:spacing w:after="40" w:line="240" w:lineRule="auto"/>
              <w:jc w:val="center"/>
            </w:pPr>
            <w:r/>
            <w:r>
              <w:rPr>
                <w:rFonts w:ascii="Cambria" w:hAnsi="Cambria" w:eastAsia="Cambria"/>
                <w:b/>
                <w:i w:val="0"/>
                <w:color w:val="FFFFFF"/>
                <w:sz w:val="22"/>
              </w:rPr>
              <w:t>Stage</w:t>
            </w:r>
          </w:p>
        </w:tc>
        <w:tc>
          <w:tcPr>
            <w:tcW w:type="dxa" w:w="3515"/>
            <w:shd w:val="clear" w:color="auto" w:fill="1F3A5F"/>
          </w:tcPr>
          <w:p>
            <w:pPr>
              <w:spacing w:after="40" w:line="240" w:lineRule="auto"/>
              <w:jc w:val="center"/>
            </w:pPr>
            <w:r/>
            <w:r>
              <w:rPr>
                <w:rFonts w:ascii="Cambria" w:hAnsi="Cambria" w:eastAsia="Cambria"/>
                <w:b/>
                <w:i w:val="0"/>
                <w:color w:val="FFFFFF"/>
                <w:sz w:val="22"/>
              </w:rPr>
              <w:t>Institution's Task</w:t>
            </w:r>
          </w:p>
        </w:tc>
        <w:tc>
          <w:tcPr>
            <w:tcW w:type="dxa" w:w="2438"/>
            <w:shd w:val="clear" w:color="auto" w:fill="1F3A5F"/>
          </w:tcPr>
          <w:p>
            <w:pPr>
              <w:spacing w:after="40" w:line="240" w:lineRule="auto"/>
              <w:jc w:val="center"/>
            </w:pPr>
            <w:r/>
            <w:r>
              <w:rPr>
                <w:rFonts w:ascii="Cambria" w:hAnsi="Cambria" w:eastAsia="Cambria"/>
                <w:b/>
                <w:i w:val="0"/>
                <w:color w:val="FFFFFF"/>
                <w:sz w:val="22"/>
              </w:rPr>
              <w:t>Responsible Team</w:t>
            </w:r>
          </w:p>
        </w:tc>
        <w:tc>
          <w:tcPr>
            <w:tcW w:type="dxa" w:w="1757"/>
            <w:shd w:val="clear" w:color="auto" w:fill="1F3A5F"/>
          </w:tcPr>
          <w:p>
            <w:pPr>
              <w:spacing w:after="40" w:line="240" w:lineRule="auto"/>
              <w:jc w:val="center"/>
            </w:pPr>
            <w:r/>
            <w:r>
              <w:rPr>
                <w:rFonts w:ascii="Cambria" w:hAnsi="Cambria" w:eastAsia="Cambria"/>
                <w:b/>
                <w:i w:val="0"/>
                <w:color w:val="FFFFFF"/>
                <w:sz w:val="22"/>
              </w:rPr>
              <w:t>Deadline</w:t>
            </w:r>
          </w:p>
        </w:tc>
      </w:tr>
      <w:tr>
        <w:tc>
          <w:tcPr>
            <w:tcW w:type="dxa" w:w="1701"/>
          </w:tcPr>
          <w:p>
            <w:pPr>
              <w:spacing w:after="40" w:line="240" w:lineRule="auto"/>
              <w:jc w:val="left"/>
            </w:pPr>
            <w:r/>
            <w:r>
              <w:rPr>
                <w:rFonts w:ascii="Cambria" w:hAnsi="Cambria" w:eastAsia="Cambria"/>
                <w:b w:val="0"/>
                <w:i w:val="0"/>
                <w:sz w:val="22"/>
              </w:rPr>
              <w:t>1. Data Submission</w:t>
            </w:r>
          </w:p>
        </w:tc>
        <w:tc>
          <w:tcPr>
            <w:tcW w:type="dxa" w:w="3515"/>
          </w:tcPr>
          <w:p>
            <w:pPr>
              <w:spacing w:after="40" w:line="240" w:lineRule="auto"/>
              <w:jc w:val="center"/>
            </w:pPr>
            <w:r/>
            <w:r>
              <w:rPr>
                <w:rFonts w:ascii="Cambria" w:hAnsi="Cambria" w:eastAsia="Cambria"/>
                <w:b w:val="0"/>
                <w:i w:val="0"/>
                <w:sz w:val="22"/>
              </w:rPr>
              <w:t>Upload institutional data on NIRF portal in prescribed format</w:t>
            </w:r>
          </w:p>
        </w:tc>
        <w:tc>
          <w:tcPr>
            <w:tcW w:type="dxa" w:w="2438"/>
          </w:tcPr>
          <w:p>
            <w:pPr>
              <w:spacing w:after="40" w:line="240" w:lineRule="auto"/>
              <w:jc w:val="center"/>
            </w:pPr>
            <w:r/>
            <w:r>
              <w:rPr>
                <w:rFonts w:ascii="Cambria" w:hAnsi="Cambria" w:eastAsia="Cambria"/>
                <w:b w:val="0"/>
                <w:i w:val="0"/>
                <w:sz w:val="22"/>
              </w:rPr>
              <w:t>NIRF Nodal Officer + Institutional Data Committee</w:t>
            </w:r>
          </w:p>
        </w:tc>
        <w:tc>
          <w:tcPr>
            <w:tcW w:type="dxa" w:w="1757"/>
          </w:tcPr>
          <w:p>
            <w:pPr>
              <w:spacing w:after="40" w:line="240" w:lineRule="auto"/>
              <w:jc w:val="center"/>
            </w:pPr>
            <w:r/>
            <w:r>
              <w:rPr>
                <w:rFonts w:ascii="Cambria" w:hAnsi="Cambria" w:eastAsia="Cambria"/>
                <w:b w:val="0"/>
                <w:i w:val="0"/>
                <w:sz w:val="22"/>
              </w:rPr>
              <w:t>Before official submission deadline</w:t>
            </w:r>
          </w:p>
        </w:tc>
      </w:tr>
      <w:tr>
        <w:tc>
          <w:tcPr>
            <w:tcW w:type="dxa" w:w="1701"/>
            <w:shd w:val="clear" w:color="auto" w:fill="DCE6F1"/>
          </w:tcPr>
          <w:p>
            <w:pPr>
              <w:spacing w:after="40" w:line="240" w:lineRule="auto"/>
              <w:jc w:val="left"/>
            </w:pPr>
            <w:r/>
            <w:r>
              <w:rPr>
                <w:rFonts w:ascii="Cambria" w:hAnsi="Cambria" w:eastAsia="Cambria"/>
                <w:b w:val="0"/>
                <w:i w:val="0"/>
                <w:sz w:val="22"/>
              </w:rPr>
              <w:t>2. Data Hosting on Website</w:t>
            </w:r>
          </w:p>
        </w:tc>
        <w:tc>
          <w:tcPr>
            <w:tcW w:type="dxa" w:w="3515"/>
            <w:shd w:val="clear" w:color="auto" w:fill="DCE6F1"/>
          </w:tcPr>
          <w:p>
            <w:pPr>
              <w:spacing w:after="40" w:line="240" w:lineRule="auto"/>
              <w:jc w:val="center"/>
            </w:pPr>
            <w:r/>
            <w:r>
              <w:rPr>
                <w:rFonts w:ascii="Cambria" w:hAnsi="Cambria" w:eastAsia="Cambria"/>
                <w:b w:val="0"/>
                <w:i w:val="0"/>
                <w:sz w:val="22"/>
              </w:rPr>
              <w:t>Publish submitted data on institution's website with “NIRF” homepage link</w:t>
            </w:r>
          </w:p>
        </w:tc>
        <w:tc>
          <w:tcPr>
            <w:tcW w:type="dxa" w:w="2438"/>
            <w:shd w:val="clear" w:color="auto" w:fill="DCE6F1"/>
          </w:tcPr>
          <w:p>
            <w:pPr>
              <w:spacing w:after="40" w:line="240" w:lineRule="auto"/>
              <w:jc w:val="center"/>
            </w:pPr>
            <w:r/>
            <w:r>
              <w:rPr>
                <w:rFonts w:ascii="Cambria" w:hAnsi="Cambria" w:eastAsia="Cambria"/>
                <w:b w:val="0"/>
                <w:i w:val="0"/>
                <w:sz w:val="22"/>
              </w:rPr>
              <w:t>IT/Web Team + Registrar Office</w:t>
            </w:r>
          </w:p>
        </w:tc>
        <w:tc>
          <w:tcPr>
            <w:tcW w:type="dxa" w:w="1757"/>
            <w:shd w:val="clear" w:color="auto" w:fill="DCE6F1"/>
          </w:tcPr>
          <w:p>
            <w:pPr>
              <w:spacing w:after="40" w:line="240" w:lineRule="auto"/>
              <w:jc w:val="center"/>
            </w:pPr>
            <w:r/>
            <w:r>
              <w:rPr>
                <w:rFonts w:ascii="Cambria" w:hAnsi="Cambria" w:eastAsia="Cambria"/>
                <w:b w:val="0"/>
                <w:i w:val="0"/>
                <w:sz w:val="22"/>
              </w:rPr>
              <w:t>Immediately after submission</w:t>
            </w:r>
          </w:p>
        </w:tc>
      </w:tr>
      <w:tr>
        <w:tc>
          <w:tcPr>
            <w:tcW w:type="dxa" w:w="1701"/>
          </w:tcPr>
          <w:p>
            <w:pPr>
              <w:spacing w:after="40" w:line="240" w:lineRule="auto"/>
              <w:jc w:val="left"/>
            </w:pPr>
            <w:r/>
            <w:r>
              <w:rPr>
                <w:rFonts w:ascii="Cambria" w:hAnsi="Cambria" w:eastAsia="Cambria"/>
                <w:b w:val="0"/>
                <w:i w:val="0"/>
                <w:sz w:val="22"/>
              </w:rPr>
              <w:t>3. Data Display by NIRF</w:t>
            </w:r>
          </w:p>
        </w:tc>
        <w:tc>
          <w:tcPr>
            <w:tcW w:type="dxa" w:w="3515"/>
          </w:tcPr>
          <w:p>
            <w:pPr>
              <w:spacing w:after="40" w:line="240" w:lineRule="auto"/>
              <w:jc w:val="center"/>
            </w:pPr>
            <w:r/>
            <w:r>
              <w:rPr>
                <w:rFonts w:ascii="Cambria" w:hAnsi="Cambria" w:eastAsia="Cambria"/>
                <w:b w:val="0"/>
                <w:i w:val="0"/>
                <w:sz w:val="22"/>
              </w:rPr>
              <w:t>Download and review raw data displayed on NIRF website</w:t>
            </w:r>
          </w:p>
        </w:tc>
        <w:tc>
          <w:tcPr>
            <w:tcW w:type="dxa" w:w="2438"/>
          </w:tcPr>
          <w:p>
            <w:pPr>
              <w:spacing w:after="40" w:line="240" w:lineRule="auto"/>
              <w:jc w:val="center"/>
            </w:pPr>
            <w:r/>
            <w:r>
              <w:rPr>
                <w:rFonts w:ascii="Cambria" w:hAnsi="Cambria" w:eastAsia="Cambria"/>
                <w:b w:val="0"/>
                <w:i w:val="0"/>
                <w:sz w:val="22"/>
              </w:rPr>
              <w:t>NIRF Core Committee + Departmental Coordinators</w:t>
            </w:r>
          </w:p>
        </w:tc>
        <w:tc>
          <w:tcPr>
            <w:tcW w:type="dxa" w:w="1757"/>
          </w:tcPr>
          <w:p>
            <w:pPr>
              <w:spacing w:after="40" w:line="240" w:lineRule="auto"/>
              <w:jc w:val="center"/>
            </w:pPr>
            <w:r/>
            <w:r>
              <w:rPr>
                <w:rFonts w:ascii="Cambria" w:hAnsi="Cambria" w:eastAsia="Cambria"/>
                <w:b w:val="0"/>
                <w:i w:val="0"/>
                <w:sz w:val="22"/>
              </w:rPr>
              <w:t>Within 24–48 hours of display</w:t>
            </w:r>
          </w:p>
        </w:tc>
      </w:tr>
      <w:tr>
        <w:tc>
          <w:tcPr>
            <w:tcW w:type="dxa" w:w="1701"/>
            <w:shd w:val="clear" w:color="auto" w:fill="DCE6F1"/>
          </w:tcPr>
          <w:p>
            <w:pPr>
              <w:spacing w:after="40" w:line="240" w:lineRule="auto"/>
              <w:jc w:val="left"/>
            </w:pPr>
            <w:r/>
            <w:r>
              <w:rPr>
                <w:rFonts w:ascii="Cambria" w:hAnsi="Cambria" w:eastAsia="Cambria"/>
                <w:b w:val="0"/>
                <w:i w:val="0"/>
                <w:sz w:val="22"/>
              </w:rPr>
              <w:t>4. Verification of Self-Reported Data</w:t>
            </w:r>
          </w:p>
        </w:tc>
        <w:tc>
          <w:tcPr>
            <w:tcW w:type="dxa" w:w="3515"/>
            <w:shd w:val="clear" w:color="auto" w:fill="DCE6F1"/>
          </w:tcPr>
          <w:p>
            <w:pPr>
              <w:spacing w:after="40" w:line="240" w:lineRule="auto"/>
              <w:jc w:val="center"/>
            </w:pPr>
            <w:r/>
            <w:r>
              <w:rPr>
                <w:rFonts w:ascii="Cambria" w:hAnsi="Cambria" w:eastAsia="Cambria"/>
                <w:b w:val="0"/>
                <w:i w:val="0"/>
                <w:sz w:val="22"/>
              </w:rPr>
              <w:t>Match displayed data with internal submissions to ensure accuracy</w:t>
            </w:r>
          </w:p>
        </w:tc>
        <w:tc>
          <w:tcPr>
            <w:tcW w:type="dxa" w:w="2438"/>
            <w:shd w:val="clear" w:color="auto" w:fill="DCE6F1"/>
          </w:tcPr>
          <w:p>
            <w:pPr>
              <w:spacing w:after="40" w:line="240" w:lineRule="auto"/>
              <w:jc w:val="center"/>
            </w:pPr>
            <w:r/>
            <w:r>
              <w:rPr>
                <w:rFonts w:ascii="Cambria" w:hAnsi="Cambria" w:eastAsia="Cambria"/>
                <w:b w:val="0"/>
                <w:i w:val="0"/>
                <w:sz w:val="22"/>
              </w:rPr>
              <w:t>Institutional Data Committee</w:t>
            </w:r>
          </w:p>
        </w:tc>
        <w:tc>
          <w:tcPr>
            <w:tcW w:type="dxa" w:w="1757"/>
            <w:shd w:val="clear" w:color="auto" w:fill="DCE6F1"/>
          </w:tcPr>
          <w:p>
            <w:pPr>
              <w:spacing w:after="40" w:line="240" w:lineRule="auto"/>
              <w:jc w:val="center"/>
            </w:pPr>
            <w:r/>
            <w:r>
              <w:rPr>
                <w:rFonts w:ascii="Cambria" w:hAnsi="Cambria" w:eastAsia="Cambria"/>
                <w:b w:val="0"/>
                <w:i w:val="0"/>
                <w:sz w:val="22"/>
              </w:rPr>
              <w:t>During official verification window</w:t>
            </w:r>
          </w:p>
        </w:tc>
      </w:tr>
      <w:tr>
        <w:tc>
          <w:tcPr>
            <w:tcW w:type="dxa" w:w="1701"/>
          </w:tcPr>
          <w:p>
            <w:pPr>
              <w:spacing w:after="40" w:line="240" w:lineRule="auto"/>
              <w:jc w:val="left"/>
            </w:pPr>
            <w:r/>
            <w:r>
              <w:rPr>
                <w:rFonts w:ascii="Cambria" w:hAnsi="Cambria" w:eastAsia="Cambria"/>
                <w:b w:val="0"/>
                <w:i w:val="0"/>
                <w:sz w:val="22"/>
              </w:rPr>
              <w:t>5. Verification of Third-Party Data</w:t>
            </w:r>
          </w:p>
        </w:tc>
        <w:tc>
          <w:tcPr>
            <w:tcW w:type="dxa" w:w="3515"/>
          </w:tcPr>
          <w:p>
            <w:pPr>
              <w:spacing w:after="40" w:line="240" w:lineRule="auto"/>
              <w:jc w:val="center"/>
            </w:pPr>
            <w:r/>
            <w:r>
              <w:rPr>
                <w:rFonts w:ascii="Cambria" w:hAnsi="Cambria" w:eastAsia="Cambria"/>
                <w:b w:val="0"/>
                <w:i w:val="0"/>
                <w:sz w:val="22"/>
              </w:rPr>
              <w:t>Cross-check publications, patents, placements, etc. with external sources (Scopus, WoS, Patent Office)</w:t>
            </w:r>
          </w:p>
        </w:tc>
        <w:tc>
          <w:tcPr>
            <w:tcW w:type="dxa" w:w="2438"/>
          </w:tcPr>
          <w:p>
            <w:pPr>
              <w:spacing w:after="40" w:line="240" w:lineRule="auto"/>
              <w:jc w:val="center"/>
            </w:pPr>
            <w:r/>
            <w:r>
              <w:rPr>
                <w:rFonts w:ascii="Cambria" w:hAnsi="Cambria" w:eastAsia="Cambria"/>
                <w:b w:val="0"/>
                <w:i w:val="0"/>
                <w:sz w:val="22"/>
              </w:rPr>
              <w:t>Research Cell + Placement Cell</w:t>
            </w:r>
          </w:p>
        </w:tc>
        <w:tc>
          <w:tcPr>
            <w:tcW w:type="dxa" w:w="1757"/>
          </w:tcPr>
          <w:p>
            <w:pPr>
              <w:spacing w:after="40" w:line="240" w:lineRule="auto"/>
              <w:jc w:val="center"/>
            </w:pPr>
            <w:r/>
            <w:r>
              <w:rPr>
                <w:rFonts w:ascii="Cambria" w:hAnsi="Cambria" w:eastAsia="Cambria"/>
                <w:b w:val="0"/>
                <w:i w:val="0"/>
                <w:sz w:val="22"/>
              </w:rPr>
              <w:t>During official verification window</w:t>
            </w:r>
          </w:p>
        </w:tc>
      </w:tr>
      <w:tr>
        <w:tc>
          <w:tcPr>
            <w:tcW w:type="dxa" w:w="1701"/>
            <w:shd w:val="clear" w:color="auto" w:fill="DCE6F1"/>
          </w:tcPr>
          <w:p>
            <w:pPr>
              <w:spacing w:after="40" w:line="240" w:lineRule="auto"/>
              <w:jc w:val="left"/>
            </w:pPr>
            <w:r/>
            <w:r>
              <w:rPr>
                <w:rFonts w:ascii="Cambria" w:hAnsi="Cambria" w:eastAsia="Cambria"/>
                <w:b w:val="0"/>
                <w:i w:val="0"/>
                <w:sz w:val="22"/>
              </w:rPr>
              <w:t>6. Feedback Submission to NIRF</w:t>
            </w:r>
          </w:p>
        </w:tc>
        <w:tc>
          <w:tcPr>
            <w:tcW w:type="dxa" w:w="3515"/>
            <w:shd w:val="clear" w:color="auto" w:fill="DCE6F1"/>
          </w:tcPr>
          <w:p>
            <w:pPr>
              <w:spacing w:after="40" w:line="240" w:lineRule="auto"/>
              <w:jc w:val="center"/>
            </w:pPr>
            <w:r/>
            <w:r>
              <w:rPr>
                <w:rFonts w:ascii="Cambria" w:hAnsi="Cambria" w:eastAsia="Cambria"/>
                <w:b w:val="0"/>
                <w:i w:val="0"/>
                <w:sz w:val="22"/>
              </w:rPr>
              <w:t>Report discrepancies with evidence via official feedback channel</w:t>
            </w:r>
          </w:p>
        </w:tc>
        <w:tc>
          <w:tcPr>
            <w:tcW w:type="dxa" w:w="2438"/>
            <w:shd w:val="clear" w:color="auto" w:fill="DCE6F1"/>
          </w:tcPr>
          <w:p>
            <w:pPr>
              <w:spacing w:after="40" w:line="240" w:lineRule="auto"/>
              <w:jc w:val="center"/>
            </w:pPr>
            <w:r/>
            <w:r>
              <w:rPr>
                <w:rFonts w:ascii="Cambria" w:hAnsi="Cambria" w:eastAsia="Cambria"/>
                <w:b w:val="0"/>
                <w:i w:val="0"/>
                <w:sz w:val="22"/>
              </w:rPr>
              <w:t>NIRF Nodal Officer + Registrar Office</w:t>
            </w:r>
          </w:p>
        </w:tc>
        <w:tc>
          <w:tcPr>
            <w:tcW w:type="dxa" w:w="1757"/>
            <w:shd w:val="clear" w:color="auto" w:fill="DCE6F1"/>
          </w:tcPr>
          <w:p>
            <w:pPr>
              <w:spacing w:after="40" w:line="240" w:lineRule="auto"/>
              <w:jc w:val="center"/>
            </w:pPr>
            <w:r/>
            <w:r>
              <w:rPr>
                <w:rFonts w:ascii="Cambria" w:hAnsi="Cambria" w:eastAsia="Cambria"/>
                <w:b w:val="0"/>
                <w:i w:val="0"/>
                <w:sz w:val="22"/>
              </w:rPr>
              <w:t>Before correction window closes</w:t>
            </w:r>
          </w:p>
        </w:tc>
      </w:tr>
      <w:tr>
        <w:tc>
          <w:tcPr>
            <w:tcW w:type="dxa" w:w="1701"/>
          </w:tcPr>
          <w:p>
            <w:pPr>
              <w:spacing w:after="40" w:line="240" w:lineRule="auto"/>
              <w:jc w:val="left"/>
            </w:pPr>
            <w:r/>
            <w:r>
              <w:rPr>
                <w:rFonts w:ascii="Cambria" w:hAnsi="Cambria" w:eastAsia="Cambria"/>
                <w:b w:val="0"/>
                <w:i w:val="0"/>
                <w:sz w:val="22"/>
              </w:rPr>
              <w:t>7. Confirmation</w:t>
            </w:r>
          </w:p>
        </w:tc>
        <w:tc>
          <w:tcPr>
            <w:tcW w:type="dxa" w:w="3515"/>
          </w:tcPr>
          <w:p>
            <w:pPr>
              <w:spacing w:after="40" w:line="240" w:lineRule="auto"/>
              <w:jc w:val="center"/>
            </w:pPr>
            <w:r/>
            <w:r>
              <w:rPr>
                <w:rFonts w:ascii="Cambria" w:hAnsi="Cambria" w:eastAsia="Cambria"/>
                <w:b w:val="0"/>
                <w:i w:val="0"/>
                <w:sz w:val="22"/>
              </w:rPr>
              <w:t>Provide “no objection” if data matches accurately</w:t>
            </w:r>
          </w:p>
        </w:tc>
        <w:tc>
          <w:tcPr>
            <w:tcW w:type="dxa" w:w="2438"/>
          </w:tcPr>
          <w:p>
            <w:pPr>
              <w:spacing w:after="40" w:line="240" w:lineRule="auto"/>
              <w:jc w:val="center"/>
            </w:pPr>
            <w:r/>
            <w:r>
              <w:rPr>
                <w:rFonts w:ascii="Cambria" w:hAnsi="Cambria" w:eastAsia="Cambria"/>
                <w:b w:val="0"/>
                <w:i w:val="0"/>
                <w:sz w:val="22"/>
              </w:rPr>
              <w:t>Head of Institution / NIRF Coordinator</w:t>
            </w:r>
          </w:p>
        </w:tc>
        <w:tc>
          <w:tcPr>
            <w:tcW w:type="dxa" w:w="1757"/>
          </w:tcPr>
          <w:p>
            <w:pPr>
              <w:spacing w:after="40" w:line="240" w:lineRule="auto"/>
              <w:jc w:val="center"/>
            </w:pPr>
            <w:r/>
            <w:r>
              <w:rPr>
                <w:rFonts w:ascii="Cambria" w:hAnsi="Cambria" w:eastAsia="Cambria"/>
                <w:b w:val="0"/>
                <w:i w:val="0"/>
                <w:sz w:val="22"/>
              </w:rPr>
              <w:t>Before end of correction window</w:t>
            </w:r>
          </w:p>
        </w:tc>
      </w:tr>
      <w:tr>
        <w:tc>
          <w:tcPr>
            <w:tcW w:type="dxa" w:w="1701"/>
            <w:shd w:val="clear" w:color="auto" w:fill="DCE6F1"/>
          </w:tcPr>
          <w:p>
            <w:pPr>
              <w:spacing w:after="40" w:line="240" w:lineRule="auto"/>
              <w:jc w:val="left"/>
            </w:pPr>
            <w:r/>
            <w:r>
              <w:rPr>
                <w:rFonts w:ascii="Cambria" w:hAnsi="Cambria" w:eastAsia="Cambria"/>
                <w:b w:val="0"/>
                <w:i w:val="0"/>
                <w:sz w:val="22"/>
              </w:rPr>
              <w:t>8. Post-Ranking Compliance</w:t>
            </w:r>
          </w:p>
        </w:tc>
        <w:tc>
          <w:tcPr>
            <w:tcW w:type="dxa" w:w="3515"/>
            <w:shd w:val="clear" w:color="auto" w:fill="DCE6F1"/>
          </w:tcPr>
          <w:p>
            <w:pPr>
              <w:spacing w:after="40" w:line="240" w:lineRule="auto"/>
              <w:jc w:val="center"/>
            </w:pPr>
            <w:r/>
            <w:r>
              <w:rPr>
                <w:rFonts w:ascii="Cambria" w:hAnsi="Cambria" w:eastAsia="Cambria"/>
                <w:b w:val="0"/>
                <w:i w:val="0"/>
                <w:sz w:val="22"/>
              </w:rPr>
              <w:t>Archive verified data and retain for 3 years as per NIRF rule</w:t>
            </w:r>
          </w:p>
        </w:tc>
        <w:tc>
          <w:tcPr>
            <w:tcW w:type="dxa" w:w="2438"/>
            <w:shd w:val="clear" w:color="auto" w:fill="DCE6F1"/>
          </w:tcPr>
          <w:p>
            <w:pPr>
              <w:spacing w:after="40" w:line="240" w:lineRule="auto"/>
              <w:jc w:val="center"/>
            </w:pPr>
            <w:r/>
            <w:r>
              <w:rPr>
                <w:rFonts w:ascii="Cambria" w:hAnsi="Cambria" w:eastAsia="Cambria"/>
                <w:b w:val="0"/>
                <w:i w:val="0"/>
                <w:sz w:val="22"/>
              </w:rPr>
              <w:t>Institutional Data Committee + Records Office</w:t>
            </w:r>
          </w:p>
        </w:tc>
        <w:tc>
          <w:tcPr>
            <w:tcW w:type="dxa" w:w="1757"/>
            <w:shd w:val="clear" w:color="auto" w:fill="DCE6F1"/>
          </w:tcPr>
          <w:p>
            <w:pPr>
              <w:spacing w:after="40" w:line="240" w:lineRule="auto"/>
              <w:jc w:val="center"/>
            </w:pPr>
            <w:r/>
            <w:r>
              <w:rPr>
                <w:rFonts w:ascii="Cambria" w:hAnsi="Cambria" w:eastAsia="Cambria"/>
                <w:b w:val="0"/>
                <w:i w:val="0"/>
                <w:sz w:val="22"/>
              </w:rPr>
              <w:t>Immediately after ranking publication</w:t>
            </w:r>
          </w:p>
        </w:tc>
      </w:tr>
    </w:tbl>
    <w:p>
      <w:pPr>
        <w:spacing w:after="40" w:line="276" w:lineRule="auto"/>
      </w:pPr>
      <w:r>
        <w:rPr>
          <w:rFonts w:ascii="Cambria" w:hAnsi="Cambria" w:eastAsia="Cambria"/>
          <w:b/>
          <w:i w:val="0"/>
          <w:sz w:val="22"/>
        </w:rPr>
        <w:t>How to use this table: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Assign a dedicated team for each stage (Data Committee, Research Cell, Placement Office, Registrar).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Track deadlines closely—missing the correction window means errors cannot be corrected.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Maintain evidence files and audit trails to support any corrections submitted.</w:t>
      </w:r>
    </w:p>
    <w:p>
      <w:pPr>
        <w:keepNext/>
        <w:spacing w:before="200" w:after="100"/>
      </w:pPr>
      <w:r>
        <w:rPr>
          <w:rFonts w:ascii="Cambria" w:hAnsi="Cambria" w:eastAsia="Cambria"/>
          <w:b/>
          <w:i w:val="0"/>
          <w:color w:val="1F3A5F"/>
          <w:sz w:val="26"/>
        </w:rPr>
        <w:t>Role of the Nodal Officer during NIRF data 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Role of the Nodal Officer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Every participating institution must appoint a NIRF Nodal Officer as the single point of contact with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Nodal Officer is responsible for coordinating data submission, verification, corrections, and communication with NIRF.</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Responsibility During Data 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When NIRF displays the processed data for cross-checking, the Nodal Officer must:</w:t>
      </w:r>
    </w:p>
    <w:p>
      <w:pPr>
        <w:spacing w:after="40"/>
        <w:ind w:left="1247" w:hanging="357"/>
      </w:pPr>
      <w:r>
        <w:rPr>
          <w:rFonts w:ascii="Cambria" w:hAnsi="Cambria" w:eastAsia="Cambria"/>
          <w:b w:val="0"/>
          <w:i w:val="0"/>
          <w:sz w:val="22"/>
        </w:rPr>
        <w:t>▪</w:t>
        <w:tab/>
      </w:r>
      <w:r>
        <w:rPr>
          <w:rFonts w:ascii="Cambria" w:hAnsi="Cambria" w:eastAsia="Cambria"/>
          <w:b w:val="0"/>
          <w:i w:val="0"/>
          <w:sz w:val="22"/>
        </w:rPr>
        <w:t>Carefully review all updated data for accuracy.</w:t>
      </w:r>
    </w:p>
    <w:p>
      <w:pPr>
        <w:spacing w:after="40"/>
        <w:ind w:left="1247" w:hanging="357"/>
      </w:pPr>
      <w:r>
        <w:rPr>
          <w:rFonts w:ascii="Cambria" w:hAnsi="Cambria" w:eastAsia="Cambria"/>
          <w:b w:val="0"/>
          <w:i w:val="0"/>
          <w:sz w:val="22"/>
        </w:rPr>
        <w:t>▪</w:t>
        <w:tab/>
      </w:r>
      <w:r>
        <w:rPr>
          <w:rFonts w:ascii="Cambria" w:hAnsi="Cambria" w:eastAsia="Cambria"/>
          <w:b w:val="0"/>
          <w:i w:val="0"/>
          <w:sz w:val="22"/>
        </w:rPr>
        <w:t>Cross-verify against institutional submissions and supporting documents.</w:t>
      </w:r>
    </w:p>
    <w:p>
      <w:pPr>
        <w:spacing w:after="40"/>
        <w:ind w:left="1247" w:hanging="357"/>
      </w:pPr>
      <w:r>
        <w:rPr>
          <w:rFonts w:ascii="Cambria" w:hAnsi="Cambria" w:eastAsia="Cambria"/>
          <w:b w:val="0"/>
          <w:i w:val="0"/>
          <w:sz w:val="22"/>
        </w:rPr>
        <w:t>▪</w:t>
        <w:tab/>
      </w:r>
      <w:r>
        <w:rPr>
          <w:rFonts w:ascii="Cambria" w:hAnsi="Cambria" w:eastAsia="Cambria"/>
          <w:b w:val="0"/>
          <w:i w:val="0"/>
          <w:sz w:val="22"/>
        </w:rPr>
        <w:t>Validate corrections, if any, during the official correction window.</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Action in Case of Errors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the Nodal Officer finds that incorrect data has been updated (either by mistake or due to system/database mismatch), they must:</w:t>
      </w:r>
    </w:p>
    <w:p>
      <w:pPr>
        <w:spacing w:after="40"/>
        <w:ind w:left="1247" w:hanging="357"/>
      </w:pPr>
      <w:r>
        <w:rPr>
          <w:rFonts w:ascii="Cambria" w:hAnsi="Cambria" w:eastAsia="Cambria"/>
          <w:b w:val="0"/>
          <w:i w:val="0"/>
          <w:sz w:val="22"/>
        </w:rPr>
        <w:t>▪</w:t>
        <w:tab/>
      </w:r>
      <w:r>
        <w:rPr>
          <w:rFonts w:ascii="Cambria" w:hAnsi="Cambria" w:eastAsia="Cambria"/>
          <w:b w:val="0"/>
          <w:i w:val="0"/>
          <w:sz w:val="22"/>
        </w:rPr>
        <w:t>Immediately notify NIRF via email before the rankings are officially announced.</w:t>
      </w:r>
    </w:p>
    <w:p>
      <w:pPr>
        <w:spacing w:after="40"/>
        <w:ind w:left="1247" w:hanging="357"/>
      </w:pPr>
      <w:r>
        <w:rPr>
          <w:rFonts w:ascii="Cambria" w:hAnsi="Cambria" w:eastAsia="Cambria"/>
          <w:b w:val="0"/>
          <w:i w:val="0"/>
          <w:sz w:val="22"/>
        </w:rPr>
        <w:t>▪</w:t>
        <w:tab/>
      </w:r>
      <w:r>
        <w:rPr>
          <w:rFonts w:ascii="Cambria" w:hAnsi="Cambria" w:eastAsia="Cambria"/>
          <w:b w:val="0"/>
          <w:i w:val="0"/>
          <w:sz w:val="22"/>
        </w:rPr>
        <w:t>Provide evidence-based justification for the correction request.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ensures that final scores are based on accurate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No Complaints After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Once the rankings are officially released, no further complaints, appeals, or correction requests will be accepted.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cannot challenge rankings on grounds of incorrect data if they fail to raise the issue within the verification window.</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Implications for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Nodal Officer's vigilance directly affects the institution's ranking outcome.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Any negligence or delay may result in incorrect data being locked in, impacting the institution's national ranking.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empower the Nodal Officer with access to all data and supporting documents for effective review.</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Best Practices for Nodal Officers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 a checklist of all submitted data and documents.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Conduct an internal review meeting with research cell, placement office, registrar, and finance before confirming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Keep a log of communications with NIRF for accountability.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 the correction window proactively rather than waiting until the deadline.</w:t>
      </w:r>
    </w:p>
    <w:p>
      <w:pPr>
        <w:keepNext/>
        <w:spacing w:before="200" w:after="100"/>
      </w:pPr>
      <w:r>
        <w:rPr>
          <w:rFonts w:ascii="Cambria" w:hAnsi="Cambria" w:eastAsia="Cambria"/>
          <w:b/>
          <w:i w:val="0"/>
          <w:color w:val="1F3A5F"/>
          <w:sz w:val="26"/>
        </w:rPr>
        <w:t>NIRF Nodal Officer Responsibility Checklist</w:t>
      </w:r>
    </w:p>
    <w:tbl>
      <w:tblPr>
        <w:tblW w:type="dxa" w:w="8278"/>
        <w:jc w:val="center"/>
        <w:tblLayout w:type="fixed"/>
        <w:tblLook w:firstColumn="1" w:firstRow="1" w:lastColumn="0" w:lastRow="0" w:noHBand="0" w:noVBand="1" w:val="04A0"/>
        <w:tblLayout w:type="fixed"/>
      </w:tblPr>
      <w:tblGrid>
        <w:gridCol w:w="2353"/>
        <w:gridCol w:w="2353"/>
        <w:gridCol w:w="2353"/>
        <w:gridCol w:w="2353"/>
      </w:tblGrid>
      <w:tr>
        <w:tc>
          <w:tcPr>
            <w:tcW w:type="dxa" w:w="2664"/>
            <w:shd w:val="clear" w:color="auto" w:fill="1F3A5F"/>
          </w:tcPr>
          <w:p>
            <w:pPr>
              <w:spacing w:after="40" w:line="240" w:lineRule="auto"/>
              <w:jc w:val="center"/>
            </w:pPr>
            <w:r/>
            <w:r>
              <w:rPr>
                <w:rFonts w:ascii="Cambria" w:hAnsi="Cambria" w:eastAsia="Cambria"/>
                <w:b/>
                <w:i w:val="0"/>
                <w:color w:val="FFFFFF"/>
                <w:sz w:val="22"/>
              </w:rPr>
              <w:t>Task</w:t>
            </w:r>
          </w:p>
        </w:tc>
        <w:tc>
          <w:tcPr>
            <w:tcW w:type="dxa" w:w="1757"/>
            <w:shd w:val="clear" w:color="auto" w:fill="1F3A5F"/>
          </w:tcPr>
          <w:p>
            <w:pPr>
              <w:spacing w:after="40" w:line="240" w:lineRule="auto"/>
              <w:jc w:val="center"/>
            </w:pPr>
            <w:r/>
            <w:r>
              <w:rPr>
                <w:rFonts w:ascii="Cambria" w:hAnsi="Cambria" w:eastAsia="Cambria"/>
                <w:b/>
                <w:i w:val="0"/>
                <w:color w:val="FFFFFF"/>
                <w:sz w:val="22"/>
              </w:rPr>
              <w:t>Timeline</w:t>
            </w:r>
          </w:p>
        </w:tc>
        <w:tc>
          <w:tcPr>
            <w:tcW w:type="dxa" w:w="2494"/>
            <w:shd w:val="clear" w:color="auto" w:fill="1F3A5F"/>
          </w:tcPr>
          <w:p>
            <w:pPr>
              <w:spacing w:after="40" w:line="240" w:lineRule="auto"/>
              <w:jc w:val="center"/>
            </w:pPr>
            <w:r/>
            <w:r>
              <w:rPr>
                <w:rFonts w:ascii="Cambria" w:hAnsi="Cambria" w:eastAsia="Cambria"/>
                <w:b/>
                <w:i w:val="0"/>
                <w:color w:val="FFFFFF"/>
                <w:sz w:val="22"/>
              </w:rPr>
              <w:t>Evidence Required</w:t>
            </w:r>
          </w:p>
        </w:tc>
        <w:tc>
          <w:tcPr>
            <w:tcW w:type="dxa" w:w="1360"/>
            <w:shd w:val="clear" w:color="auto" w:fill="1F3A5F"/>
          </w:tcPr>
          <w:p>
            <w:pPr>
              <w:spacing w:after="40" w:line="240" w:lineRule="auto"/>
              <w:jc w:val="center"/>
            </w:pPr>
            <w:r/>
            <w:r>
              <w:rPr>
                <w:rFonts w:ascii="Cambria" w:hAnsi="Cambria" w:eastAsia="Cambria"/>
                <w:b/>
                <w:i w:val="0"/>
                <w:color w:val="FFFFFF"/>
                <w:sz w:val="22"/>
              </w:rPr>
              <w:t>Status</w:t>
            </w:r>
          </w:p>
        </w:tc>
      </w:tr>
      <w:tr>
        <w:tc>
          <w:tcPr>
            <w:tcW w:type="dxa" w:w="2664"/>
          </w:tcPr>
          <w:p>
            <w:pPr>
              <w:spacing w:after="40" w:line="240" w:lineRule="auto"/>
              <w:jc w:val="left"/>
            </w:pPr>
            <w:r/>
            <w:r>
              <w:rPr>
                <w:rFonts w:ascii="Cambria" w:hAnsi="Cambria" w:eastAsia="Cambria"/>
                <w:b w:val="0"/>
                <w:i w:val="0"/>
                <w:sz w:val="22"/>
              </w:rPr>
              <w:t>Register institution on NIRF portal</w:t>
            </w:r>
          </w:p>
        </w:tc>
        <w:tc>
          <w:tcPr>
            <w:tcW w:type="dxa" w:w="1757"/>
          </w:tcPr>
          <w:p>
            <w:pPr>
              <w:spacing w:after="40" w:line="240" w:lineRule="auto"/>
              <w:jc w:val="center"/>
            </w:pPr>
            <w:r/>
            <w:r>
              <w:rPr>
                <w:rFonts w:ascii="Cambria" w:hAnsi="Cambria" w:eastAsia="Cambria"/>
                <w:b w:val="0"/>
                <w:i w:val="0"/>
                <w:sz w:val="22"/>
              </w:rPr>
              <w:t>Before data submission deadline</w:t>
            </w:r>
          </w:p>
        </w:tc>
        <w:tc>
          <w:tcPr>
            <w:tcW w:type="dxa" w:w="2494"/>
          </w:tcPr>
          <w:p>
            <w:pPr>
              <w:spacing w:after="40" w:line="240" w:lineRule="auto"/>
              <w:jc w:val="center"/>
            </w:pPr>
            <w:r/>
            <w:r>
              <w:rPr>
                <w:rFonts w:ascii="Cambria" w:hAnsi="Cambria" w:eastAsia="Cambria"/>
                <w:b w:val="0"/>
                <w:i w:val="0"/>
                <w:sz w:val="22"/>
              </w:rPr>
              <w:t>Registration confirmation from NIRF portal</w:t>
            </w:r>
          </w:p>
        </w:tc>
        <w:tc>
          <w:tcPr>
            <w:tcW w:type="dxa" w:w="1360"/>
          </w:tcPr>
          <w:p>
            <w:pPr>
              <w:spacing w:after="40" w:line="240" w:lineRule="auto"/>
              <w:jc w:val="center"/>
            </w:pPr>
            <w:r/>
            <w:r>
              <w:rPr>
                <w:rFonts w:ascii="Cambria" w:hAnsi="Cambria" w:eastAsia="Cambria"/>
                <w:b w:val="0"/>
                <w:i w:val="0"/>
                <w:sz w:val="22"/>
              </w:rPr>
              <w:t>Pending / Completed</w:t>
            </w:r>
          </w:p>
        </w:tc>
      </w:tr>
      <w:tr>
        <w:tc>
          <w:tcPr>
            <w:tcW w:type="dxa" w:w="2664"/>
            <w:shd w:val="clear" w:color="auto" w:fill="DCE6F1"/>
          </w:tcPr>
          <w:p>
            <w:pPr>
              <w:spacing w:after="40" w:line="240" w:lineRule="auto"/>
              <w:jc w:val="left"/>
            </w:pPr>
            <w:r/>
            <w:r>
              <w:rPr>
                <w:rFonts w:ascii="Cambria" w:hAnsi="Cambria" w:eastAsia="Cambria"/>
                <w:b w:val="0"/>
                <w:i w:val="0"/>
                <w:sz w:val="22"/>
              </w:rPr>
              <w:t>Coordinate collection of data from all departments (TLR, RP, GO, OI, PR)</w:t>
            </w:r>
          </w:p>
        </w:tc>
        <w:tc>
          <w:tcPr>
            <w:tcW w:type="dxa" w:w="1757"/>
            <w:shd w:val="clear" w:color="auto" w:fill="DCE6F1"/>
          </w:tcPr>
          <w:p>
            <w:pPr>
              <w:spacing w:after="40" w:line="240" w:lineRule="auto"/>
              <w:jc w:val="center"/>
            </w:pPr>
            <w:r/>
            <w:r>
              <w:rPr>
                <w:rFonts w:ascii="Cambria" w:hAnsi="Cambria" w:eastAsia="Cambria"/>
                <w:b w:val="0"/>
                <w:i w:val="0"/>
                <w:sz w:val="22"/>
              </w:rPr>
              <w:t>During preparation phase</w:t>
            </w:r>
          </w:p>
        </w:tc>
        <w:tc>
          <w:tcPr>
            <w:tcW w:type="dxa" w:w="2494"/>
            <w:shd w:val="clear" w:color="auto" w:fill="DCE6F1"/>
          </w:tcPr>
          <w:p>
            <w:pPr>
              <w:spacing w:after="40" w:line="240" w:lineRule="auto"/>
              <w:jc w:val="center"/>
            </w:pPr>
            <w:r/>
            <w:r>
              <w:rPr>
                <w:rFonts w:ascii="Cambria" w:hAnsi="Cambria" w:eastAsia="Cambria"/>
                <w:b w:val="0"/>
                <w:i w:val="0"/>
                <w:sz w:val="22"/>
              </w:rPr>
              <w:t>Departmental submissions, signed verification notes</w:t>
            </w:r>
          </w:p>
        </w:tc>
        <w:tc>
          <w:tcPr>
            <w:tcW w:type="dxa" w:w="1360"/>
            <w:shd w:val="clear" w:color="auto" w:fill="DCE6F1"/>
          </w:tcPr>
          <w:p>
            <w:pPr>
              <w:spacing w:after="40" w:line="240" w:lineRule="auto"/>
              <w:jc w:val="center"/>
            </w:pPr>
            <w:r/>
            <w:r>
              <w:rPr>
                <w:rFonts w:ascii="Cambria" w:hAnsi="Cambria" w:eastAsia="Cambria"/>
                <w:b w:val="0"/>
                <w:i w:val="0"/>
                <w:sz w:val="22"/>
              </w:rPr>
              <w:t>Pending / Completed</w:t>
            </w:r>
          </w:p>
        </w:tc>
      </w:tr>
      <w:tr>
        <w:tc>
          <w:tcPr>
            <w:tcW w:type="dxa" w:w="2664"/>
          </w:tcPr>
          <w:p>
            <w:pPr>
              <w:spacing w:after="40" w:line="240" w:lineRule="auto"/>
              <w:jc w:val="left"/>
            </w:pPr>
            <w:r/>
            <w:r>
              <w:rPr>
                <w:rFonts w:ascii="Cambria" w:hAnsi="Cambria" w:eastAsia="Cambria"/>
                <w:b w:val="0"/>
                <w:i w:val="0"/>
                <w:sz w:val="22"/>
              </w:rPr>
              <w:t>Ensure data is uploaded in the prescribed online format</w:t>
            </w:r>
          </w:p>
        </w:tc>
        <w:tc>
          <w:tcPr>
            <w:tcW w:type="dxa" w:w="1757"/>
          </w:tcPr>
          <w:p>
            <w:pPr>
              <w:spacing w:after="40" w:line="240" w:lineRule="auto"/>
              <w:jc w:val="center"/>
            </w:pPr>
            <w:r/>
            <w:r>
              <w:rPr>
                <w:rFonts w:ascii="Cambria" w:hAnsi="Cambria" w:eastAsia="Cambria"/>
                <w:b w:val="0"/>
                <w:i w:val="0"/>
                <w:sz w:val="22"/>
              </w:rPr>
              <w:t>Before submission deadline</w:t>
            </w:r>
          </w:p>
        </w:tc>
        <w:tc>
          <w:tcPr>
            <w:tcW w:type="dxa" w:w="2494"/>
          </w:tcPr>
          <w:p>
            <w:pPr>
              <w:spacing w:after="40" w:line="240" w:lineRule="auto"/>
              <w:jc w:val="center"/>
            </w:pPr>
            <w:r/>
            <w:r>
              <w:rPr>
                <w:rFonts w:ascii="Cambria" w:hAnsi="Cambria" w:eastAsia="Cambria"/>
                <w:b w:val="0"/>
                <w:i w:val="0"/>
                <w:sz w:val="22"/>
              </w:rPr>
              <w:t>Screenshot of portal submission, acknowledgment receipt</w:t>
            </w:r>
          </w:p>
        </w:tc>
        <w:tc>
          <w:tcPr>
            <w:tcW w:type="dxa" w:w="1360"/>
          </w:tcPr>
          <w:p>
            <w:pPr>
              <w:spacing w:after="40" w:line="240" w:lineRule="auto"/>
              <w:jc w:val="center"/>
            </w:pPr>
            <w:r/>
            <w:r>
              <w:rPr>
                <w:rFonts w:ascii="Cambria" w:hAnsi="Cambria" w:eastAsia="Cambria"/>
                <w:b w:val="0"/>
                <w:i w:val="0"/>
                <w:sz w:val="22"/>
              </w:rPr>
              <w:t>Pending / Completed</w:t>
            </w:r>
          </w:p>
        </w:tc>
      </w:tr>
      <w:tr>
        <w:tc>
          <w:tcPr>
            <w:tcW w:type="dxa" w:w="2664"/>
            <w:shd w:val="clear" w:color="auto" w:fill="DCE6F1"/>
          </w:tcPr>
          <w:p>
            <w:pPr>
              <w:spacing w:after="40" w:line="240" w:lineRule="auto"/>
              <w:jc w:val="left"/>
            </w:pPr>
            <w:r/>
            <w:r>
              <w:rPr>
                <w:rFonts w:ascii="Cambria" w:hAnsi="Cambria" w:eastAsia="Cambria"/>
                <w:b w:val="0"/>
                <w:i w:val="0"/>
                <w:sz w:val="22"/>
              </w:rPr>
              <w:t>Publish submitted data on institution website (NIRF homepage link)</w:t>
            </w:r>
          </w:p>
        </w:tc>
        <w:tc>
          <w:tcPr>
            <w:tcW w:type="dxa" w:w="1757"/>
            <w:shd w:val="clear" w:color="auto" w:fill="DCE6F1"/>
          </w:tcPr>
          <w:p>
            <w:pPr>
              <w:spacing w:after="40" w:line="240" w:lineRule="auto"/>
              <w:jc w:val="center"/>
            </w:pPr>
            <w:r/>
            <w:r>
              <w:rPr>
                <w:rFonts w:ascii="Cambria" w:hAnsi="Cambria" w:eastAsia="Cambria"/>
                <w:b w:val="0"/>
                <w:i w:val="0"/>
                <w:sz w:val="22"/>
              </w:rPr>
              <w:t>Immediately after portal submission</w:t>
            </w:r>
          </w:p>
        </w:tc>
        <w:tc>
          <w:tcPr>
            <w:tcW w:type="dxa" w:w="2494"/>
            <w:shd w:val="clear" w:color="auto" w:fill="DCE6F1"/>
          </w:tcPr>
          <w:p>
            <w:pPr>
              <w:spacing w:after="40" w:line="240" w:lineRule="auto"/>
              <w:jc w:val="center"/>
            </w:pPr>
            <w:r/>
            <w:r>
              <w:rPr>
                <w:rFonts w:ascii="Cambria" w:hAnsi="Cambria" w:eastAsia="Cambria"/>
                <w:b w:val="0"/>
                <w:i w:val="0"/>
                <w:sz w:val="22"/>
              </w:rPr>
              <w:t>Active webpage link, uploaded files</w:t>
            </w:r>
          </w:p>
        </w:tc>
        <w:tc>
          <w:tcPr>
            <w:tcW w:type="dxa" w:w="1360"/>
            <w:shd w:val="clear" w:color="auto" w:fill="DCE6F1"/>
          </w:tcPr>
          <w:p>
            <w:pPr>
              <w:spacing w:after="40" w:line="240" w:lineRule="auto"/>
              <w:jc w:val="center"/>
            </w:pPr>
            <w:r/>
            <w:r>
              <w:rPr>
                <w:rFonts w:ascii="Cambria" w:hAnsi="Cambria" w:eastAsia="Cambria"/>
                <w:b w:val="0"/>
                <w:i w:val="0"/>
                <w:sz w:val="22"/>
              </w:rPr>
              <w:t>Pending / Completed</w:t>
            </w:r>
          </w:p>
        </w:tc>
      </w:tr>
      <w:tr>
        <w:tc>
          <w:tcPr>
            <w:tcW w:type="dxa" w:w="2664"/>
          </w:tcPr>
          <w:p>
            <w:pPr>
              <w:spacing w:after="40" w:line="240" w:lineRule="auto"/>
              <w:jc w:val="left"/>
            </w:pPr>
            <w:r/>
            <w:r>
              <w:rPr>
                <w:rFonts w:ascii="Cambria" w:hAnsi="Cambria" w:eastAsia="Cambria"/>
                <w:b w:val="0"/>
                <w:i w:val="0"/>
                <w:sz w:val="22"/>
              </w:rPr>
              <w:t>Review processed data displayed by NIRF</w:t>
            </w:r>
          </w:p>
        </w:tc>
        <w:tc>
          <w:tcPr>
            <w:tcW w:type="dxa" w:w="1757"/>
          </w:tcPr>
          <w:p>
            <w:pPr>
              <w:spacing w:after="40" w:line="240" w:lineRule="auto"/>
              <w:jc w:val="center"/>
            </w:pPr>
            <w:r/>
            <w:r>
              <w:rPr>
                <w:rFonts w:ascii="Cambria" w:hAnsi="Cambria" w:eastAsia="Cambria"/>
                <w:b w:val="0"/>
                <w:i w:val="0"/>
                <w:sz w:val="22"/>
              </w:rPr>
              <w:t>Within 24–48 hours of display</w:t>
            </w:r>
          </w:p>
        </w:tc>
        <w:tc>
          <w:tcPr>
            <w:tcW w:type="dxa" w:w="2494"/>
          </w:tcPr>
          <w:p>
            <w:pPr>
              <w:spacing w:after="40" w:line="240" w:lineRule="auto"/>
              <w:jc w:val="center"/>
            </w:pPr>
            <w:r/>
            <w:r>
              <w:rPr>
                <w:rFonts w:ascii="Cambria" w:hAnsi="Cambria" w:eastAsia="Cambria"/>
                <w:b w:val="0"/>
                <w:i w:val="0"/>
                <w:sz w:val="22"/>
              </w:rPr>
              <w:t>Cross-check sheet (institutional vs. NIRF data)</w:t>
            </w:r>
          </w:p>
        </w:tc>
        <w:tc>
          <w:tcPr>
            <w:tcW w:type="dxa" w:w="1360"/>
          </w:tcPr>
          <w:p>
            <w:pPr>
              <w:spacing w:after="40" w:line="240" w:lineRule="auto"/>
              <w:jc w:val="center"/>
            </w:pPr>
            <w:r/>
            <w:r>
              <w:rPr>
                <w:rFonts w:ascii="Cambria" w:hAnsi="Cambria" w:eastAsia="Cambria"/>
                <w:b w:val="0"/>
                <w:i w:val="0"/>
                <w:sz w:val="22"/>
              </w:rPr>
              <w:t>Pending / Completed</w:t>
            </w:r>
          </w:p>
        </w:tc>
      </w:tr>
      <w:tr>
        <w:tc>
          <w:tcPr>
            <w:tcW w:type="dxa" w:w="2664"/>
            <w:shd w:val="clear" w:color="auto" w:fill="DCE6F1"/>
          </w:tcPr>
          <w:p>
            <w:pPr>
              <w:spacing w:after="40" w:line="240" w:lineRule="auto"/>
              <w:jc w:val="left"/>
            </w:pPr>
            <w:r/>
            <w:r>
              <w:rPr>
                <w:rFonts w:ascii="Cambria" w:hAnsi="Cambria" w:eastAsia="Cambria"/>
                <w:b w:val="0"/>
                <w:i w:val="0"/>
                <w:sz w:val="22"/>
              </w:rPr>
              <w:t>Verify third-party data (publications, patents, placements, funding)</w:t>
            </w:r>
          </w:p>
        </w:tc>
        <w:tc>
          <w:tcPr>
            <w:tcW w:type="dxa" w:w="1757"/>
            <w:shd w:val="clear" w:color="auto" w:fill="DCE6F1"/>
          </w:tcPr>
          <w:p>
            <w:pPr>
              <w:spacing w:after="40" w:line="240" w:lineRule="auto"/>
              <w:jc w:val="center"/>
            </w:pPr>
            <w:r/>
            <w:r>
              <w:rPr>
                <w:rFonts w:ascii="Cambria" w:hAnsi="Cambria" w:eastAsia="Cambria"/>
                <w:b w:val="0"/>
                <w:i w:val="0"/>
                <w:sz w:val="22"/>
              </w:rPr>
              <w:t>During correction window</w:t>
            </w:r>
          </w:p>
        </w:tc>
        <w:tc>
          <w:tcPr>
            <w:tcW w:type="dxa" w:w="2494"/>
            <w:shd w:val="clear" w:color="auto" w:fill="DCE6F1"/>
          </w:tcPr>
          <w:p>
            <w:pPr>
              <w:spacing w:after="40" w:line="240" w:lineRule="auto"/>
              <w:jc w:val="center"/>
            </w:pPr>
            <w:r/>
            <w:r>
              <w:rPr>
                <w:rFonts w:ascii="Cambria" w:hAnsi="Cambria" w:eastAsia="Cambria"/>
                <w:b w:val="0"/>
                <w:i w:val="0"/>
                <w:sz w:val="22"/>
              </w:rPr>
              <w:t>Scopus/WoS reports, patent numbers, placement records</w:t>
            </w:r>
          </w:p>
        </w:tc>
        <w:tc>
          <w:tcPr>
            <w:tcW w:type="dxa" w:w="1360"/>
            <w:shd w:val="clear" w:color="auto" w:fill="DCE6F1"/>
          </w:tcPr>
          <w:p>
            <w:pPr>
              <w:spacing w:after="40" w:line="240" w:lineRule="auto"/>
              <w:jc w:val="center"/>
            </w:pPr>
            <w:r/>
            <w:r>
              <w:rPr>
                <w:rFonts w:ascii="Cambria" w:hAnsi="Cambria" w:eastAsia="Cambria"/>
                <w:b w:val="0"/>
                <w:i w:val="0"/>
                <w:sz w:val="22"/>
              </w:rPr>
              <w:t>Pending / Completed</w:t>
            </w:r>
          </w:p>
        </w:tc>
      </w:tr>
      <w:tr>
        <w:tc>
          <w:tcPr>
            <w:tcW w:type="dxa" w:w="2664"/>
          </w:tcPr>
          <w:p>
            <w:pPr>
              <w:spacing w:after="40" w:line="240" w:lineRule="auto"/>
              <w:jc w:val="left"/>
            </w:pPr>
            <w:r/>
            <w:r>
              <w:rPr>
                <w:rFonts w:ascii="Cambria" w:hAnsi="Cambria" w:eastAsia="Cambria"/>
                <w:b w:val="0"/>
                <w:i w:val="0"/>
                <w:sz w:val="22"/>
              </w:rPr>
              <w:t>Submit corrections/comments if discrepancies found</w:t>
            </w:r>
          </w:p>
        </w:tc>
        <w:tc>
          <w:tcPr>
            <w:tcW w:type="dxa" w:w="1757"/>
          </w:tcPr>
          <w:p>
            <w:pPr>
              <w:spacing w:after="40" w:line="240" w:lineRule="auto"/>
              <w:jc w:val="center"/>
            </w:pPr>
            <w:r/>
            <w:r>
              <w:rPr>
                <w:rFonts w:ascii="Cambria" w:hAnsi="Cambria" w:eastAsia="Cambria"/>
                <w:b w:val="0"/>
                <w:i w:val="0"/>
                <w:sz w:val="22"/>
              </w:rPr>
              <w:t>Within official correction window</w:t>
            </w:r>
          </w:p>
        </w:tc>
        <w:tc>
          <w:tcPr>
            <w:tcW w:type="dxa" w:w="2494"/>
          </w:tcPr>
          <w:p>
            <w:pPr>
              <w:spacing w:after="40" w:line="240" w:lineRule="auto"/>
              <w:jc w:val="center"/>
            </w:pPr>
            <w:r/>
            <w:r>
              <w:rPr>
                <w:rFonts w:ascii="Cambria" w:hAnsi="Cambria" w:eastAsia="Cambria"/>
                <w:b w:val="0"/>
                <w:i w:val="0"/>
                <w:sz w:val="22"/>
              </w:rPr>
              <w:t>Official email to NIRF with evidence attachments</w:t>
            </w:r>
          </w:p>
        </w:tc>
        <w:tc>
          <w:tcPr>
            <w:tcW w:type="dxa" w:w="1360"/>
          </w:tcPr>
          <w:p>
            <w:pPr>
              <w:spacing w:after="40" w:line="240" w:lineRule="auto"/>
              <w:jc w:val="center"/>
            </w:pPr>
            <w:r/>
            <w:r>
              <w:rPr>
                <w:rFonts w:ascii="Cambria" w:hAnsi="Cambria" w:eastAsia="Cambria"/>
                <w:b w:val="0"/>
                <w:i w:val="0"/>
                <w:sz w:val="22"/>
              </w:rPr>
              <w:t>Pending / Completed</w:t>
            </w:r>
          </w:p>
        </w:tc>
      </w:tr>
      <w:tr>
        <w:tc>
          <w:tcPr>
            <w:tcW w:type="dxa" w:w="2664"/>
            <w:shd w:val="clear" w:color="auto" w:fill="DCE6F1"/>
          </w:tcPr>
          <w:p>
            <w:pPr>
              <w:spacing w:after="40" w:line="240" w:lineRule="auto"/>
              <w:jc w:val="left"/>
            </w:pPr>
            <w:r/>
            <w:r>
              <w:rPr>
                <w:rFonts w:ascii="Cambria" w:hAnsi="Cambria" w:eastAsia="Cambria"/>
                <w:b w:val="0"/>
                <w:i w:val="0"/>
                <w:sz w:val="22"/>
              </w:rPr>
              <w:t>Confirm “No Objection” if data is accurate</w:t>
            </w:r>
          </w:p>
        </w:tc>
        <w:tc>
          <w:tcPr>
            <w:tcW w:type="dxa" w:w="1757"/>
            <w:shd w:val="clear" w:color="auto" w:fill="DCE6F1"/>
          </w:tcPr>
          <w:p>
            <w:pPr>
              <w:spacing w:after="40" w:line="240" w:lineRule="auto"/>
              <w:jc w:val="center"/>
            </w:pPr>
            <w:r/>
            <w:r>
              <w:rPr>
                <w:rFonts w:ascii="Cambria" w:hAnsi="Cambria" w:eastAsia="Cambria"/>
                <w:b w:val="0"/>
                <w:i w:val="0"/>
                <w:sz w:val="22"/>
              </w:rPr>
              <w:t>Before correction window closes</w:t>
            </w:r>
          </w:p>
        </w:tc>
        <w:tc>
          <w:tcPr>
            <w:tcW w:type="dxa" w:w="2494"/>
            <w:shd w:val="clear" w:color="auto" w:fill="DCE6F1"/>
          </w:tcPr>
          <w:p>
            <w:pPr>
              <w:spacing w:after="40" w:line="240" w:lineRule="auto"/>
              <w:jc w:val="center"/>
            </w:pPr>
            <w:r/>
            <w:r>
              <w:rPr>
                <w:rFonts w:ascii="Cambria" w:hAnsi="Cambria" w:eastAsia="Cambria"/>
                <w:b w:val="0"/>
                <w:i w:val="0"/>
                <w:sz w:val="22"/>
              </w:rPr>
              <w:t>Confirmation email/file from institution head/Nodal officer</w:t>
            </w:r>
          </w:p>
        </w:tc>
        <w:tc>
          <w:tcPr>
            <w:tcW w:type="dxa" w:w="1360"/>
            <w:shd w:val="clear" w:color="auto" w:fill="DCE6F1"/>
          </w:tcPr>
          <w:p>
            <w:pPr>
              <w:spacing w:after="40" w:line="240" w:lineRule="auto"/>
              <w:jc w:val="center"/>
            </w:pPr>
            <w:r/>
            <w:r>
              <w:rPr>
                <w:rFonts w:ascii="Cambria" w:hAnsi="Cambria" w:eastAsia="Cambria"/>
                <w:b w:val="0"/>
                <w:i w:val="0"/>
                <w:sz w:val="22"/>
              </w:rPr>
              <w:t>Pending / Completed</w:t>
            </w:r>
          </w:p>
        </w:tc>
      </w:tr>
      <w:tr>
        <w:tc>
          <w:tcPr>
            <w:tcW w:type="dxa" w:w="2664"/>
          </w:tcPr>
          <w:p>
            <w:pPr>
              <w:spacing w:after="40" w:line="240" w:lineRule="auto"/>
              <w:jc w:val="left"/>
            </w:pPr>
            <w:r/>
            <w:r>
              <w:rPr>
                <w:rFonts w:ascii="Cambria" w:hAnsi="Cambria" w:eastAsia="Cambria"/>
                <w:b w:val="0"/>
                <w:i w:val="0"/>
                <w:sz w:val="22"/>
              </w:rPr>
              <w:t>Archive all data submitted and verified for record-keeping</w:t>
            </w:r>
          </w:p>
        </w:tc>
        <w:tc>
          <w:tcPr>
            <w:tcW w:type="dxa" w:w="1757"/>
          </w:tcPr>
          <w:p>
            <w:pPr>
              <w:spacing w:after="40" w:line="240" w:lineRule="auto"/>
              <w:jc w:val="center"/>
            </w:pPr>
            <w:r/>
            <w:r>
              <w:rPr>
                <w:rFonts w:ascii="Cambria" w:hAnsi="Cambria" w:eastAsia="Cambria"/>
                <w:b w:val="0"/>
                <w:i w:val="0"/>
                <w:sz w:val="22"/>
              </w:rPr>
              <w:t>After correction phase</w:t>
            </w:r>
          </w:p>
        </w:tc>
        <w:tc>
          <w:tcPr>
            <w:tcW w:type="dxa" w:w="2494"/>
          </w:tcPr>
          <w:p>
            <w:pPr>
              <w:spacing w:after="40" w:line="240" w:lineRule="auto"/>
              <w:jc w:val="center"/>
            </w:pPr>
            <w:r/>
            <w:r>
              <w:rPr>
                <w:rFonts w:ascii="Cambria" w:hAnsi="Cambria" w:eastAsia="Cambria"/>
                <w:b w:val="0"/>
                <w:i w:val="0"/>
                <w:sz w:val="22"/>
              </w:rPr>
              <w:t>Institutional repository of submitted files</w:t>
            </w:r>
          </w:p>
        </w:tc>
        <w:tc>
          <w:tcPr>
            <w:tcW w:type="dxa" w:w="1360"/>
          </w:tcPr>
          <w:p>
            <w:pPr>
              <w:spacing w:after="40" w:line="240" w:lineRule="auto"/>
              <w:jc w:val="center"/>
            </w:pPr>
            <w:r/>
            <w:r>
              <w:rPr>
                <w:rFonts w:ascii="Cambria" w:hAnsi="Cambria" w:eastAsia="Cambria"/>
                <w:b w:val="0"/>
                <w:i w:val="0"/>
                <w:sz w:val="22"/>
              </w:rPr>
              <w:t>Pending / Completed</w:t>
            </w:r>
          </w:p>
        </w:tc>
      </w:tr>
      <w:tr>
        <w:tc>
          <w:tcPr>
            <w:tcW w:type="dxa" w:w="2664"/>
            <w:shd w:val="clear" w:color="auto" w:fill="DCE6F1"/>
          </w:tcPr>
          <w:p>
            <w:pPr>
              <w:spacing w:after="40" w:line="240" w:lineRule="auto"/>
              <w:jc w:val="left"/>
            </w:pPr>
            <w:r/>
            <w:r>
              <w:rPr>
                <w:rFonts w:ascii="Cambria" w:hAnsi="Cambria" w:eastAsia="Cambria"/>
                <w:b w:val="0"/>
                <w:i w:val="0"/>
                <w:sz w:val="22"/>
              </w:rPr>
              <w:t>Monitor final ranking publication and prepare institutional communication</w:t>
            </w:r>
          </w:p>
        </w:tc>
        <w:tc>
          <w:tcPr>
            <w:tcW w:type="dxa" w:w="1757"/>
            <w:shd w:val="clear" w:color="auto" w:fill="DCE6F1"/>
          </w:tcPr>
          <w:p>
            <w:pPr>
              <w:spacing w:after="40" w:line="240" w:lineRule="auto"/>
              <w:jc w:val="center"/>
            </w:pPr>
            <w:r/>
            <w:r>
              <w:rPr>
                <w:rFonts w:ascii="Cambria" w:hAnsi="Cambria" w:eastAsia="Cambria"/>
                <w:b w:val="0"/>
                <w:i w:val="0"/>
                <w:sz w:val="22"/>
              </w:rPr>
              <w:t>First Monday of April (release day)</w:t>
            </w:r>
          </w:p>
        </w:tc>
        <w:tc>
          <w:tcPr>
            <w:tcW w:type="dxa" w:w="2494"/>
            <w:shd w:val="clear" w:color="auto" w:fill="DCE6F1"/>
          </w:tcPr>
          <w:p>
            <w:pPr>
              <w:spacing w:after="40" w:line="240" w:lineRule="auto"/>
              <w:jc w:val="center"/>
            </w:pPr>
            <w:r/>
            <w:r>
              <w:rPr>
                <w:rFonts w:ascii="Cambria" w:hAnsi="Cambria" w:eastAsia="Cambria"/>
                <w:b w:val="0"/>
                <w:i w:val="0"/>
                <w:sz w:val="22"/>
              </w:rPr>
              <w:t>Official NIRF ranking list</w:t>
            </w:r>
          </w:p>
        </w:tc>
        <w:tc>
          <w:tcPr>
            <w:tcW w:type="dxa" w:w="1360"/>
            <w:shd w:val="clear" w:color="auto" w:fill="DCE6F1"/>
          </w:tcPr>
          <w:p>
            <w:pPr>
              <w:spacing w:after="40" w:line="240" w:lineRule="auto"/>
              <w:jc w:val="center"/>
            </w:pPr>
            <w:r/>
            <w:r>
              <w:rPr>
                <w:rFonts w:ascii="Cambria" w:hAnsi="Cambria" w:eastAsia="Cambria"/>
                <w:b w:val="0"/>
                <w:i w:val="0"/>
                <w:sz w:val="22"/>
              </w:rPr>
              <w:t>Pending / Completed</w:t>
            </w:r>
          </w:p>
        </w:tc>
      </w:tr>
    </w:tbl>
    <w:p>
      <w:pPr>
        <w:spacing w:after="40" w:line="276" w:lineRule="auto"/>
      </w:pPr>
      <w:r>
        <w:rPr>
          <w:rFonts w:ascii="Cambria" w:hAnsi="Cambria" w:eastAsia="Cambria"/>
          <w:b/>
          <w:i w:val="0"/>
          <w:sz w:val="22"/>
        </w:rPr>
        <w:t>How to use this checklist: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Add it to an Excel tracker so the Nodal Officer can tick off each stage.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Use the Status column to monitor progress (Pending/Completed/In Review).</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Helps ensure no deadlines are missed and all evidence is well-documented.</w:t>
      </w:r>
    </w:p>
    <w:p>
      <w:pPr>
        <w:keepNext/>
        <w:spacing w:before="200" w:after="100"/>
      </w:pPr>
      <w:r>
        <w:rPr>
          <w:rFonts w:ascii="Cambria" w:hAnsi="Cambria" w:eastAsia="Cambria"/>
          <w:b/>
          <w:i w:val="0"/>
          <w:color w:val="1F3A5F"/>
          <w:sz w:val="26"/>
        </w:rPr>
        <w:t>NIRF Overall Ranking Parameters &amp; Weightages (2024)</w:t>
      </w:r>
    </w:p>
    <w:tbl>
      <w:tblPr>
        <w:tblW w:type="dxa" w:w="9412"/>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850"/>
            <w:shd w:val="clear" w:color="auto" w:fill="1F3A5F"/>
          </w:tcPr>
          <w:p>
            <w:pPr>
              <w:spacing w:after="40" w:line="240" w:lineRule="auto"/>
              <w:jc w:val="center"/>
            </w:pPr>
            <w:r/>
            <w:r>
              <w:rPr>
                <w:rFonts w:ascii="Cambria" w:hAnsi="Cambria" w:eastAsia="Cambria"/>
                <w:b/>
                <w:i w:val="0"/>
                <w:color w:val="FFFFFF"/>
                <w:sz w:val="22"/>
              </w:rPr>
              <w:t>Sr. No.</w:t>
            </w:r>
          </w:p>
        </w:tc>
        <w:tc>
          <w:tcPr>
            <w:tcW w:type="dxa" w:w="3742"/>
            <w:shd w:val="clear" w:color="auto" w:fill="1F3A5F"/>
          </w:tcPr>
          <w:p>
            <w:pPr>
              <w:spacing w:after="40" w:line="240" w:lineRule="auto"/>
              <w:jc w:val="center"/>
            </w:pPr>
            <w:r/>
            <w:r>
              <w:rPr>
                <w:rFonts w:ascii="Cambria" w:hAnsi="Cambria" w:eastAsia="Cambria"/>
                <w:b/>
                <w:i w:val="0"/>
                <w:color w:val="FFFFFF"/>
                <w:sz w:val="22"/>
              </w:rPr>
              <w:t>Parameter</w:t>
            </w:r>
          </w:p>
        </w:tc>
        <w:tc>
          <w:tcPr>
            <w:tcW w:type="dxa" w:w="1304"/>
            <w:shd w:val="clear" w:color="auto" w:fill="1F3A5F"/>
          </w:tcPr>
          <w:p>
            <w:pPr>
              <w:spacing w:after="40" w:line="240" w:lineRule="auto"/>
              <w:jc w:val="center"/>
            </w:pPr>
            <w:r/>
            <w:r>
              <w:rPr>
                <w:rFonts w:ascii="Cambria" w:hAnsi="Cambria" w:eastAsia="Cambria"/>
                <w:b/>
                <w:i w:val="0"/>
                <w:color w:val="FFFFFF"/>
                <w:sz w:val="22"/>
              </w:rPr>
              <w:t>Max Marks</w:t>
            </w:r>
          </w:p>
        </w:tc>
        <w:tc>
          <w:tcPr>
            <w:tcW w:type="dxa" w:w="1304"/>
            <w:shd w:val="clear" w:color="auto" w:fill="1F3A5F"/>
          </w:tcPr>
          <w:p>
            <w:pPr>
              <w:spacing w:after="40" w:line="240" w:lineRule="auto"/>
              <w:jc w:val="center"/>
            </w:pPr>
            <w:r/>
            <w:r>
              <w:rPr>
                <w:rFonts w:ascii="Cambria" w:hAnsi="Cambria" w:eastAsia="Cambria"/>
                <w:b/>
                <w:i w:val="0"/>
                <w:color w:val="FFFFFF"/>
                <w:sz w:val="22"/>
              </w:rPr>
              <w:t>Weightage</w:t>
            </w:r>
          </w:p>
        </w:tc>
        <w:tc>
          <w:tcPr>
            <w:tcW w:type="dxa" w:w="2211"/>
            <w:shd w:val="clear" w:color="auto" w:fill="1F3A5F"/>
          </w:tcPr>
          <w:p>
            <w:pPr>
              <w:spacing w:after="40" w:line="240" w:lineRule="auto"/>
              <w:jc w:val="center"/>
            </w:pPr>
            <w:r/>
            <w:r>
              <w:rPr>
                <w:rFonts w:ascii="Cambria" w:hAnsi="Cambria" w:eastAsia="Cambria"/>
                <w:b/>
                <w:i w:val="0"/>
                <w:color w:val="FFFFFF"/>
                <w:sz w:val="22"/>
              </w:rPr>
              <w:t>Contribution to Overall Score (Out of 100)</w:t>
            </w:r>
          </w:p>
        </w:tc>
      </w:tr>
      <w:tr>
        <w:tc>
          <w:tcPr>
            <w:tcW w:type="dxa" w:w="850"/>
          </w:tcPr>
          <w:p>
            <w:pPr>
              <w:spacing w:after="40" w:line="240" w:lineRule="auto"/>
              <w:jc w:val="left"/>
            </w:pPr>
            <w:r/>
            <w:r>
              <w:rPr>
                <w:rFonts w:ascii="Cambria" w:hAnsi="Cambria" w:eastAsia="Cambria"/>
                <w:b w:val="0"/>
                <w:i w:val="0"/>
                <w:sz w:val="22"/>
              </w:rPr>
              <w:t>1</w:t>
            </w:r>
          </w:p>
        </w:tc>
        <w:tc>
          <w:tcPr>
            <w:tcW w:type="dxa" w:w="3742"/>
          </w:tcPr>
          <w:p>
            <w:pPr>
              <w:spacing w:after="40" w:line="240" w:lineRule="auto"/>
              <w:jc w:val="center"/>
            </w:pPr>
            <w:r/>
            <w:r>
              <w:rPr>
                <w:rFonts w:ascii="Cambria" w:hAnsi="Cambria" w:eastAsia="Cambria"/>
                <w:b w:val="0"/>
                <w:i w:val="0"/>
                <w:sz w:val="22"/>
              </w:rPr>
              <w:t>Teaching, Learning &amp; Resources (TLR)</w:t>
            </w:r>
          </w:p>
        </w:tc>
        <w:tc>
          <w:tcPr>
            <w:tcW w:type="dxa" w:w="1304"/>
          </w:tcPr>
          <w:p>
            <w:pPr>
              <w:spacing w:after="40" w:line="240" w:lineRule="auto"/>
              <w:jc w:val="center"/>
            </w:pPr>
            <w:r/>
            <w:r>
              <w:rPr>
                <w:rFonts w:ascii="Cambria" w:hAnsi="Cambria" w:eastAsia="Cambria"/>
                <w:b w:val="0"/>
                <w:i w:val="0"/>
                <w:sz w:val="22"/>
              </w:rPr>
              <w:t>100</w:t>
            </w:r>
          </w:p>
        </w:tc>
        <w:tc>
          <w:tcPr>
            <w:tcW w:type="dxa" w:w="1304"/>
          </w:tcPr>
          <w:p>
            <w:pPr>
              <w:spacing w:after="40" w:line="240" w:lineRule="auto"/>
              <w:jc w:val="center"/>
            </w:pPr>
            <w:r/>
            <w:r>
              <w:rPr>
                <w:rFonts w:ascii="Cambria" w:hAnsi="Cambria" w:eastAsia="Cambria"/>
                <w:b w:val="0"/>
                <w:i w:val="0"/>
                <w:sz w:val="22"/>
              </w:rPr>
              <w:t>0.30</w:t>
            </w:r>
          </w:p>
        </w:tc>
        <w:tc>
          <w:tcPr>
            <w:tcW w:type="dxa" w:w="2211"/>
          </w:tcPr>
          <w:p>
            <w:pPr>
              <w:spacing w:after="40" w:line="240" w:lineRule="auto"/>
              <w:jc w:val="center"/>
            </w:pPr>
            <w:r/>
            <w:r>
              <w:rPr>
                <w:rFonts w:ascii="Cambria" w:hAnsi="Cambria" w:eastAsia="Cambria"/>
                <w:b w:val="0"/>
                <w:i w:val="0"/>
                <w:sz w:val="22"/>
              </w:rPr>
              <w:t>30</w:t>
            </w:r>
          </w:p>
        </w:tc>
      </w:tr>
      <w:tr>
        <w:tc>
          <w:tcPr>
            <w:tcW w:type="dxa" w:w="850"/>
            <w:shd w:val="clear" w:color="auto" w:fill="DCE6F1"/>
          </w:tcPr>
          <w:p>
            <w:pPr>
              <w:spacing w:after="40" w:line="240" w:lineRule="auto"/>
              <w:jc w:val="left"/>
            </w:pPr>
            <w:r/>
            <w:r>
              <w:rPr>
                <w:rFonts w:ascii="Cambria" w:hAnsi="Cambria" w:eastAsia="Cambria"/>
                <w:b w:val="0"/>
                <w:i w:val="0"/>
                <w:sz w:val="22"/>
              </w:rPr>
              <w:t>2</w:t>
            </w:r>
          </w:p>
        </w:tc>
        <w:tc>
          <w:tcPr>
            <w:tcW w:type="dxa" w:w="3742"/>
            <w:shd w:val="clear" w:color="auto" w:fill="DCE6F1"/>
          </w:tcPr>
          <w:p>
            <w:pPr>
              <w:spacing w:after="40" w:line="240" w:lineRule="auto"/>
              <w:jc w:val="center"/>
            </w:pPr>
            <w:r/>
            <w:r>
              <w:rPr>
                <w:rFonts w:ascii="Cambria" w:hAnsi="Cambria" w:eastAsia="Cambria"/>
                <w:b w:val="0"/>
                <w:i w:val="0"/>
                <w:sz w:val="22"/>
              </w:rPr>
              <w:t>Research &amp; Professional Practices (RP)</w:t>
            </w:r>
          </w:p>
        </w:tc>
        <w:tc>
          <w:tcPr>
            <w:tcW w:type="dxa" w:w="1304"/>
            <w:shd w:val="clear" w:color="auto" w:fill="DCE6F1"/>
          </w:tcPr>
          <w:p>
            <w:pPr>
              <w:spacing w:after="40" w:line="240" w:lineRule="auto"/>
              <w:jc w:val="center"/>
            </w:pPr>
            <w:r/>
            <w:r>
              <w:rPr>
                <w:rFonts w:ascii="Cambria" w:hAnsi="Cambria" w:eastAsia="Cambria"/>
                <w:b w:val="0"/>
                <w:i w:val="0"/>
                <w:sz w:val="22"/>
              </w:rPr>
              <w:t>100</w:t>
            </w:r>
          </w:p>
        </w:tc>
        <w:tc>
          <w:tcPr>
            <w:tcW w:type="dxa" w:w="1304"/>
            <w:shd w:val="clear" w:color="auto" w:fill="DCE6F1"/>
          </w:tcPr>
          <w:p>
            <w:pPr>
              <w:spacing w:after="40" w:line="240" w:lineRule="auto"/>
              <w:jc w:val="center"/>
            </w:pPr>
            <w:r/>
            <w:r>
              <w:rPr>
                <w:rFonts w:ascii="Cambria" w:hAnsi="Cambria" w:eastAsia="Cambria"/>
                <w:b w:val="0"/>
                <w:i w:val="0"/>
                <w:sz w:val="22"/>
              </w:rPr>
              <w:t>0.30</w:t>
            </w:r>
          </w:p>
        </w:tc>
        <w:tc>
          <w:tcPr>
            <w:tcW w:type="dxa" w:w="2211"/>
            <w:shd w:val="clear" w:color="auto" w:fill="DCE6F1"/>
          </w:tcPr>
          <w:p>
            <w:pPr>
              <w:spacing w:after="40" w:line="240" w:lineRule="auto"/>
              <w:jc w:val="center"/>
            </w:pPr>
            <w:r/>
            <w:r>
              <w:rPr>
                <w:rFonts w:ascii="Cambria" w:hAnsi="Cambria" w:eastAsia="Cambria"/>
                <w:b w:val="0"/>
                <w:i w:val="0"/>
                <w:sz w:val="22"/>
              </w:rPr>
              <w:t>30</w:t>
            </w:r>
          </w:p>
        </w:tc>
      </w:tr>
      <w:tr>
        <w:tc>
          <w:tcPr>
            <w:tcW w:type="dxa" w:w="850"/>
          </w:tcPr>
          <w:p>
            <w:pPr>
              <w:spacing w:after="40" w:line="240" w:lineRule="auto"/>
              <w:jc w:val="left"/>
            </w:pPr>
            <w:r/>
            <w:r>
              <w:rPr>
                <w:rFonts w:ascii="Cambria" w:hAnsi="Cambria" w:eastAsia="Cambria"/>
                <w:b w:val="0"/>
                <w:i w:val="0"/>
                <w:sz w:val="22"/>
              </w:rPr>
              <w:t>3</w:t>
            </w:r>
          </w:p>
        </w:tc>
        <w:tc>
          <w:tcPr>
            <w:tcW w:type="dxa" w:w="3742"/>
          </w:tcPr>
          <w:p>
            <w:pPr>
              <w:spacing w:after="40" w:line="240" w:lineRule="auto"/>
              <w:jc w:val="center"/>
            </w:pPr>
            <w:r/>
            <w:r>
              <w:rPr>
                <w:rFonts w:ascii="Cambria" w:hAnsi="Cambria" w:eastAsia="Cambria"/>
                <w:b w:val="0"/>
                <w:i w:val="0"/>
                <w:sz w:val="22"/>
              </w:rPr>
              <w:t>Graduation Outcomes (GO)</w:t>
            </w:r>
          </w:p>
        </w:tc>
        <w:tc>
          <w:tcPr>
            <w:tcW w:type="dxa" w:w="1304"/>
          </w:tcPr>
          <w:p>
            <w:pPr>
              <w:spacing w:after="40" w:line="240" w:lineRule="auto"/>
              <w:jc w:val="center"/>
            </w:pPr>
            <w:r/>
            <w:r>
              <w:rPr>
                <w:rFonts w:ascii="Cambria" w:hAnsi="Cambria" w:eastAsia="Cambria"/>
                <w:b w:val="0"/>
                <w:i w:val="0"/>
                <w:sz w:val="22"/>
              </w:rPr>
              <w:t>100</w:t>
            </w:r>
          </w:p>
        </w:tc>
        <w:tc>
          <w:tcPr>
            <w:tcW w:type="dxa" w:w="1304"/>
          </w:tcPr>
          <w:p>
            <w:pPr>
              <w:spacing w:after="40" w:line="240" w:lineRule="auto"/>
              <w:jc w:val="center"/>
            </w:pPr>
            <w:r/>
            <w:r>
              <w:rPr>
                <w:rFonts w:ascii="Cambria" w:hAnsi="Cambria" w:eastAsia="Cambria"/>
                <w:b w:val="0"/>
                <w:i w:val="0"/>
                <w:sz w:val="22"/>
              </w:rPr>
              <w:t>0.20</w:t>
            </w:r>
          </w:p>
        </w:tc>
        <w:tc>
          <w:tcPr>
            <w:tcW w:type="dxa" w:w="2211"/>
          </w:tcPr>
          <w:p>
            <w:pPr>
              <w:spacing w:after="40" w:line="240" w:lineRule="auto"/>
              <w:jc w:val="center"/>
            </w:pPr>
            <w:r/>
            <w:r>
              <w:rPr>
                <w:rFonts w:ascii="Cambria" w:hAnsi="Cambria" w:eastAsia="Cambria"/>
                <w:b w:val="0"/>
                <w:i w:val="0"/>
                <w:sz w:val="22"/>
              </w:rPr>
              <w:t>20</w:t>
            </w:r>
          </w:p>
        </w:tc>
      </w:tr>
      <w:tr>
        <w:tc>
          <w:tcPr>
            <w:tcW w:type="dxa" w:w="850"/>
            <w:shd w:val="clear" w:color="auto" w:fill="DCE6F1"/>
          </w:tcPr>
          <w:p>
            <w:pPr>
              <w:spacing w:after="40" w:line="240" w:lineRule="auto"/>
              <w:jc w:val="left"/>
            </w:pPr>
            <w:r/>
            <w:r>
              <w:rPr>
                <w:rFonts w:ascii="Cambria" w:hAnsi="Cambria" w:eastAsia="Cambria"/>
                <w:b w:val="0"/>
                <w:i w:val="0"/>
                <w:sz w:val="22"/>
              </w:rPr>
              <w:t>4</w:t>
            </w:r>
          </w:p>
        </w:tc>
        <w:tc>
          <w:tcPr>
            <w:tcW w:type="dxa" w:w="3742"/>
            <w:shd w:val="clear" w:color="auto" w:fill="DCE6F1"/>
          </w:tcPr>
          <w:p>
            <w:pPr>
              <w:spacing w:after="40" w:line="240" w:lineRule="auto"/>
              <w:jc w:val="center"/>
            </w:pPr>
            <w:r/>
            <w:r>
              <w:rPr>
                <w:rFonts w:ascii="Cambria" w:hAnsi="Cambria" w:eastAsia="Cambria"/>
                <w:b w:val="0"/>
                <w:i w:val="0"/>
                <w:sz w:val="22"/>
              </w:rPr>
              <w:t>Outreach &amp; Inclusivity (OI)</w:t>
            </w:r>
          </w:p>
        </w:tc>
        <w:tc>
          <w:tcPr>
            <w:tcW w:type="dxa" w:w="1304"/>
            <w:shd w:val="clear" w:color="auto" w:fill="DCE6F1"/>
          </w:tcPr>
          <w:p>
            <w:pPr>
              <w:spacing w:after="40" w:line="240" w:lineRule="auto"/>
              <w:jc w:val="center"/>
            </w:pPr>
            <w:r/>
            <w:r>
              <w:rPr>
                <w:rFonts w:ascii="Cambria" w:hAnsi="Cambria" w:eastAsia="Cambria"/>
                <w:b w:val="0"/>
                <w:i w:val="0"/>
                <w:sz w:val="22"/>
              </w:rPr>
              <w:t>100</w:t>
            </w:r>
          </w:p>
        </w:tc>
        <w:tc>
          <w:tcPr>
            <w:tcW w:type="dxa" w:w="1304"/>
            <w:shd w:val="clear" w:color="auto" w:fill="DCE6F1"/>
          </w:tcPr>
          <w:p>
            <w:pPr>
              <w:spacing w:after="40" w:line="240" w:lineRule="auto"/>
              <w:jc w:val="center"/>
            </w:pPr>
            <w:r/>
            <w:r>
              <w:rPr>
                <w:rFonts w:ascii="Cambria" w:hAnsi="Cambria" w:eastAsia="Cambria"/>
                <w:b w:val="0"/>
                <w:i w:val="0"/>
                <w:sz w:val="22"/>
              </w:rPr>
              <w:t>0.10</w:t>
            </w:r>
          </w:p>
        </w:tc>
        <w:tc>
          <w:tcPr>
            <w:tcW w:type="dxa" w:w="2211"/>
            <w:shd w:val="clear" w:color="auto" w:fill="DCE6F1"/>
          </w:tcPr>
          <w:p>
            <w:pPr>
              <w:spacing w:after="40" w:line="240" w:lineRule="auto"/>
              <w:jc w:val="center"/>
            </w:pPr>
            <w:r/>
            <w:r>
              <w:rPr>
                <w:rFonts w:ascii="Cambria" w:hAnsi="Cambria" w:eastAsia="Cambria"/>
                <w:b w:val="0"/>
                <w:i w:val="0"/>
                <w:sz w:val="22"/>
              </w:rPr>
              <w:t>10</w:t>
            </w:r>
          </w:p>
        </w:tc>
      </w:tr>
      <w:tr>
        <w:tc>
          <w:tcPr>
            <w:tcW w:type="dxa" w:w="850"/>
          </w:tcPr>
          <w:p>
            <w:pPr>
              <w:spacing w:after="40" w:line="240" w:lineRule="auto"/>
              <w:jc w:val="left"/>
            </w:pPr>
            <w:r/>
            <w:r>
              <w:rPr>
                <w:rFonts w:ascii="Cambria" w:hAnsi="Cambria" w:eastAsia="Cambria"/>
                <w:b w:val="0"/>
                <w:i w:val="0"/>
                <w:sz w:val="22"/>
              </w:rPr>
              <w:t>5</w:t>
            </w:r>
          </w:p>
        </w:tc>
        <w:tc>
          <w:tcPr>
            <w:tcW w:type="dxa" w:w="3742"/>
          </w:tcPr>
          <w:p>
            <w:pPr>
              <w:spacing w:after="40" w:line="240" w:lineRule="auto"/>
              <w:jc w:val="center"/>
            </w:pPr>
            <w:r/>
            <w:r>
              <w:rPr>
                <w:rFonts w:ascii="Cambria" w:hAnsi="Cambria" w:eastAsia="Cambria"/>
                <w:b w:val="0"/>
                <w:i w:val="0"/>
                <w:sz w:val="22"/>
              </w:rPr>
              <w:t>Perception (PR)</w:t>
            </w:r>
          </w:p>
        </w:tc>
        <w:tc>
          <w:tcPr>
            <w:tcW w:type="dxa" w:w="1304"/>
          </w:tcPr>
          <w:p>
            <w:pPr>
              <w:spacing w:after="40" w:line="240" w:lineRule="auto"/>
              <w:jc w:val="center"/>
            </w:pPr>
            <w:r/>
            <w:r>
              <w:rPr>
                <w:rFonts w:ascii="Cambria" w:hAnsi="Cambria" w:eastAsia="Cambria"/>
                <w:b w:val="0"/>
                <w:i w:val="0"/>
                <w:sz w:val="22"/>
              </w:rPr>
              <w:t>100</w:t>
            </w:r>
          </w:p>
        </w:tc>
        <w:tc>
          <w:tcPr>
            <w:tcW w:type="dxa" w:w="1304"/>
          </w:tcPr>
          <w:p>
            <w:pPr>
              <w:spacing w:after="40" w:line="240" w:lineRule="auto"/>
              <w:jc w:val="center"/>
            </w:pPr>
            <w:r/>
            <w:r>
              <w:rPr>
                <w:rFonts w:ascii="Cambria" w:hAnsi="Cambria" w:eastAsia="Cambria"/>
                <w:b w:val="0"/>
                <w:i w:val="0"/>
                <w:sz w:val="22"/>
              </w:rPr>
              <w:t>0.10</w:t>
            </w:r>
          </w:p>
        </w:tc>
        <w:tc>
          <w:tcPr>
            <w:tcW w:type="dxa" w:w="2211"/>
          </w:tcPr>
          <w:p>
            <w:pPr>
              <w:spacing w:after="40" w:line="240" w:lineRule="auto"/>
              <w:jc w:val="center"/>
            </w:pPr>
            <w:r/>
            <w:r>
              <w:rPr>
                <w:rFonts w:ascii="Cambria" w:hAnsi="Cambria" w:eastAsia="Cambria"/>
                <w:b w:val="0"/>
                <w:i w:val="0"/>
                <w:sz w:val="22"/>
              </w:rPr>
              <w:t>10</w:t>
            </w:r>
          </w:p>
        </w:tc>
      </w:tr>
      <w:tr>
        <w:tc>
          <w:tcPr>
            <w:tcW w:type="dxa" w:w="850"/>
            <w:shd w:val="clear" w:color="auto" w:fill="B9CDE5"/>
          </w:tcPr>
          <w:p>
            <w:pPr>
              <w:spacing w:after="40" w:line="240" w:lineRule="auto"/>
              <w:jc w:val="left"/>
            </w:pPr>
            <w:r/>
            <w:r>
              <w:rPr>
                <w:rFonts w:ascii="Cambria" w:hAnsi="Cambria" w:eastAsia="Cambria"/>
                <w:b/>
                <w:i w:val="0"/>
                <w:sz w:val="22"/>
              </w:rPr>
              <w:t>Total</w:t>
            </w:r>
          </w:p>
        </w:tc>
        <w:tc>
          <w:tcPr>
            <w:tcW w:type="dxa" w:w="3742"/>
            <w:shd w:val="clear" w:color="auto" w:fill="B9CDE5"/>
          </w:tcPr>
          <w:p>
            <w:pPr>
              <w:spacing w:after="40" w:line="240" w:lineRule="auto"/>
              <w:jc w:val="center"/>
            </w:pPr>
            <w:r/>
            <w:r>
              <w:rPr>
                <w:rFonts w:ascii="Cambria" w:hAnsi="Cambria" w:eastAsia="Cambria"/>
                <w:b/>
                <w:i w:val="0"/>
                <w:sz w:val="22"/>
              </w:rPr>
              <w:t>–</w:t>
            </w:r>
          </w:p>
        </w:tc>
        <w:tc>
          <w:tcPr>
            <w:tcW w:type="dxa" w:w="1304"/>
            <w:shd w:val="clear" w:color="auto" w:fill="B9CDE5"/>
          </w:tcPr>
          <w:p>
            <w:pPr>
              <w:spacing w:after="40" w:line="240" w:lineRule="auto"/>
              <w:jc w:val="center"/>
            </w:pPr>
            <w:r/>
            <w:r>
              <w:rPr>
                <w:rFonts w:ascii="Cambria" w:hAnsi="Cambria" w:eastAsia="Cambria"/>
                <w:b/>
                <w:i w:val="0"/>
                <w:sz w:val="22"/>
              </w:rPr>
              <w:t>500</w:t>
            </w:r>
          </w:p>
        </w:tc>
        <w:tc>
          <w:tcPr>
            <w:tcW w:type="dxa" w:w="1304"/>
            <w:shd w:val="clear" w:color="auto" w:fill="B9CDE5"/>
          </w:tcPr>
          <w:p>
            <w:pPr>
              <w:spacing w:after="40" w:line="240" w:lineRule="auto"/>
              <w:jc w:val="center"/>
            </w:pPr>
            <w:r/>
            <w:r>
              <w:rPr>
                <w:rFonts w:ascii="Cambria" w:hAnsi="Cambria" w:eastAsia="Cambria"/>
                <w:b/>
                <w:i w:val="0"/>
                <w:sz w:val="22"/>
              </w:rPr>
              <w:t>–</w:t>
            </w:r>
          </w:p>
        </w:tc>
        <w:tc>
          <w:tcPr>
            <w:tcW w:type="dxa" w:w="2211"/>
            <w:shd w:val="clear" w:color="auto" w:fill="B9CDE5"/>
          </w:tcPr>
          <w:p>
            <w:pPr>
              <w:spacing w:after="40" w:line="240" w:lineRule="auto"/>
              <w:jc w:val="center"/>
            </w:pPr>
            <w:r/>
            <w:r>
              <w:rPr>
                <w:rFonts w:ascii="Cambria" w:hAnsi="Cambria" w:eastAsia="Cambria"/>
                <w:b/>
                <w:i w:val="0"/>
                <w:sz w:val="22"/>
              </w:rPr>
              <w:t>100</w:t>
            </w:r>
          </w:p>
        </w:tc>
      </w:tr>
    </w:tbl>
    <w:p>
      <w:pPr>
        <w:spacing w:after="40" w:line="276" w:lineRule="auto"/>
      </w:pPr>
      <w:r>
        <w:rPr>
          <w:rFonts w:ascii="Cambria" w:hAnsi="Cambria" w:eastAsia="Cambria"/>
          <w:b/>
          <w:i w:val="0"/>
          <w:sz w:val="22"/>
        </w:rPr>
        <w:t>Key Notes: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Each parameter is scored on 100 marks internally, but weighted differently.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Final institutional score = Weighted sum of all five parameters (max 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and RP together account for 60%, making them the most critical factors.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OI, and PR collectively contribute 40%, balancing outcomes, inclusivity, and reputation.</w:t>
      </w:r>
    </w:p>
    <w:p>
      <w:r>
        <w:br w:type="page"/>
      </w:r>
    </w:p>
    <w:p>
      <w:pPr>
        <w:keepNext/>
        <w:spacing w:before="360" w:after="160"/>
      </w:pPr>
      <w:r>
        <w:rPr>
          <w:rFonts w:ascii="Cambria" w:hAnsi="Cambria" w:eastAsia="Cambria"/>
          <w:b/>
          <w:i w:val="0"/>
          <w:color w:val="1F3A5F"/>
          <w:sz w:val="36"/>
        </w:rPr>
        <w:t>7. Teaching, Learning &amp; Resources (TLR)</w:t>
      </w:r>
    </w:p>
    <w:p>
      <w:pPr>
        <w:keepNext/>
        <w:spacing w:before="280" w:after="120"/>
      </w:pPr>
      <w:r>
        <w:rPr>
          <w:rFonts w:ascii="Cambria" w:hAnsi="Cambria" w:eastAsia="Cambria"/>
          <w:b/>
          <w:i w:val="0"/>
          <w:color w:val="1F3A5F"/>
          <w:sz w:val="30"/>
        </w:rPr>
        <w:t>1. Teaching, Learning &amp; Resources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Weightage: 30% in NIRF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100 (internally), scaled to contribute 30 marks to the final score</w:t>
      </w:r>
    </w:p>
    <w:p>
      <w:pPr>
        <w:keepNext/>
        <w:spacing w:before="200" w:after="100"/>
      </w:pPr>
      <w:r>
        <w:rPr>
          <w:rFonts w:ascii="Cambria" w:hAnsi="Cambria" w:eastAsia="Cambria"/>
          <w:b/>
          <w:i w:val="0"/>
          <w:color w:val="1F3A5F"/>
          <w:sz w:val="25"/>
        </w:rPr>
        <w:t>A. Student Strength including Doctoral Students (SS) – 20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student enrollment at UG, PG, and Ph.D. levels.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Proportion of doctoral students, as they contribute to research ecosystem.</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institutional capacity and diversity of academic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doctoral enrollments strengthen the research culture.</w:t>
      </w:r>
    </w:p>
    <w:p>
      <w:pPr>
        <w:keepNext/>
        <w:spacing w:before="200" w:after="100"/>
      </w:pPr>
      <w:r>
        <w:rPr>
          <w:rFonts w:ascii="Cambria" w:hAnsi="Cambria" w:eastAsia="Cambria"/>
          <w:b/>
          <w:i w:val="0"/>
          <w:color w:val="1F3A5F"/>
          <w:sz w:val="25"/>
        </w:rPr>
        <w:t>B. Faculty–Student Ratio (FSR) with emphasis on permanent faculty – 25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Ratio of full-time permanent faculty to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Greater emphasis is placed on permanent faculty over temporary/contractual faculty.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Lower FSR indicates better academic attention and mentoring.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Permanent faculty ensures stability, continuity, and quality in teaching-learning.</w:t>
      </w:r>
    </w:p>
    <w:p>
      <w:pPr>
        <w:keepNext/>
        <w:spacing w:before="200" w:after="100"/>
      </w:pPr>
      <w:r>
        <w:rPr>
          <w:rFonts w:ascii="Cambria" w:hAnsi="Cambria" w:eastAsia="Cambria"/>
          <w:b/>
          <w:i w:val="0"/>
          <w:color w:val="1F3A5F"/>
          <w:sz w:val="25"/>
        </w:rPr>
        <w:t>C. Faculty with PhD (or equivalent) and Experience (FQE) – 20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faculty with doctoral degrees or equivalent qualifications.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teaching/research experience of faculty.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Qualified and experienced faculty contribute to strong academic foundations.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high-quality supervision, mentoring, and knowledge dissemination.</w:t>
      </w:r>
    </w:p>
    <w:p>
      <w:pPr>
        <w:keepNext/>
        <w:spacing w:before="200" w:after="100"/>
      </w:pPr>
      <w:r>
        <w:rPr>
          <w:rFonts w:ascii="Cambria" w:hAnsi="Cambria" w:eastAsia="Cambria"/>
          <w:b/>
          <w:i w:val="0"/>
          <w:color w:val="1F3A5F"/>
          <w:sz w:val="25"/>
        </w:rPr>
        <w:t>D. Financial Resources and their Utilisation (FRU) – 20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annual budget and expenditure on academic and research infrastructure.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Effective utilization of financial resources for faculty salaries, labs, libraries, ICT, and student support.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Well-funded and properly utilized resources create a strong learning environment.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underfunding issues that directly affect student and faculty performance.</w:t>
      </w:r>
    </w:p>
    <w:p>
      <w:pPr>
        <w:keepNext/>
        <w:spacing w:before="200" w:after="100"/>
      </w:pPr>
      <w:r>
        <w:rPr>
          <w:rFonts w:ascii="Cambria" w:hAnsi="Cambria" w:eastAsia="Cambria"/>
          <w:b/>
          <w:i w:val="0"/>
          <w:color w:val="1F3A5F"/>
          <w:sz w:val="25"/>
        </w:rPr>
        <w:t>E. Online Education (OE): Completion of Syllabus, Exams &amp; SWAYAM – 10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Adoption of online teaching and learning methods.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Completion of syllabus and exams through digital modes.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Participation in national digital initiatives like SWAYAM MOOCs.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digital readiness of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continuity of education during disruptions (e.g., pandemic).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integration of modern e-learning tools.</w:t>
      </w:r>
    </w:p>
    <w:p>
      <w:pPr>
        <w:keepNext/>
        <w:spacing w:before="200" w:after="100"/>
      </w:pPr>
      <w:r>
        <w:rPr>
          <w:rFonts w:ascii="Cambria" w:hAnsi="Cambria" w:eastAsia="Cambria"/>
          <w:b/>
          <w:i w:val="0"/>
          <w:color w:val="1F3A5F"/>
          <w:sz w:val="25"/>
        </w:rPr>
        <w:t>F. Multiple Entry/Exit, Indian Knowledge System &amp; Regional Languages (MIR) – 5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Implementation of NEP 2020 reforms like multiple entry/exit options.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Incorporation of Indian Knowledge Systems (IKS) in curricula.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Promotion of regional languages in higher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Aligns institutions with national education policy priorities.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inclusivity, flexibility, and preservation of cultural knowledge.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Strengthens accessibility for students from diverse backgrounds.</w:t>
      </w:r>
    </w:p>
    <w:p>
      <w:pPr>
        <w:spacing w:after="40" w:line="276" w:lineRule="auto"/>
      </w:pPr>
      <w:r>
        <w:rPr>
          <w:rFonts w:ascii="Cambria" w:hAnsi="Cambria" w:eastAsia="Cambria"/>
          <w:b/>
          <w:i w:val="0"/>
          <w:sz w:val="22"/>
        </w:rPr>
        <w:t>Overall Significance of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collectively assesses the foundation of teaching and learning quality in an institution.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goes beyond counting students and teachers—it emphasizes:</w:t>
      </w:r>
    </w:p>
    <w:p>
      <w:pPr>
        <w:spacing w:after="40"/>
        <w:ind w:left="1247" w:hanging="357"/>
      </w:pPr>
      <w:r>
        <w:rPr>
          <w:rFonts w:ascii="Cambria" w:hAnsi="Cambria" w:eastAsia="Cambria"/>
          <w:b w:val="0"/>
          <w:i w:val="0"/>
          <w:sz w:val="22"/>
        </w:rPr>
        <w:t>▪</w:t>
        <w:tab/>
      </w:r>
      <w:r>
        <w:rPr>
          <w:rFonts w:ascii="Cambria" w:hAnsi="Cambria" w:eastAsia="Cambria"/>
          <w:b w:val="0"/>
          <w:i w:val="0"/>
          <w:sz w:val="22"/>
        </w:rPr>
        <w:t>Quality of faculty (PhDs, experience)</w:t>
      </w:r>
    </w:p>
    <w:p>
      <w:pPr>
        <w:spacing w:after="40"/>
        <w:ind w:left="1247" w:hanging="357"/>
      </w:pPr>
      <w:r>
        <w:rPr>
          <w:rFonts w:ascii="Cambria" w:hAnsi="Cambria" w:eastAsia="Cambria"/>
          <w:b w:val="0"/>
          <w:i w:val="0"/>
          <w:sz w:val="22"/>
        </w:rPr>
        <w:t>▪</w:t>
        <w:tab/>
      </w:r>
      <w:r>
        <w:rPr>
          <w:rFonts w:ascii="Cambria" w:hAnsi="Cambria" w:eastAsia="Cambria"/>
          <w:b w:val="0"/>
          <w:i w:val="0"/>
          <w:sz w:val="22"/>
        </w:rPr>
        <w:t>Availability of resources (funding, labs, ICT, libraries)</w:t>
      </w:r>
    </w:p>
    <w:p>
      <w:pPr>
        <w:spacing w:after="40"/>
        <w:ind w:left="1247" w:hanging="357"/>
      </w:pPr>
      <w:r>
        <w:rPr>
          <w:rFonts w:ascii="Cambria" w:hAnsi="Cambria" w:eastAsia="Cambria"/>
          <w:b w:val="0"/>
          <w:i w:val="0"/>
          <w:sz w:val="22"/>
        </w:rPr>
        <w:t>▪</w:t>
        <w:tab/>
      </w:r>
      <w:r>
        <w:rPr>
          <w:rFonts w:ascii="Cambria" w:hAnsi="Cambria" w:eastAsia="Cambria"/>
          <w:b w:val="0"/>
          <w:i w:val="0"/>
          <w:sz w:val="22"/>
        </w:rPr>
        <w:t>Digital education practices (SWAYAM, online exams)</w:t>
      </w:r>
    </w:p>
    <w:p>
      <w:pPr>
        <w:spacing w:after="40"/>
        <w:ind w:left="1247" w:hanging="357"/>
      </w:pPr>
      <w:r>
        <w:rPr>
          <w:rFonts w:ascii="Cambria" w:hAnsi="Cambria" w:eastAsia="Cambria"/>
          <w:b w:val="0"/>
          <w:i w:val="0"/>
          <w:sz w:val="22"/>
        </w:rPr>
        <w:t>▪</w:t>
        <w:tab/>
      </w:r>
      <w:r>
        <w:rPr>
          <w:rFonts w:ascii="Cambria" w:hAnsi="Cambria" w:eastAsia="Cambria"/>
          <w:b w:val="0"/>
          <w:i w:val="0"/>
          <w:sz w:val="22"/>
        </w:rPr>
        <w:t>Policy adoption (NEP reforms, IKS, regional language integration)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As the heaviest-weighted parameter (30%), strong TLR performance directly influences institutional rank.</w:t>
      </w:r>
    </w:p>
    <w:p>
      <w:pPr>
        <w:keepNext/>
        <w:spacing w:before="200" w:after="100"/>
      </w:pPr>
      <w:r>
        <w:rPr>
          <w:rFonts w:ascii="Cambria" w:hAnsi="Cambria" w:eastAsia="Cambria"/>
          <w:b/>
          <w:i w:val="0"/>
          <w:color w:val="1F3A5F"/>
          <w:sz w:val="26"/>
        </w:rPr>
        <w:t>NIRF 2024 – Teaching, Learning &amp; Resources (TLR) Breakdown</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S. No.</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Remarks</w:t>
            </w:r>
          </w:p>
        </w:tc>
      </w:tr>
      <w:tr>
        <w:tc>
          <w:tcPr>
            <w:tcW w:type="dxa" w:w="737"/>
          </w:tcPr>
          <w:p>
            <w:pPr>
              <w:spacing w:after="40" w:line="240" w:lineRule="auto"/>
              <w:jc w:val="left"/>
            </w:pPr>
            <w:r/>
            <w:r>
              <w:rPr>
                <w:rFonts w:ascii="Cambria" w:hAnsi="Cambria" w:eastAsia="Cambria"/>
                <w:b w:val="0"/>
                <w:i w:val="0"/>
                <w:sz w:val="22"/>
              </w:rPr>
              <w:t>1A</w:t>
            </w:r>
          </w:p>
        </w:tc>
        <w:tc>
          <w:tcPr>
            <w:tcW w:type="dxa" w:w="3572"/>
          </w:tcPr>
          <w:p>
            <w:pPr>
              <w:spacing w:after="40" w:line="240" w:lineRule="auto"/>
              <w:jc w:val="center"/>
            </w:pPr>
            <w:r/>
            <w:r>
              <w:rPr>
                <w:rFonts w:ascii="Cambria" w:hAnsi="Cambria" w:eastAsia="Cambria"/>
                <w:b w:val="0"/>
                <w:i w:val="0"/>
                <w:sz w:val="22"/>
              </w:rPr>
              <w:t>Student Strength including Doctoral Students (SS)</w:t>
            </w:r>
          </w:p>
        </w:tc>
        <w:tc>
          <w:tcPr>
            <w:tcW w:type="dxa" w:w="850"/>
          </w:tcPr>
          <w:p>
            <w:pPr>
              <w:spacing w:after="40" w:line="240" w:lineRule="auto"/>
              <w:jc w:val="center"/>
            </w:pPr>
            <w:r/>
            <w:r>
              <w:rPr>
                <w:rFonts w:ascii="Cambria" w:hAnsi="Cambria" w:eastAsia="Cambria"/>
                <w:b w:val="0"/>
                <w:i w:val="0"/>
                <w:sz w:val="22"/>
              </w:rPr>
              <w:t>20</w:t>
            </w:r>
          </w:p>
        </w:tc>
        <w:tc>
          <w:tcPr>
            <w:tcW w:type="dxa" w:w="4252"/>
          </w:tcPr>
          <w:p>
            <w:pPr>
              <w:spacing w:after="40" w:line="240" w:lineRule="auto"/>
              <w:jc w:val="center"/>
            </w:pPr>
            <w:r/>
            <w:r>
              <w:rPr>
                <w:rFonts w:ascii="Cambria" w:hAnsi="Cambria" w:eastAsia="Cambria"/>
                <w:b w:val="0"/>
                <w:i w:val="0"/>
                <w:sz w:val="22"/>
              </w:rPr>
              <w:t>Captures total student strength and balance between UG/PG/Ph.D. students</w:t>
            </w:r>
          </w:p>
        </w:tc>
      </w:tr>
      <w:tr>
        <w:tc>
          <w:tcPr>
            <w:tcW w:type="dxa" w:w="737"/>
            <w:shd w:val="clear" w:color="auto" w:fill="DCE6F1"/>
          </w:tcPr>
          <w:p>
            <w:pPr>
              <w:spacing w:after="40" w:line="240" w:lineRule="auto"/>
              <w:jc w:val="left"/>
            </w:pPr>
            <w:r/>
            <w:r>
              <w:rPr>
                <w:rFonts w:ascii="Cambria" w:hAnsi="Cambria" w:eastAsia="Cambria"/>
                <w:b w:val="0"/>
                <w:i w:val="0"/>
                <w:sz w:val="22"/>
              </w:rPr>
              <w:t>1B</w:t>
            </w:r>
          </w:p>
        </w:tc>
        <w:tc>
          <w:tcPr>
            <w:tcW w:type="dxa" w:w="3572"/>
            <w:shd w:val="clear" w:color="auto" w:fill="DCE6F1"/>
          </w:tcPr>
          <w:p>
            <w:pPr>
              <w:spacing w:after="40" w:line="240" w:lineRule="auto"/>
              <w:jc w:val="center"/>
            </w:pPr>
            <w:r/>
            <w:r>
              <w:rPr>
                <w:rFonts w:ascii="Cambria" w:hAnsi="Cambria" w:eastAsia="Cambria"/>
                <w:b w:val="0"/>
                <w:i w:val="0"/>
                <w:sz w:val="22"/>
              </w:rPr>
              <w:t>Faculty–Student Ratio (FSR) with emphasis on permanent faculty</w:t>
            </w:r>
          </w:p>
        </w:tc>
        <w:tc>
          <w:tcPr>
            <w:tcW w:type="dxa" w:w="850"/>
            <w:shd w:val="clear" w:color="auto" w:fill="DCE6F1"/>
          </w:tcPr>
          <w:p>
            <w:pPr>
              <w:spacing w:after="40" w:line="240" w:lineRule="auto"/>
              <w:jc w:val="center"/>
            </w:pPr>
            <w:r/>
            <w:r>
              <w:rPr>
                <w:rFonts w:ascii="Cambria" w:hAnsi="Cambria" w:eastAsia="Cambria"/>
                <w:b w:val="0"/>
                <w:i w:val="0"/>
                <w:sz w:val="22"/>
              </w:rPr>
              <w:t>25</w:t>
            </w:r>
          </w:p>
        </w:tc>
        <w:tc>
          <w:tcPr>
            <w:tcW w:type="dxa" w:w="4252"/>
            <w:shd w:val="clear" w:color="auto" w:fill="DCE6F1"/>
          </w:tcPr>
          <w:p>
            <w:pPr>
              <w:spacing w:after="40" w:line="240" w:lineRule="auto"/>
              <w:jc w:val="center"/>
            </w:pPr>
            <w:r/>
            <w:r>
              <w:rPr>
                <w:rFonts w:ascii="Cambria" w:hAnsi="Cambria" w:eastAsia="Cambria"/>
                <w:b w:val="0"/>
                <w:i w:val="0"/>
                <w:sz w:val="22"/>
              </w:rPr>
              <w:t>Measures adequacy of faculty, quality of teaching environment</w:t>
            </w:r>
          </w:p>
        </w:tc>
      </w:tr>
      <w:tr>
        <w:tc>
          <w:tcPr>
            <w:tcW w:type="dxa" w:w="737"/>
          </w:tcPr>
          <w:p>
            <w:pPr>
              <w:spacing w:after="40" w:line="240" w:lineRule="auto"/>
              <w:jc w:val="left"/>
            </w:pPr>
            <w:r/>
            <w:r>
              <w:rPr>
                <w:rFonts w:ascii="Cambria" w:hAnsi="Cambria" w:eastAsia="Cambria"/>
                <w:b w:val="0"/>
                <w:i w:val="0"/>
                <w:sz w:val="22"/>
              </w:rPr>
              <w:t>1C</w:t>
            </w:r>
          </w:p>
        </w:tc>
        <w:tc>
          <w:tcPr>
            <w:tcW w:type="dxa" w:w="3572"/>
          </w:tcPr>
          <w:p>
            <w:pPr>
              <w:spacing w:after="40" w:line="240" w:lineRule="auto"/>
              <w:jc w:val="center"/>
            </w:pPr>
            <w:r/>
            <w:r>
              <w:rPr>
                <w:rFonts w:ascii="Cambria" w:hAnsi="Cambria" w:eastAsia="Cambria"/>
                <w:b w:val="0"/>
                <w:i w:val="0"/>
                <w:sz w:val="22"/>
              </w:rPr>
              <w:t>Combined Metric for Faculty with PhD (or equivalent) and Experience (FQE)</w:t>
            </w:r>
          </w:p>
        </w:tc>
        <w:tc>
          <w:tcPr>
            <w:tcW w:type="dxa" w:w="850"/>
          </w:tcPr>
          <w:p>
            <w:pPr>
              <w:spacing w:after="40" w:line="240" w:lineRule="auto"/>
              <w:jc w:val="center"/>
            </w:pPr>
            <w:r/>
            <w:r>
              <w:rPr>
                <w:rFonts w:ascii="Cambria" w:hAnsi="Cambria" w:eastAsia="Cambria"/>
                <w:b w:val="0"/>
                <w:i w:val="0"/>
                <w:sz w:val="22"/>
              </w:rPr>
              <w:t>20</w:t>
            </w:r>
          </w:p>
        </w:tc>
        <w:tc>
          <w:tcPr>
            <w:tcW w:type="dxa" w:w="4252"/>
          </w:tcPr>
          <w:p>
            <w:pPr>
              <w:spacing w:after="40" w:line="240" w:lineRule="auto"/>
              <w:jc w:val="center"/>
            </w:pPr>
            <w:r/>
            <w:r>
              <w:rPr>
                <w:rFonts w:ascii="Cambria" w:hAnsi="Cambria" w:eastAsia="Cambria"/>
                <w:b w:val="0"/>
                <w:i w:val="0"/>
                <w:sz w:val="22"/>
              </w:rPr>
              <w:t>Rewards institutions with higher proportion of qualified and experienced faculty</w:t>
            </w:r>
          </w:p>
        </w:tc>
      </w:tr>
      <w:tr>
        <w:tc>
          <w:tcPr>
            <w:tcW w:type="dxa" w:w="737"/>
            <w:shd w:val="clear" w:color="auto" w:fill="DCE6F1"/>
          </w:tcPr>
          <w:p>
            <w:pPr>
              <w:spacing w:after="40" w:line="240" w:lineRule="auto"/>
              <w:jc w:val="left"/>
            </w:pPr>
            <w:r/>
            <w:r>
              <w:rPr>
                <w:rFonts w:ascii="Cambria" w:hAnsi="Cambria" w:eastAsia="Cambria"/>
                <w:b w:val="0"/>
                <w:i w:val="0"/>
                <w:sz w:val="22"/>
              </w:rPr>
              <w:t>1D</w:t>
            </w:r>
          </w:p>
        </w:tc>
        <w:tc>
          <w:tcPr>
            <w:tcW w:type="dxa" w:w="3572"/>
            <w:shd w:val="clear" w:color="auto" w:fill="DCE6F1"/>
          </w:tcPr>
          <w:p>
            <w:pPr>
              <w:spacing w:after="40" w:line="240" w:lineRule="auto"/>
              <w:jc w:val="center"/>
            </w:pPr>
            <w:r/>
            <w:r>
              <w:rPr>
                <w:rFonts w:ascii="Cambria" w:hAnsi="Cambria" w:eastAsia="Cambria"/>
                <w:b w:val="0"/>
                <w:i w:val="0"/>
                <w:sz w:val="22"/>
              </w:rPr>
              <w:t>Financial Resources and their Utilisation (FRU)</w:t>
            </w:r>
          </w:p>
        </w:tc>
        <w:tc>
          <w:tcPr>
            <w:tcW w:type="dxa" w:w="850"/>
            <w:shd w:val="clear" w:color="auto" w:fill="DCE6F1"/>
          </w:tcPr>
          <w:p>
            <w:pPr>
              <w:spacing w:after="40" w:line="240" w:lineRule="auto"/>
              <w:jc w:val="center"/>
            </w:pPr>
            <w:r/>
            <w:r>
              <w:rPr>
                <w:rFonts w:ascii="Cambria" w:hAnsi="Cambria" w:eastAsia="Cambria"/>
                <w:b w:val="0"/>
                <w:i w:val="0"/>
                <w:sz w:val="22"/>
              </w:rPr>
              <w:t>20</w:t>
            </w:r>
          </w:p>
        </w:tc>
        <w:tc>
          <w:tcPr>
            <w:tcW w:type="dxa" w:w="4252"/>
            <w:shd w:val="clear" w:color="auto" w:fill="DCE6F1"/>
          </w:tcPr>
          <w:p>
            <w:pPr>
              <w:spacing w:after="40" w:line="240" w:lineRule="auto"/>
              <w:jc w:val="center"/>
            </w:pPr>
            <w:r/>
            <w:r>
              <w:rPr>
                <w:rFonts w:ascii="Cambria" w:hAnsi="Cambria" w:eastAsia="Cambria"/>
                <w:b w:val="0"/>
                <w:i w:val="0"/>
                <w:sz w:val="22"/>
              </w:rPr>
              <w:t>Evaluates budgetary support, spending on academics, infrastructure, and research</w:t>
            </w:r>
          </w:p>
        </w:tc>
      </w:tr>
      <w:tr>
        <w:tc>
          <w:tcPr>
            <w:tcW w:type="dxa" w:w="737"/>
          </w:tcPr>
          <w:p>
            <w:pPr>
              <w:spacing w:after="40" w:line="240" w:lineRule="auto"/>
              <w:jc w:val="left"/>
            </w:pPr>
            <w:r/>
            <w:r>
              <w:rPr>
                <w:rFonts w:ascii="Cambria" w:hAnsi="Cambria" w:eastAsia="Cambria"/>
                <w:b w:val="0"/>
                <w:i w:val="0"/>
                <w:sz w:val="22"/>
              </w:rPr>
              <w:t>1E</w:t>
            </w:r>
          </w:p>
        </w:tc>
        <w:tc>
          <w:tcPr>
            <w:tcW w:type="dxa" w:w="3572"/>
          </w:tcPr>
          <w:p>
            <w:pPr>
              <w:spacing w:after="40" w:line="240" w:lineRule="auto"/>
              <w:jc w:val="center"/>
            </w:pPr>
            <w:r/>
            <w:r>
              <w:rPr>
                <w:rFonts w:ascii="Cambria" w:hAnsi="Cambria" w:eastAsia="Cambria"/>
                <w:b w:val="0"/>
                <w:i w:val="0"/>
                <w:sz w:val="22"/>
              </w:rPr>
              <w:t>Online Education (OE): Completion of syllabus &amp; exams, SWAYAM</w:t>
            </w:r>
          </w:p>
        </w:tc>
        <w:tc>
          <w:tcPr>
            <w:tcW w:type="dxa" w:w="850"/>
          </w:tcPr>
          <w:p>
            <w:pPr>
              <w:spacing w:after="40" w:line="240" w:lineRule="auto"/>
              <w:jc w:val="center"/>
            </w:pPr>
            <w:r/>
            <w:r>
              <w:rPr>
                <w:rFonts w:ascii="Cambria" w:hAnsi="Cambria" w:eastAsia="Cambria"/>
                <w:b w:val="0"/>
                <w:i w:val="0"/>
                <w:sz w:val="22"/>
              </w:rPr>
              <w:t>10</w:t>
            </w:r>
          </w:p>
        </w:tc>
        <w:tc>
          <w:tcPr>
            <w:tcW w:type="dxa" w:w="4252"/>
          </w:tcPr>
          <w:p>
            <w:pPr>
              <w:spacing w:after="40" w:line="240" w:lineRule="auto"/>
              <w:jc w:val="center"/>
            </w:pPr>
            <w:r/>
            <w:r>
              <w:rPr>
                <w:rFonts w:ascii="Cambria" w:hAnsi="Cambria" w:eastAsia="Cambria"/>
                <w:b w:val="0"/>
                <w:i w:val="0"/>
                <w:sz w:val="22"/>
              </w:rPr>
              <w:t>Accounts for adoption of online teaching-learning, MOOCs, digital assessments</w:t>
            </w:r>
          </w:p>
        </w:tc>
      </w:tr>
      <w:tr>
        <w:tc>
          <w:tcPr>
            <w:tcW w:type="dxa" w:w="737"/>
            <w:shd w:val="clear" w:color="auto" w:fill="DCE6F1"/>
          </w:tcPr>
          <w:p>
            <w:pPr>
              <w:spacing w:after="40" w:line="240" w:lineRule="auto"/>
              <w:jc w:val="left"/>
            </w:pPr>
            <w:r/>
            <w:r>
              <w:rPr>
                <w:rFonts w:ascii="Cambria" w:hAnsi="Cambria" w:eastAsia="Cambria"/>
                <w:b w:val="0"/>
                <w:i w:val="0"/>
                <w:sz w:val="22"/>
              </w:rPr>
              <w:t>1F</w:t>
            </w:r>
          </w:p>
        </w:tc>
        <w:tc>
          <w:tcPr>
            <w:tcW w:type="dxa" w:w="3572"/>
            <w:shd w:val="clear" w:color="auto" w:fill="DCE6F1"/>
          </w:tcPr>
          <w:p>
            <w:pPr>
              <w:spacing w:after="40" w:line="240" w:lineRule="auto"/>
              <w:jc w:val="center"/>
            </w:pPr>
            <w:r/>
            <w:r>
              <w:rPr>
                <w:rFonts w:ascii="Cambria" w:hAnsi="Cambria" w:eastAsia="Cambria"/>
                <w:b w:val="0"/>
                <w:i w:val="0"/>
                <w:sz w:val="22"/>
              </w:rPr>
              <w:t>Combined Metric for Multiple Entry/Exit, Indian Knowledge System, and Regional Languages (MIR)</w:t>
            </w:r>
          </w:p>
        </w:tc>
        <w:tc>
          <w:tcPr>
            <w:tcW w:type="dxa" w:w="850"/>
            <w:shd w:val="clear" w:color="auto" w:fill="DCE6F1"/>
          </w:tcPr>
          <w:p>
            <w:pPr>
              <w:spacing w:after="40" w:line="240" w:lineRule="auto"/>
              <w:jc w:val="center"/>
            </w:pPr>
            <w:r/>
            <w:r>
              <w:rPr>
                <w:rFonts w:ascii="Cambria" w:hAnsi="Cambria" w:eastAsia="Cambria"/>
                <w:b w:val="0"/>
                <w:i w:val="0"/>
                <w:sz w:val="22"/>
              </w:rPr>
              <w:t>5</w:t>
            </w:r>
          </w:p>
        </w:tc>
        <w:tc>
          <w:tcPr>
            <w:tcW w:type="dxa" w:w="4252"/>
            <w:shd w:val="clear" w:color="auto" w:fill="DCE6F1"/>
          </w:tcPr>
          <w:p>
            <w:pPr>
              <w:spacing w:after="40" w:line="240" w:lineRule="auto"/>
              <w:jc w:val="center"/>
            </w:pPr>
            <w:r/>
            <w:r>
              <w:rPr>
                <w:rFonts w:ascii="Cambria" w:hAnsi="Cambria" w:eastAsia="Cambria"/>
                <w:b w:val="0"/>
                <w:i w:val="0"/>
                <w:sz w:val="22"/>
              </w:rPr>
              <w:t>Encourages NEP 2020 reforms, inclusion of Indian Knowledge Systems, and regional language promotion</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overall contribution = 30% of NIRF Score</w:t>
            </w:r>
          </w:p>
        </w:tc>
      </w:tr>
    </w:tbl>
    <w:p>
      <w:r>
        <w:br w:type="page"/>
      </w:r>
    </w:p>
    <w:p>
      <w:pPr>
        <w:keepNext/>
        <w:spacing w:before="360" w:after="160"/>
      </w:pPr>
      <w:r>
        <w:rPr>
          <w:rFonts w:ascii="Cambria" w:hAnsi="Cambria" w:eastAsia="Cambria"/>
          <w:b/>
          <w:i w:val="0"/>
          <w:color w:val="1F3A5F"/>
          <w:sz w:val="36"/>
        </w:rPr>
        <w:t>8. Student Strength including Doctoral Students (SS)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SS = f(NT, NE) × 15 + f(NP) × 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f(NT, NE): Function of approved intake (NT) and actual enrolled students (NE).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f(NP): Function of doctoral (Ph.D.) enrollment.</w:t>
      </w:r>
    </w:p>
    <w:p>
      <w:pPr>
        <w:spacing w:after="40" w:line="276" w:lineRule="auto"/>
      </w:pPr>
      <w:r>
        <w:rPr>
          <w:rFonts w:ascii="Cambria" w:hAnsi="Cambria" w:eastAsia="Cambria"/>
          <w:b/>
          <w:i w:val="0"/>
          <w:sz w:val="22"/>
        </w:rPr>
        <w:t>Components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NT – Total Sanctioned Approved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Sum of all approved seats in UG + 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Approved by regulatory agencies (AICTE, MCI, UGC, etc.).</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NE – Total Number of Enrolled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Actual students admitted against 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utilization efficiency of intake capacity.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higher enrollment-to-intake ratios score better.</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NP – Number of Ph.D. Students Enrolled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strength of doctoral research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 = 5 Marks, highlighting research culture.</w:t>
      </w:r>
    </w:p>
    <w:p>
      <w:pPr>
        <w:spacing w:after="40" w:line="276" w:lineRule="auto"/>
      </w:pPr>
      <w:r>
        <w:rPr>
          <w:rFonts w:ascii="Cambria" w:hAnsi="Cambria" w:eastAsia="Cambria"/>
          <w:b/>
          <w:i w:val="0"/>
          <w:sz w:val="22"/>
        </w:rPr>
        <w:t>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 To be provided in prescribed NIRF format.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Verified through: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Admission registers, enrollment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Regulatory body approvals.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 records audited by IQAC/NBA/NAAC.</w:t>
      </w:r>
    </w:p>
    <w:p>
      <w:pPr>
        <w:spacing w:after="40" w:line="276" w:lineRule="auto"/>
      </w:pPr>
      <w:r>
        <w:rPr>
          <w:rFonts w:ascii="Cambria" w:hAnsi="Cambria" w:eastAsia="Cambria"/>
          <w:b/>
          <w:i w:val="0"/>
          <w:sz w:val="22"/>
        </w:rPr>
        <w:t>Scoring Logic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15 Marks for NT &amp; 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marks if institution maintains high enrollment relative to sanctioned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Penalized if actual enrollment is significantly below capacity.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5 Marks for NP (Ph.D.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More Ph.D. students = better research environment.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strong doctoral programs approach full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 20 Marks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institutional scale (student capacity utilization).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research-driven institutions (Ph.D. enrollment).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Balances quantity (UG/PG strength) with quality (doctoral research).</w:t>
      </w:r>
    </w:p>
    <w:p>
      <w:pPr>
        <w:spacing w:after="40" w:line="276" w:lineRule="auto"/>
      </w:pPr>
      <w:r>
        <w:rPr>
          <w:rFonts w:ascii="Cambria" w:hAnsi="Cambria" w:eastAsia="Cambria"/>
          <w:b/>
          <w:i w:val="0"/>
          <w:sz w:val="22"/>
        </w:rPr>
        <w:t>Primary Data (Institution-Submitted)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must provide data in the prescribed NIRF format.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Covers details like:</w:t>
      </w:r>
    </w:p>
    <w:p>
      <w:pPr>
        <w:spacing w:after="40"/>
        <w:ind w:left="1247" w:hanging="357"/>
      </w:pPr>
      <w:r>
        <w:rPr>
          <w:rFonts w:ascii="Cambria" w:hAnsi="Cambria" w:eastAsia="Cambria"/>
          <w:b w:val="0"/>
          <w:i w:val="0"/>
          <w:sz w:val="22"/>
        </w:rPr>
        <w:t>▪</w:t>
        <w:tab/>
      </w:r>
      <w:r>
        <w:rPr>
          <w:rFonts w:ascii="Cambria" w:hAnsi="Cambria" w:eastAsia="Cambria"/>
          <w:b w:val="0"/>
          <w:i w:val="0"/>
          <w:sz w:val="22"/>
        </w:rPr>
        <w:t>Program-wise intake capacity (UG, PG, Ph.D.).</w:t>
      </w:r>
    </w:p>
    <w:p>
      <w:pPr>
        <w:spacing w:after="40"/>
        <w:ind w:left="1247" w:hanging="357"/>
      </w:pPr>
      <w:r>
        <w:rPr>
          <w:rFonts w:ascii="Cambria" w:hAnsi="Cambria" w:eastAsia="Cambria"/>
          <w:b w:val="0"/>
          <w:i w:val="0"/>
          <w:sz w:val="22"/>
        </w:rPr>
        <w:t>▪</w:t>
        <w:tab/>
      </w:r>
      <w:r>
        <w:rPr>
          <w:rFonts w:ascii="Cambria" w:hAnsi="Cambria" w:eastAsia="Cambria"/>
          <w:b w:val="0"/>
          <w:i w:val="0"/>
          <w:sz w:val="22"/>
        </w:rPr>
        <w:t>Actual enrollment (domestic + international).</w:t>
      </w:r>
    </w:p>
    <w:p>
      <w:pPr>
        <w:spacing w:after="40"/>
        <w:ind w:left="1247" w:hanging="357"/>
      </w:pPr>
      <w:r>
        <w:rPr>
          <w:rFonts w:ascii="Cambria" w:hAnsi="Cambria" w:eastAsia="Cambria"/>
          <w:b w:val="0"/>
          <w:i w:val="0"/>
          <w:sz w:val="22"/>
        </w:rPr>
        <w:t>▪</w:t>
        <w:tab/>
      </w:r>
      <w:r>
        <w:rPr>
          <w:rFonts w:ascii="Cambria" w:hAnsi="Cambria" w:eastAsia="Cambria"/>
          <w:b w:val="0"/>
          <w:i w:val="0"/>
          <w:sz w:val="22"/>
        </w:rPr>
        <w:t>Year-wise student strength.</w:t>
      </w:r>
    </w:p>
    <w:p>
      <w:pPr>
        <w:spacing w:after="40"/>
        <w:ind w:left="1247" w:hanging="357"/>
      </w:pPr>
      <w:r>
        <w:rPr>
          <w:rFonts w:ascii="Cambria" w:hAnsi="Cambria" w:eastAsia="Cambria"/>
          <w:b w:val="0"/>
          <w:i w:val="0"/>
          <w:sz w:val="22"/>
        </w:rPr>
        <w:t>▪</w:t>
        <w:tab/>
      </w:r>
      <w:r>
        <w:rPr>
          <w:rFonts w:ascii="Cambria" w:hAnsi="Cambria" w:eastAsia="Cambria"/>
          <w:b w:val="0"/>
          <w:i w:val="0"/>
          <w:sz w:val="22"/>
        </w:rPr>
        <w:t>Category-wise data (Gender, State-wise, Country-wise, etc.).</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Admission Registers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Maintained by the admission cell or registrar.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Contains official details of admitted students (name, roll number, category, domicile).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confirm reported intake vs. actual enrollments.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Enrollment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Department-wise or program-wise enrollment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active student roll numbers and enrollment IDs.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NIRF validate real-time student strength.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Regulatory Body Approvals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AICTE/UGC/PCI/INC/COA/NMC/MCI approvals for sanctioned student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institutions are not over-reporting intake or admitting beyond approved limits.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Cross-verified with annual approval letters.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Student Records Audited by IQAC/NBA/NAAC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Internal audits by IQAC ensure accuracy of enrollment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NBA/NAAC accreditation audits also verify student enrollment and progression.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Adds third-party credibility to institutional submissions.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Student enrollment is foundational for: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Faculty–Student Ratio (FSR).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Graduation Outcomes (GO).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Outreach &amp; Inclusivity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do not inflate intake/enrollment numbers.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Cross-verification guarantees transparency and authenticity.</w:t>
      </w:r>
    </w:p>
    <w:p>
      <w:r>
        <w:br w:type="page"/>
      </w:r>
    </w:p>
    <w:p>
      <w:pPr>
        <w:keepNext/>
        <w:spacing w:before="360" w:after="160"/>
      </w:pPr>
      <w:r>
        <w:rPr>
          <w:rFonts w:ascii="Cambria" w:hAnsi="Cambria" w:eastAsia="Cambria"/>
          <w:b/>
          <w:i w:val="0"/>
          <w:color w:val="1F3A5F"/>
          <w:sz w:val="36"/>
        </w:rPr>
        <w:t>9. Faculty–Student Ratio (FSR)</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FSR = 25 × [15 × (F / 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Number of full-time regular faculty (counting only permanent or full-time contract faculty who taught both semesters in the previous academic year).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 = NT + NP</w:t>
      </w:r>
    </w:p>
    <w:p>
      <w:pPr>
        <w:spacing w:after="40"/>
        <w:ind w:left="1247" w:hanging="357"/>
      </w:pPr>
      <w:r>
        <w:rPr>
          <w:rFonts w:ascii="Cambria" w:hAnsi="Cambria" w:eastAsia="Cambria"/>
          <w:b w:val="0"/>
          <w:i w:val="0"/>
          <w:sz w:val="22"/>
        </w:rPr>
        <w:t>▪</w:t>
        <w:tab/>
      </w:r>
      <w:r>
        <w:rPr>
          <w:rFonts w:ascii="Cambria" w:hAnsi="Cambria" w:eastAsia="Cambria"/>
          <w:b w:val="0"/>
          <w:i w:val="0"/>
          <w:sz w:val="22"/>
        </w:rPr>
        <w:t>NT = Total sanctioned approved intake (UG + PG).</w:t>
      </w:r>
    </w:p>
    <w:p>
      <w:pPr>
        <w:spacing w:after="40"/>
        <w:ind w:left="1247" w:hanging="357"/>
      </w:pPr>
      <w:r>
        <w:rPr>
          <w:rFonts w:ascii="Cambria" w:hAnsi="Cambria" w:eastAsia="Cambria"/>
          <w:b w:val="0"/>
          <w:i w:val="0"/>
          <w:sz w:val="22"/>
        </w:rPr>
        <w:t>▪</w:t>
        <w:tab/>
      </w:r>
      <w:r>
        <w:rPr>
          <w:rFonts w:ascii="Cambria" w:hAnsi="Cambria" w:eastAsia="Cambria"/>
          <w:b w:val="0"/>
          <w:i w:val="0"/>
          <w:sz w:val="22"/>
        </w:rPr>
        <w:t>NP = Number of doctoral students enrolled.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Benchmark: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Expected faculty–student ratio = 1:15.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F/N ≥ 1:15 → full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F/N &lt; 1:50 → score set to zero.</w:t>
      </w:r>
    </w:p>
    <w:p>
      <w:pPr>
        <w:spacing w:after="40" w:line="276" w:lineRule="auto"/>
      </w:pPr>
      <w:r>
        <w:rPr>
          <w:rFonts w:ascii="Cambria" w:hAnsi="Cambria" w:eastAsia="Cambria"/>
          <w:b/>
          <w:i w:val="0"/>
          <w:sz w:val="22"/>
        </w:rPr>
        <w:t>What It Captures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Adequacy: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there are enough faculty members to maintain quality teaching and supervision.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Permanency: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Prioritizes permanent and full-time faculty for scoring.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Temporary/ad-hoc faculty only counted if they taught across both semesters.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Research-Oriented Disciplines: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 PG &amp; Ph.D. programs, faculty availability strongly impacts research guidance and output.</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Primary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list with details (name, qualification, appointment type, permanent/contract, teaching load).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Eligibility Criteria: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Ph.D. or Master's qualified faculty are counted.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with only Bachelor's degrees are excluded.</w:t>
      </w:r>
    </w:p>
    <w:p>
      <w:pPr>
        <w:spacing w:after="40" w:line="276" w:lineRule="auto"/>
      </w:pPr>
      <w:r>
        <w:rPr>
          <w:rFonts w:ascii="Cambria" w:hAnsi="Cambria" w:eastAsia="Cambria"/>
          <w:b/>
          <w:i w:val="0"/>
          <w:sz w:val="22"/>
        </w:rPr>
        <w:t>Scoring Logic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F/N ≥ 1:15 → Full 25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F/N lower than 1:15 → proportionally reduced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F/N below 1:50 → Score = 0.</w:t>
      </w:r>
    </w:p>
    <w:p>
      <w:pPr>
        <w:spacing w:after="40" w:line="276" w:lineRule="auto"/>
      </w:pPr>
      <w:r>
        <w:rPr>
          <w:rFonts w:ascii="Cambria" w:hAnsi="Cambria" w:eastAsia="Cambria"/>
          <w:b/>
          <w:i w:val="0"/>
          <w:sz w:val="22"/>
        </w:rPr>
        <w:t>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NT = 1200 (UG + PG intake)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NP = 200 (Doctoral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 = 1400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 = 95 full-time permanent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95/1400 = 1:14.7 ≈ meets benchmark → Full 25 Marks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Teaching Quality: Good FSR ensures smaller class sizes, better student–faculty engagement.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Research Supervision: Critical for doctoral programs where faculty guide Ph.D. scholars.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Accreditation Alignment: FSR is a key metric in NBA, NAAC, and Washington Accord quality standards.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List with Details</w:t>
      </w:r>
    </w:p>
    <w:p>
      <w:pPr>
        <w:spacing w:after="120" w:line="276" w:lineRule="auto"/>
        <w:jc w:val="both"/>
      </w:pPr>
      <w:r>
        <w:rPr>
          <w:rFonts w:ascii="Cambria" w:hAnsi="Cambria" w:eastAsia="Cambria"/>
          <w:b w:val="0"/>
          <w:i w:val="0"/>
          <w:sz w:val="22"/>
        </w:rPr>
        <w:t>Institution must submit a comprehensive faculty database including:</w:t>
      </w:r>
    </w:p>
    <w:p>
      <w:pPr>
        <w:spacing w:after="40"/>
        <w:ind w:left="1247" w:hanging="357"/>
      </w:pPr>
      <w:r>
        <w:rPr>
          <w:rFonts w:ascii="Cambria" w:hAnsi="Cambria" w:eastAsia="Cambria"/>
          <w:b w:val="0"/>
          <w:i w:val="0"/>
          <w:sz w:val="22"/>
        </w:rPr>
        <w:t>▪</w:t>
        <w:tab/>
      </w:r>
      <w:r>
        <w:rPr>
          <w:rFonts w:ascii="Cambria" w:hAnsi="Cambria" w:eastAsia="Cambria"/>
          <w:b w:val="0"/>
          <w:i w:val="0"/>
          <w:sz w:val="22"/>
        </w:rPr>
        <w:t>Name of Faculty</w:t>
      </w:r>
    </w:p>
    <w:p>
      <w:pPr>
        <w:spacing w:after="40"/>
        <w:ind w:left="1247" w:hanging="357"/>
      </w:pPr>
      <w:r>
        <w:rPr>
          <w:rFonts w:ascii="Cambria" w:hAnsi="Cambria" w:eastAsia="Cambria"/>
          <w:b w:val="0"/>
          <w:i w:val="0"/>
          <w:sz w:val="22"/>
        </w:rPr>
        <w:t>▪</w:t>
        <w:tab/>
      </w:r>
      <w:r>
        <w:rPr>
          <w:rFonts w:ascii="Cambria" w:hAnsi="Cambria" w:eastAsia="Cambria"/>
          <w:b w:val="0"/>
          <w:i w:val="0"/>
          <w:sz w:val="22"/>
        </w:rPr>
        <w:t>Highest Qualification (Ph.D. / Master's / Bachelor's)</w:t>
      </w:r>
    </w:p>
    <w:p>
      <w:pPr>
        <w:spacing w:after="40"/>
        <w:ind w:left="1247" w:hanging="357"/>
      </w:pPr>
      <w:r>
        <w:rPr>
          <w:rFonts w:ascii="Cambria" w:hAnsi="Cambria" w:eastAsia="Cambria"/>
          <w:b w:val="0"/>
          <w:i w:val="0"/>
          <w:sz w:val="22"/>
        </w:rPr>
        <w:t>▪</w:t>
        <w:tab/>
      </w:r>
      <w:r>
        <w:rPr>
          <w:rFonts w:ascii="Cambria" w:hAnsi="Cambria" w:eastAsia="Cambria"/>
          <w:b w:val="0"/>
          <w:i w:val="0"/>
          <w:sz w:val="22"/>
        </w:rPr>
        <w:t>Appointment Type (Permanent, Contract, Visiting/Adjunct)</w:t>
      </w:r>
    </w:p>
    <w:p>
      <w:pPr>
        <w:spacing w:after="40"/>
        <w:ind w:left="1247" w:hanging="357"/>
      </w:pPr>
      <w:r>
        <w:rPr>
          <w:rFonts w:ascii="Cambria" w:hAnsi="Cambria" w:eastAsia="Cambria"/>
          <w:b w:val="0"/>
          <w:i w:val="0"/>
          <w:sz w:val="22"/>
        </w:rPr>
        <w:t>▪</w:t>
        <w:tab/>
      </w:r>
      <w:r>
        <w:rPr>
          <w:rFonts w:ascii="Cambria" w:hAnsi="Cambria" w:eastAsia="Cambria"/>
          <w:b w:val="0"/>
          <w:i w:val="0"/>
          <w:sz w:val="22"/>
        </w:rPr>
        <w:t>Employment Status (Full-time, Part-time)</w:t>
      </w:r>
    </w:p>
    <w:p>
      <w:pPr>
        <w:spacing w:after="40"/>
        <w:ind w:left="1247" w:hanging="357"/>
      </w:pPr>
      <w:r>
        <w:rPr>
          <w:rFonts w:ascii="Cambria" w:hAnsi="Cambria" w:eastAsia="Cambria"/>
          <w:b w:val="0"/>
          <w:i w:val="0"/>
          <w:sz w:val="22"/>
        </w:rPr>
        <w:t>▪</w:t>
        <w:tab/>
      </w:r>
      <w:r>
        <w:rPr>
          <w:rFonts w:ascii="Cambria" w:hAnsi="Cambria" w:eastAsia="Cambria"/>
          <w:b w:val="0"/>
          <w:i w:val="0"/>
          <w:sz w:val="22"/>
        </w:rPr>
        <w:t>Teaching Load (hours per week or number of courses taught per semester)</w:t>
      </w:r>
    </w:p>
    <w:p>
      <w:pPr>
        <w:spacing w:after="40"/>
        <w:ind w:left="1247" w:hanging="357"/>
      </w:pPr>
      <w:r>
        <w:rPr>
          <w:rFonts w:ascii="Cambria" w:hAnsi="Cambria" w:eastAsia="Cambria"/>
          <w:b w:val="0"/>
          <w:i w:val="0"/>
          <w:sz w:val="22"/>
        </w:rPr>
        <w:t>▪</w:t>
        <w:tab/>
      </w:r>
      <w:r>
        <w:rPr>
          <w:rFonts w:ascii="Cambria" w:hAnsi="Cambria" w:eastAsia="Cambria"/>
          <w:b w:val="0"/>
          <w:i w:val="0"/>
          <w:sz w:val="22"/>
        </w:rPr>
        <w:t>Department/Discipline</w:t>
      </w:r>
    </w:p>
    <w:p>
      <w:pPr>
        <w:spacing w:after="40"/>
        <w:ind w:left="1247" w:hanging="357"/>
      </w:pPr>
      <w:r>
        <w:rPr>
          <w:rFonts w:ascii="Cambria" w:hAnsi="Cambria" w:eastAsia="Cambria"/>
          <w:b w:val="0"/>
          <w:i w:val="0"/>
          <w:sz w:val="22"/>
        </w:rPr>
        <w:t>▪</w:t>
        <w:tab/>
      </w:r>
      <w:r>
        <w:rPr>
          <w:rFonts w:ascii="Cambria" w:hAnsi="Cambria" w:eastAsia="Cambria"/>
          <w:b w:val="0"/>
          <w:i w:val="0"/>
          <w:sz w:val="22"/>
        </w:rPr>
        <w:t>Date of Appointment / Service Record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compute:</w:t>
      </w:r>
    </w:p>
    <w:p>
      <w:pPr>
        <w:spacing w:after="40"/>
        <w:ind w:left="1644" w:hanging="357"/>
      </w:pPr>
      <w:r>
        <w:rPr>
          <w:rFonts w:ascii="Cambria" w:hAnsi="Cambria" w:eastAsia="Cambria"/>
          <w:b w:val="0"/>
          <w:i w:val="0"/>
          <w:sz w:val="22"/>
        </w:rPr>
        <w:t>▪</w:t>
        <w:tab/>
      </w:r>
      <w:r>
        <w:rPr>
          <w:rFonts w:ascii="Cambria" w:hAnsi="Cambria" w:eastAsia="Cambria"/>
          <w:b w:val="0"/>
          <w:i w:val="0"/>
          <w:sz w:val="22"/>
        </w:rPr>
        <w:t>Faculty–Student Ratio (FSR) – only full-time permanent faculty considered.</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Quality &amp; Experience (FQE) – only Ph.D.-qualified faculty considered.</w:t>
      </w:r>
    </w:p>
    <w:p>
      <w:pPr>
        <w:spacing w:after="40"/>
        <w:ind w:left="1644" w:hanging="357"/>
      </w:pPr>
      <w:r>
        <w:rPr>
          <w:rFonts w:ascii="Cambria" w:hAnsi="Cambria" w:eastAsia="Cambria"/>
          <w:b w:val="0"/>
          <w:i w:val="0"/>
          <w:sz w:val="22"/>
        </w:rPr>
        <w:t>▪</w:t>
        <w:tab/>
      </w:r>
      <w:r>
        <w:rPr>
          <w:rFonts w:ascii="Cambria" w:hAnsi="Cambria" w:eastAsia="Cambria"/>
          <w:b w:val="0"/>
          <w:i w:val="0"/>
          <w:sz w:val="22"/>
        </w:rPr>
        <w:t>Outreach &amp; Inclusivity (OI) – diversity among faculty.</w:t>
      </w:r>
    </w:p>
    <w:p>
      <w:pPr>
        <w:spacing w:after="40" w:line="276" w:lineRule="auto"/>
      </w:pPr>
      <w:r>
        <w:rPr>
          <w:rFonts w:ascii="Cambria" w:hAnsi="Cambria" w:eastAsia="Cambria"/>
          <w:b/>
          <w:i w:val="0"/>
          <w:sz w:val="22"/>
        </w:rPr>
        <w:t>Eligibility Criteria for Counting in NIRF</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Included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with Ph.D. or equivalent degree.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with Master's degree (M.Tech, MBA, M.Sc., etc.) if not Ph.D.-qualified.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Counted towards FSR metric.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Ph.D. faculty are counted for FQE metric.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Excluded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with only Bachelor's degree.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Adjunct, visiting, and part-time faculty (not full-time regular).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Non-teaching staff, research fellows, and teaching assistants.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profile forms a major part of Teaching, Learning &amp; Resources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are not inflating numbers by adding non-qualified or temporary staff.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with higher proportions of Ph.D.-qualified, permanent, experienced faculty.</w:t>
      </w:r>
    </w:p>
    <w:p>
      <w:r>
        <w:br w:type="page"/>
      </w:r>
    </w:p>
    <w:p>
      <w:pPr>
        <w:keepNext/>
        <w:spacing w:before="360" w:after="160"/>
      </w:pPr>
      <w:r>
        <w:rPr>
          <w:rFonts w:ascii="Cambria" w:hAnsi="Cambria" w:eastAsia="Cambria"/>
          <w:b/>
          <w:i w:val="0"/>
          <w:color w:val="1F3A5F"/>
          <w:sz w:val="36"/>
        </w:rPr>
        <w:t>10. Faculty with PhD (or equivalent) and Experience (FQE)</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FQE = FQ + FE</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FQ (PhD-qualified Faculty Score)</w:t>
      </w:r>
    </w:p>
    <w:p>
      <w:pPr>
        <w:spacing w:after="40"/>
        <w:ind w:left="1644" w:hanging="357"/>
      </w:pPr>
      <w:r>
        <w:rPr>
          <w:rFonts w:ascii="Cambria" w:hAnsi="Cambria" w:eastAsia="Cambria"/>
          <w:b w:val="0"/>
          <w:i w:val="0"/>
          <w:sz w:val="22"/>
        </w:rPr>
        <w:t>▪</w:t>
        <w:tab/>
      </w:r>
      <w:r>
        <w:rPr>
          <w:rFonts w:ascii="Cambria" w:hAnsi="Cambria" w:eastAsia="Cambria"/>
          <w:b w:val="0"/>
          <w:i w:val="0"/>
          <w:sz w:val="22"/>
        </w:rPr>
        <w:t>If FRA ≥ 95% → FQ = 10</w:t>
      </w:r>
    </w:p>
    <w:p>
      <w:pPr>
        <w:spacing w:after="40"/>
        <w:ind w:left="1644" w:hanging="357"/>
      </w:pPr>
      <w:r>
        <w:rPr>
          <w:rFonts w:ascii="Cambria" w:hAnsi="Cambria" w:eastAsia="Cambria"/>
          <w:b w:val="0"/>
          <w:i w:val="0"/>
          <w:sz w:val="22"/>
        </w:rPr>
        <w:t>▪</w:t>
        <w:tab/>
      </w:r>
      <w:r>
        <w:rPr>
          <w:rFonts w:ascii="Cambria" w:hAnsi="Cambria" w:eastAsia="Cambria"/>
          <w:b w:val="0"/>
          <w:i w:val="0"/>
          <w:sz w:val="22"/>
        </w:rPr>
        <w:t>Else → FQ = 10 × (FRA / 95)</w:t>
      </w:r>
    </w:p>
    <w:p>
      <w:pPr>
        <w:spacing w:after="40"/>
        <w:ind w:left="1644" w:hanging="357"/>
      </w:pPr>
      <w:r>
        <w:rPr>
          <w:rFonts w:ascii="Cambria" w:hAnsi="Cambria" w:eastAsia="Cambria"/>
          <w:b w:val="0"/>
          <w:i w:val="0"/>
          <w:sz w:val="22"/>
        </w:rPr>
        <w:t>▪</w:t>
        <w:tab/>
      </w:r>
      <w:r>
        <w:rPr>
          <w:rFonts w:ascii="Cambria" w:hAnsi="Cambria" w:eastAsia="Cambria"/>
          <w:b w:val="0"/>
          <w:i w:val="0"/>
          <w:sz w:val="22"/>
        </w:rPr>
        <w:t>FRA = % of Faculty with PhD (or equivalent) relative to faculty required or available (whichever is higher).</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FE (Faculty Experience Score)</w:t>
      </w:r>
    </w:p>
    <w:p>
      <w:pPr>
        <w:spacing w:after="40"/>
        <w:ind w:left="1644" w:hanging="357"/>
      </w:pPr>
      <w:r>
        <w:rPr>
          <w:rFonts w:ascii="Cambria" w:hAnsi="Cambria" w:eastAsia="Cambria"/>
          <w:b w:val="0"/>
          <w:i w:val="0"/>
          <w:sz w:val="22"/>
        </w:rPr>
        <w:t>▪</w:t>
        <w:tab/>
      </w:r>
      <w:r>
        <w:rPr>
          <w:rFonts w:ascii="Cambria" w:hAnsi="Cambria" w:eastAsia="Cambria"/>
          <w:b w:val="0"/>
          <w:i w:val="0"/>
          <w:sz w:val="22"/>
        </w:rPr>
        <w:t>F1 = Fraction of faculty with experience up to 8 years.</w:t>
      </w:r>
    </w:p>
    <w:p>
      <w:pPr>
        <w:spacing w:after="40"/>
        <w:ind w:left="1644" w:hanging="357"/>
      </w:pPr>
      <w:r>
        <w:rPr>
          <w:rFonts w:ascii="Cambria" w:hAnsi="Cambria" w:eastAsia="Cambria"/>
          <w:b w:val="0"/>
          <w:i w:val="0"/>
          <w:sz w:val="22"/>
        </w:rPr>
        <w:t>▪</w:t>
        <w:tab/>
      </w:r>
      <w:r>
        <w:rPr>
          <w:rFonts w:ascii="Cambria" w:hAnsi="Cambria" w:eastAsia="Cambria"/>
          <w:b w:val="0"/>
          <w:i w:val="0"/>
          <w:sz w:val="22"/>
        </w:rPr>
        <w:t>F2 = Fraction with experience between 8+ and 15 years.</w:t>
      </w:r>
    </w:p>
    <w:p>
      <w:pPr>
        <w:spacing w:after="40"/>
        <w:ind w:left="1644" w:hanging="357"/>
      </w:pPr>
      <w:r>
        <w:rPr>
          <w:rFonts w:ascii="Cambria" w:hAnsi="Cambria" w:eastAsia="Cambria"/>
          <w:b w:val="0"/>
          <w:i w:val="0"/>
          <w:sz w:val="22"/>
        </w:rPr>
        <w:t>▪</w:t>
        <w:tab/>
      </w:r>
      <w:r>
        <w:rPr>
          <w:rFonts w:ascii="Cambria" w:hAnsi="Cambria" w:eastAsia="Cambria"/>
          <w:b w:val="0"/>
          <w:i w:val="0"/>
          <w:sz w:val="22"/>
        </w:rPr>
        <w:t>F3 = Fraction with experience &gt; 15 years.</w:t>
      </w:r>
    </w:p>
    <w:p>
      <w:pPr>
        <w:spacing w:after="40"/>
        <w:ind w:left="1644" w:hanging="357"/>
      </w:pPr>
      <w:r>
        <w:rPr>
          <w:rFonts w:ascii="Cambria" w:hAnsi="Cambria" w:eastAsia="Cambria"/>
          <w:b w:val="0"/>
          <w:i w:val="0"/>
          <w:sz w:val="22"/>
        </w:rPr>
        <w:t>▪</w:t>
        <w:tab/>
      </w:r>
      <w:r>
        <w:rPr>
          <w:rFonts w:ascii="Cambria" w:hAnsi="Cambria" w:eastAsia="Cambria"/>
          <w:b w:val="0"/>
          <w:i w:val="0"/>
          <w:sz w:val="22"/>
        </w:rPr>
        <w:t>Formula: FE = 3 × min(3F1, 1) + 3 × min(3F2, 1) + 4 × min(3F3, 1)</w:t>
      </w:r>
    </w:p>
    <w:p>
      <w:pPr>
        <w:spacing w:after="40"/>
        <w:ind w:left="1644" w:hanging="357"/>
      </w:pPr>
      <w:r>
        <w:rPr>
          <w:rFonts w:ascii="Cambria" w:hAnsi="Cambria" w:eastAsia="Cambria"/>
          <w:b w:val="0"/>
          <w:i w:val="0"/>
          <w:sz w:val="22"/>
        </w:rPr>
        <w:t>▪</w:t>
        <w:tab/>
      </w:r>
      <w:r>
        <w:rPr>
          <w:rFonts w:ascii="Cambria" w:hAnsi="Cambria" w:eastAsia="Cambria"/>
          <w:b w:val="0"/>
          <w:i w:val="0"/>
          <w:sz w:val="22"/>
        </w:rPr>
        <w:t>Rationale: Full marks when faculty experience is distributed in a balanced 1:1:1 ratio across three bands.</w:t>
      </w:r>
    </w:p>
    <w:p>
      <w:pPr>
        <w:spacing w:after="40" w:line="276" w:lineRule="auto"/>
      </w:pPr>
      <w:r>
        <w:rPr>
          <w:rFonts w:ascii="Cambria" w:hAnsi="Cambria" w:eastAsia="Cambria"/>
          <w:b/>
          <w:i w:val="0"/>
          <w:sz w:val="22"/>
        </w:rPr>
        <w:t>What It Captures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Research Depth (PhDs):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with higher proportions of PhD-qualified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PhD-qualified faculty bring advanced research capability, supervision strength, and international exposure.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Experience Diversity: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institutions with a balanced mix of young, mid-career, and senior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mentoring pipelines and sustainable teaching–research balance.</w:t>
      </w:r>
    </w:p>
    <w:p>
      <w:pPr>
        <w:spacing w:after="40" w:line="276" w:lineRule="auto"/>
      </w:pPr>
      <w:r>
        <w:rPr>
          <w:rFonts w:ascii="Cambria" w:hAnsi="Cambria" w:eastAsia="Cambria"/>
          <w:b/>
          <w:i w:val="0"/>
          <w:sz w:val="22"/>
        </w:rPr>
        <w:t>Scoring Logic</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PhD-Qualified Faculty (FQ):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w:t>
      </w:r>
    </w:p>
    <w:p>
      <w:pPr>
        <w:spacing w:after="40"/>
        <w:ind w:left="1644" w:hanging="357"/>
      </w:pPr>
      <w:r>
        <w:rPr>
          <w:rFonts w:ascii="Cambria" w:hAnsi="Cambria" w:eastAsia="Cambria"/>
          <w:b w:val="0"/>
          <w:i w:val="0"/>
          <w:sz w:val="22"/>
        </w:rPr>
        <w:t>▪</w:t>
        <w:tab/>
      </w:r>
      <w:r>
        <w:rPr>
          <w:rFonts w:ascii="Cambria" w:hAnsi="Cambria" w:eastAsia="Cambria"/>
          <w:b w:val="0"/>
          <w:i w:val="0"/>
          <w:sz w:val="22"/>
        </w:rPr>
        <w:t>Total faculty required = 100</w:t>
      </w:r>
    </w:p>
    <w:p>
      <w:pPr>
        <w:spacing w:after="40"/>
        <w:ind w:left="1644" w:hanging="357"/>
      </w:pPr>
      <w:r>
        <w:rPr>
          <w:rFonts w:ascii="Cambria" w:hAnsi="Cambria" w:eastAsia="Cambria"/>
          <w:b w:val="0"/>
          <w:i w:val="0"/>
          <w:sz w:val="22"/>
        </w:rPr>
        <w:t>▪</w:t>
        <w:tab/>
      </w:r>
      <w:r>
        <w:rPr>
          <w:rFonts w:ascii="Cambria" w:hAnsi="Cambria" w:eastAsia="Cambria"/>
          <w:b w:val="0"/>
          <w:i w:val="0"/>
          <w:sz w:val="22"/>
        </w:rPr>
        <w:t>PhD-qualified = 90 → FRA = 90%</w:t>
      </w:r>
    </w:p>
    <w:p>
      <w:pPr>
        <w:spacing w:after="40"/>
        <w:ind w:left="1644" w:hanging="357"/>
      </w:pPr>
      <w:r>
        <w:rPr>
          <w:rFonts w:ascii="Cambria" w:hAnsi="Cambria" w:eastAsia="Cambria"/>
          <w:b w:val="0"/>
          <w:i w:val="0"/>
          <w:sz w:val="22"/>
        </w:rPr>
        <w:t>▪</w:t>
        <w:tab/>
      </w:r>
      <w:r>
        <w:rPr>
          <w:rFonts w:ascii="Cambria" w:hAnsi="Cambria" w:eastAsia="Cambria"/>
          <w:b w:val="0"/>
          <w:i w:val="0"/>
          <w:sz w:val="22"/>
        </w:rPr>
        <w:t>FQ = (90/95) × 10 ≈ 9.47 Marks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Experience Mix (FE):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w:t>
      </w:r>
    </w:p>
    <w:p>
      <w:pPr>
        <w:spacing w:after="40"/>
        <w:ind w:left="1644" w:hanging="357"/>
      </w:pPr>
      <w:r>
        <w:rPr>
          <w:rFonts w:ascii="Cambria" w:hAnsi="Cambria" w:eastAsia="Cambria"/>
          <w:b w:val="0"/>
          <w:i w:val="0"/>
          <w:sz w:val="22"/>
        </w:rPr>
        <w:t>▪</w:t>
        <w:tab/>
      </w:r>
      <w:r>
        <w:rPr>
          <w:rFonts w:ascii="Cambria" w:hAnsi="Cambria" w:eastAsia="Cambria"/>
          <w:b w:val="0"/>
          <w:i w:val="0"/>
          <w:sz w:val="22"/>
        </w:rPr>
        <w:t>F1 (≤ 8 yrs) = 0.33, F2 (8–15 yrs) = 0.34, F3 (&gt;15 yrs) = 0.33</w:t>
      </w:r>
    </w:p>
    <w:p>
      <w:pPr>
        <w:spacing w:after="40"/>
        <w:ind w:left="1644" w:hanging="357"/>
      </w:pPr>
      <w:r>
        <w:rPr>
          <w:rFonts w:ascii="Cambria" w:hAnsi="Cambria" w:eastAsia="Cambria"/>
          <w:b w:val="0"/>
          <w:i w:val="0"/>
          <w:sz w:val="22"/>
        </w:rPr>
        <w:t>▪</w:t>
        <w:tab/>
      </w:r>
      <w:r>
        <w:rPr>
          <w:rFonts w:ascii="Cambria" w:hAnsi="Cambria" w:eastAsia="Cambria"/>
          <w:b w:val="0"/>
          <w:i w:val="0"/>
          <w:sz w:val="22"/>
        </w:rPr>
        <w:t>FE = 3×min(3×0.33,1) + 3×min(3×0.34,1) + 4×min(3×0.33,1) = 3+3+4 = 10 Marks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Final FQE = FQ + FE → Max 20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List with Qualifications &amp; Experience (in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Categories: PhD/Equivalent, Master's, Bachelor's (only PhD/Master's count for FSR; PhD used here).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Experience grouped as: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F1: ≤ 8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F2: 8–15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F3: &gt; 15 years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teaching quality (experienced faculty) + research excellence (PhDs).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hire and retain PhD-qualified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Balances academic innovation from young faculty with stability from senior faculty.</w:t>
      </w:r>
    </w:p>
    <w:p>
      <w:pPr>
        <w:spacing w:after="40" w:line="276" w:lineRule="auto"/>
      </w:pPr>
      <w:r>
        <w:rPr>
          <w:rFonts w:ascii="Cambria" w:hAnsi="Cambria" w:eastAsia="Cambria"/>
          <w:b/>
          <w:i w:val="0"/>
          <w:sz w:val="22"/>
        </w:rPr>
        <w:t>Faculty List with Qualifications &amp; Experience (in years)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a complete list of faculty members working on a regular/full-time basis.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Details required:</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Name</w:t>
      </w:r>
    </w:p>
    <w:p>
      <w:pPr>
        <w:spacing w:after="40"/>
        <w:ind w:left="1644" w:hanging="357"/>
      </w:pPr>
      <w:r>
        <w:rPr>
          <w:rFonts w:ascii="Cambria" w:hAnsi="Cambria" w:eastAsia="Cambria"/>
          <w:b w:val="0"/>
          <w:i w:val="0"/>
          <w:sz w:val="22"/>
        </w:rPr>
        <w:t>▪</w:t>
        <w:tab/>
      </w:r>
      <w:r>
        <w:rPr>
          <w:rFonts w:ascii="Cambria" w:hAnsi="Cambria" w:eastAsia="Cambria"/>
          <w:b w:val="0"/>
          <w:i w:val="0"/>
          <w:sz w:val="22"/>
        </w:rPr>
        <w:t>Designation (Assistant/Associate/Professor)</w:t>
      </w:r>
    </w:p>
    <w:p>
      <w:pPr>
        <w:spacing w:after="40"/>
        <w:ind w:left="1644" w:hanging="357"/>
      </w:pPr>
      <w:r>
        <w:rPr>
          <w:rFonts w:ascii="Cambria" w:hAnsi="Cambria" w:eastAsia="Cambria"/>
          <w:b w:val="0"/>
          <w:i w:val="0"/>
          <w:sz w:val="22"/>
        </w:rPr>
        <w:t>▪</w:t>
        <w:tab/>
      </w:r>
      <w:r>
        <w:rPr>
          <w:rFonts w:ascii="Cambria" w:hAnsi="Cambria" w:eastAsia="Cambria"/>
          <w:b w:val="0"/>
          <w:i w:val="0"/>
          <w:sz w:val="22"/>
        </w:rPr>
        <w:t>Department</w:t>
      </w:r>
    </w:p>
    <w:p>
      <w:pPr>
        <w:spacing w:after="40"/>
        <w:ind w:left="1644" w:hanging="357"/>
      </w:pPr>
      <w:r>
        <w:rPr>
          <w:rFonts w:ascii="Cambria" w:hAnsi="Cambria" w:eastAsia="Cambria"/>
          <w:b w:val="0"/>
          <w:i w:val="0"/>
          <w:sz w:val="22"/>
        </w:rPr>
        <w:t>▪</w:t>
        <w:tab/>
      </w:r>
      <w:r>
        <w:rPr>
          <w:rFonts w:ascii="Cambria" w:hAnsi="Cambria" w:eastAsia="Cambria"/>
          <w:b w:val="0"/>
          <w:i w:val="0"/>
          <w:sz w:val="22"/>
        </w:rPr>
        <w:t>Highest Qualification (PhD / Master's / Bachelor's)</w:t>
      </w:r>
    </w:p>
    <w:p>
      <w:pPr>
        <w:spacing w:after="40"/>
        <w:ind w:left="1644" w:hanging="357"/>
      </w:pPr>
      <w:r>
        <w:rPr>
          <w:rFonts w:ascii="Cambria" w:hAnsi="Cambria" w:eastAsia="Cambria"/>
          <w:b w:val="0"/>
          <w:i w:val="0"/>
          <w:sz w:val="22"/>
        </w:rPr>
        <w:t>▪</w:t>
        <w:tab/>
      </w:r>
      <w:r>
        <w:rPr>
          <w:rFonts w:ascii="Cambria" w:hAnsi="Cambria" w:eastAsia="Cambria"/>
          <w:b w:val="0"/>
          <w:i w:val="0"/>
          <w:sz w:val="22"/>
        </w:rPr>
        <w:t>Years of Teaching/Research/Industry Experience</w:t>
      </w:r>
    </w:p>
    <w:p>
      <w:pPr>
        <w:spacing w:after="40"/>
        <w:ind w:left="1644" w:hanging="357"/>
      </w:pPr>
      <w:r>
        <w:rPr>
          <w:rFonts w:ascii="Cambria" w:hAnsi="Cambria" w:eastAsia="Cambria"/>
          <w:b w:val="0"/>
          <w:i w:val="0"/>
          <w:sz w:val="22"/>
        </w:rPr>
        <w:t>▪</w:t>
        <w:tab/>
      </w:r>
      <w:r>
        <w:rPr>
          <w:rFonts w:ascii="Cambria" w:hAnsi="Cambria" w:eastAsia="Cambria"/>
          <w:b w:val="0"/>
          <w:i w:val="0"/>
          <w:sz w:val="22"/>
        </w:rPr>
        <w:t>Date of Joining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Visiting/Adjunct faculty are not considered for this metric.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evaluate Faculty–Student Ratio (FSR) and Faculty Quality &amp; Experience (FQE) metrics in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number of qualified and experienced faculty positively impacts rankings.</w:t>
      </w:r>
    </w:p>
    <w:p>
      <w:pPr>
        <w:spacing w:after="40" w:line="276" w:lineRule="auto"/>
      </w:pPr>
      <w:r>
        <w:rPr>
          <w:rFonts w:ascii="Cambria" w:hAnsi="Cambria" w:eastAsia="Cambria"/>
          <w:b/>
          <w:i w:val="0"/>
          <w:sz w:val="22"/>
        </w:rPr>
        <w:t>Categories: PhD / Equivalent, Master's, Bachelor's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PhD / Equivalent: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with Doctoral Degree (PhD, DSc, or equivalent).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Considered the highest weightage category in NIRF scoring.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Master's Degree: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holding only a Master's degree (M.Tech, M.E., M.Sc., MBA,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Counted for FSR, but not weighted as strongly as PhD for FQE.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Bachelor's Degree: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with only Bachelor's degree are not counted in FSR or FQE.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Included in the list for completeness, but excluded in scoring.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Important: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FSR calculation: Only PhD + Master's faculty count.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Faculty Quality (FQE): Only PhD-qualified faculty are considered.</w:t>
      </w:r>
    </w:p>
    <w:p>
      <w:pPr>
        <w:spacing w:after="40" w:line="276" w:lineRule="auto"/>
      </w:pPr>
      <w:r>
        <w:rPr>
          <w:rFonts w:ascii="Cambria" w:hAnsi="Cambria" w:eastAsia="Cambria"/>
          <w:b/>
          <w:i w:val="0"/>
          <w:sz w:val="22"/>
        </w:rPr>
        <w:t>Faculty Experience Grouping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are classified into 3 experience bands: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F1: ≤ 8 years</w:t>
      </w:r>
    </w:p>
    <w:p>
      <w:pPr>
        <w:spacing w:after="40"/>
        <w:ind w:left="1984" w:hanging="357"/>
      </w:pPr>
      <w:r>
        <w:rPr>
          <w:rFonts w:ascii="Cambria" w:hAnsi="Cambria" w:eastAsia="Cambria"/>
          <w:b w:val="0"/>
          <w:i w:val="0"/>
          <w:sz w:val="22"/>
        </w:rPr>
        <w:t>▪</w:t>
        <w:tab/>
      </w:r>
      <w:r>
        <w:rPr>
          <w:rFonts w:ascii="Cambria" w:hAnsi="Cambria" w:eastAsia="Cambria"/>
          <w:b w:val="0"/>
          <w:i w:val="0"/>
          <w:sz w:val="22"/>
        </w:rPr>
        <w:t>Early-career faculty with limited experience.</w:t>
      </w:r>
    </w:p>
    <w:p>
      <w:pPr>
        <w:spacing w:after="40"/>
        <w:ind w:left="1984" w:hanging="357"/>
      </w:pPr>
      <w:r>
        <w:rPr>
          <w:rFonts w:ascii="Cambria" w:hAnsi="Cambria" w:eastAsia="Cambria"/>
          <w:b w:val="0"/>
          <w:i w:val="0"/>
          <w:sz w:val="22"/>
        </w:rPr>
        <w:t>▪</w:t>
        <w:tab/>
      </w:r>
      <w:r>
        <w:rPr>
          <w:rFonts w:ascii="Cambria" w:hAnsi="Cambria" w:eastAsia="Cambria"/>
          <w:b w:val="0"/>
          <w:i w:val="0"/>
          <w:sz w:val="22"/>
        </w:rPr>
        <w:t>Usually Assistant Professors or new recruits.</w:t>
      </w:r>
    </w:p>
    <w:p>
      <w:pPr>
        <w:spacing w:after="40"/>
        <w:ind w:left="1984" w:hanging="357"/>
      </w:pPr>
      <w:r>
        <w:rPr>
          <w:rFonts w:ascii="Cambria" w:hAnsi="Cambria" w:eastAsia="Cambria"/>
          <w:b w:val="0"/>
          <w:i w:val="0"/>
          <w:sz w:val="22"/>
        </w:rPr>
        <w:t>▪</w:t>
        <w:tab/>
      </w:r>
      <w:r>
        <w:rPr>
          <w:rFonts w:ascii="Cambria" w:hAnsi="Cambria" w:eastAsia="Cambria"/>
          <w:b w:val="0"/>
          <w:i w:val="0"/>
          <w:sz w:val="22"/>
        </w:rPr>
        <w:t>Important for showing young talent but scores lower in experience weightage.</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F2: 8–15 years</w:t>
      </w:r>
    </w:p>
    <w:p>
      <w:pPr>
        <w:spacing w:after="40"/>
        <w:ind w:left="1984" w:hanging="357"/>
      </w:pPr>
      <w:r>
        <w:rPr>
          <w:rFonts w:ascii="Cambria" w:hAnsi="Cambria" w:eastAsia="Cambria"/>
          <w:b w:val="0"/>
          <w:i w:val="0"/>
          <w:sz w:val="22"/>
        </w:rPr>
        <w:t>▪</w:t>
        <w:tab/>
      </w:r>
      <w:r>
        <w:rPr>
          <w:rFonts w:ascii="Cambria" w:hAnsi="Cambria" w:eastAsia="Cambria"/>
          <w:b w:val="0"/>
          <w:i w:val="0"/>
          <w:sz w:val="22"/>
        </w:rPr>
        <w:t>Mid-career faculty with moderate experience.</w:t>
      </w:r>
    </w:p>
    <w:p>
      <w:pPr>
        <w:spacing w:after="40"/>
        <w:ind w:left="1984" w:hanging="357"/>
      </w:pPr>
      <w:r>
        <w:rPr>
          <w:rFonts w:ascii="Cambria" w:hAnsi="Cambria" w:eastAsia="Cambria"/>
          <w:b w:val="0"/>
          <w:i w:val="0"/>
          <w:sz w:val="22"/>
        </w:rPr>
        <w:t>▪</w:t>
        <w:tab/>
      </w:r>
      <w:r>
        <w:rPr>
          <w:rFonts w:ascii="Cambria" w:hAnsi="Cambria" w:eastAsia="Cambria"/>
          <w:b w:val="0"/>
          <w:i w:val="0"/>
          <w:sz w:val="22"/>
        </w:rPr>
        <w:t>Often Associate Professors or senior Assistant Professors.</w:t>
      </w:r>
    </w:p>
    <w:p>
      <w:pPr>
        <w:spacing w:after="40"/>
        <w:ind w:left="1984" w:hanging="357"/>
      </w:pPr>
      <w:r>
        <w:rPr>
          <w:rFonts w:ascii="Cambria" w:hAnsi="Cambria" w:eastAsia="Cambria"/>
          <w:b w:val="0"/>
          <w:i w:val="0"/>
          <w:sz w:val="22"/>
        </w:rPr>
        <w:t>▪</w:t>
        <w:tab/>
      </w:r>
      <w:r>
        <w:rPr>
          <w:rFonts w:ascii="Cambria" w:hAnsi="Cambria" w:eastAsia="Cambria"/>
          <w:b w:val="0"/>
          <w:i w:val="0"/>
          <w:sz w:val="22"/>
        </w:rPr>
        <w:t>Provides balance between teaching and research output.</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F3: &gt; 15 years</w:t>
      </w:r>
    </w:p>
    <w:p>
      <w:pPr>
        <w:spacing w:after="40"/>
        <w:ind w:left="1984" w:hanging="357"/>
      </w:pPr>
      <w:r>
        <w:rPr>
          <w:rFonts w:ascii="Cambria" w:hAnsi="Cambria" w:eastAsia="Cambria"/>
          <w:b w:val="0"/>
          <w:i w:val="0"/>
          <w:sz w:val="22"/>
        </w:rPr>
        <w:t>▪</w:t>
        <w:tab/>
      </w:r>
      <w:r>
        <w:rPr>
          <w:rFonts w:ascii="Cambria" w:hAnsi="Cambria" w:eastAsia="Cambria"/>
          <w:b w:val="0"/>
          <w:i w:val="0"/>
          <w:sz w:val="22"/>
        </w:rPr>
        <w:t>Highly experienced faculty (often Professors, senior academic leaders).</w:t>
      </w:r>
    </w:p>
    <w:p>
      <w:pPr>
        <w:spacing w:after="40"/>
        <w:ind w:left="1984" w:hanging="357"/>
      </w:pPr>
      <w:r>
        <w:rPr>
          <w:rFonts w:ascii="Cambria" w:hAnsi="Cambria" w:eastAsia="Cambria"/>
          <w:b w:val="0"/>
          <w:i w:val="0"/>
          <w:sz w:val="22"/>
        </w:rPr>
        <w:t>▪</w:t>
        <w:tab/>
      </w:r>
      <w:r>
        <w:rPr>
          <w:rFonts w:ascii="Cambria" w:hAnsi="Cambria" w:eastAsia="Cambria"/>
          <w:b w:val="0"/>
          <w:i w:val="0"/>
          <w:sz w:val="22"/>
        </w:rPr>
        <w:t>Contributes significantly to research, mentoring PhDs, and institutional leadership.</w:t>
      </w:r>
    </w:p>
    <w:p>
      <w:pPr>
        <w:spacing w:after="40"/>
        <w:ind w:left="1984" w:hanging="357"/>
      </w:pPr>
      <w:r>
        <w:rPr>
          <w:rFonts w:ascii="Cambria" w:hAnsi="Cambria" w:eastAsia="Cambria"/>
          <w:b w:val="0"/>
          <w:i w:val="0"/>
          <w:sz w:val="22"/>
        </w:rPr>
        <w:t>▪</w:t>
        <w:tab/>
      </w:r>
      <w:r>
        <w:rPr>
          <w:rFonts w:ascii="Cambria" w:hAnsi="Cambria" w:eastAsia="Cambria"/>
          <w:b w:val="0"/>
          <w:i w:val="0"/>
          <w:sz w:val="22"/>
        </w:rPr>
        <w:t>Highest weightage in NIRF's Faculty Experience (FQE) score.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 of grouping: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measure the distribution of faculty across different career stages.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Balanced distribution (not too many in F1, healthy representation in F2 &amp; F3) indicates institutional maturity and stability.</w:t>
      </w:r>
    </w:p>
    <w:p>
      <w:pPr>
        <w:spacing w:after="40" w:line="276" w:lineRule="auto"/>
      </w:pPr>
      <w:r>
        <w:rPr>
          <w:rFonts w:ascii="Cambria" w:hAnsi="Cambria" w:eastAsia="Cambria"/>
          <w:b/>
          <w:i w:val="0"/>
          <w:sz w:val="22"/>
        </w:rPr>
        <w:t>Why NIRF Collects This Data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Helps evaluate faculty adequacy and quality (critical for Teaching, Learning &amp; Resources –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don't inflate numbers with inexperienced/adjunct staff.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with higher PhD-qualified and experienced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Directly impacts FSR (30 marks) and FQE (40 marks) sub-metrics in NIRF scoring.</w:t>
      </w:r>
    </w:p>
    <w:p>
      <w:r>
        <w:br w:type="page"/>
      </w:r>
    </w:p>
    <w:p>
      <w:pPr>
        <w:keepNext/>
        <w:spacing w:before="360" w:after="160"/>
      </w:pPr>
      <w:r>
        <w:rPr>
          <w:rFonts w:ascii="Cambria" w:hAnsi="Cambria" w:eastAsia="Cambria"/>
          <w:b/>
          <w:i w:val="0"/>
          <w:color w:val="1F3A5F"/>
          <w:sz w:val="36"/>
        </w:rPr>
        <w:t>11. Financial Resources and their Utilisation (FRU)</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FRU = 5 × f(BC) + 15 × f(BO)</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BC = Average Annual Capital Expenditure per Student (3 years)</w:t>
      </w:r>
    </w:p>
    <w:p>
      <w:pPr>
        <w:spacing w:after="40"/>
        <w:ind w:left="1644" w:hanging="357"/>
      </w:pPr>
      <w:r>
        <w:rPr>
          <w:rFonts w:ascii="Cambria" w:hAnsi="Cambria" w:eastAsia="Cambria"/>
          <w:b w:val="0"/>
          <w:i w:val="0"/>
          <w:sz w:val="22"/>
        </w:rPr>
        <w:t>▪</w:t>
        <w:tab/>
      </w:r>
      <w:r>
        <w:rPr>
          <w:rFonts w:ascii="Cambria" w:hAnsi="Cambria" w:eastAsia="Cambria"/>
          <w:b w:val="0"/>
          <w:i w:val="0"/>
          <w:sz w:val="22"/>
        </w:rPr>
        <w:t>Excluding costs for construction of new buildings.</w:t>
      </w:r>
    </w:p>
    <w:p>
      <w:pPr>
        <w:spacing w:after="40"/>
        <w:ind w:left="1644" w:hanging="357"/>
      </w:pPr>
      <w:r>
        <w:rPr>
          <w:rFonts w:ascii="Cambria" w:hAnsi="Cambria" w:eastAsia="Cambria"/>
          <w:b w:val="0"/>
          <w:i w:val="0"/>
          <w:sz w:val="22"/>
        </w:rPr>
        <w:t>▪</w:t>
        <w:tab/>
      </w:r>
      <w:r>
        <w:rPr>
          <w:rFonts w:ascii="Cambria" w:hAnsi="Cambria" w:eastAsia="Cambria"/>
          <w:b w:val="0"/>
          <w:i w:val="0"/>
          <w:sz w:val="22"/>
        </w:rPr>
        <w:t>Covers labs, equipment, IT resources, learning resources.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BO = Average Annual Operational (Recurring) Expenditure per Student (3 years)</w:t>
      </w:r>
    </w:p>
    <w:p>
      <w:pPr>
        <w:spacing w:after="40"/>
        <w:ind w:left="1644" w:hanging="357"/>
      </w:pPr>
      <w:r>
        <w:rPr>
          <w:rFonts w:ascii="Cambria" w:hAnsi="Cambria" w:eastAsia="Cambria"/>
          <w:b w:val="0"/>
          <w:i w:val="0"/>
          <w:sz w:val="22"/>
        </w:rPr>
        <w:t>▪</w:t>
        <w:tab/>
      </w:r>
      <w:r>
        <w:rPr>
          <w:rFonts w:ascii="Cambria" w:hAnsi="Cambria" w:eastAsia="Cambria"/>
          <w:b w:val="0"/>
          <w:i w:val="0"/>
          <w:sz w:val="22"/>
        </w:rPr>
        <w:t>Excluding maintenance of hostels and allied services.</w:t>
      </w:r>
    </w:p>
    <w:p>
      <w:pPr>
        <w:spacing w:after="40"/>
        <w:ind w:left="1644" w:hanging="357"/>
      </w:pPr>
      <w:r>
        <w:rPr>
          <w:rFonts w:ascii="Cambria" w:hAnsi="Cambria" w:eastAsia="Cambria"/>
          <w:b w:val="0"/>
          <w:i w:val="0"/>
          <w:sz w:val="22"/>
        </w:rPr>
        <w:t>▪</w:t>
        <w:tab/>
      </w:r>
      <w:r>
        <w:rPr>
          <w:rFonts w:ascii="Cambria" w:hAnsi="Cambria" w:eastAsia="Cambria"/>
          <w:b w:val="0"/>
          <w:i w:val="0"/>
          <w:sz w:val="22"/>
        </w:rPr>
        <w:t>Covers faculty salaries, library, consumables, academic services.</w:t>
      </w:r>
    </w:p>
    <w:p>
      <w:pPr>
        <w:spacing w:after="40" w:line="276" w:lineRule="auto"/>
      </w:pPr>
      <w:r>
        <w:rPr>
          <w:rFonts w:ascii="Cambria" w:hAnsi="Cambria" w:eastAsia="Cambria"/>
          <w:b/>
          <w:i w:val="0"/>
          <w:sz w:val="22"/>
        </w:rPr>
        <w:t>Components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Capital Expenditure (BC,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Investments in academic infrastructure:</w:t>
      </w:r>
    </w:p>
    <w:p>
      <w:pPr>
        <w:spacing w:after="40"/>
        <w:ind w:left="1644" w:hanging="357"/>
      </w:pPr>
      <w:r>
        <w:rPr>
          <w:rFonts w:ascii="Cambria" w:hAnsi="Cambria" w:eastAsia="Cambria"/>
          <w:b w:val="0"/>
          <w:i w:val="0"/>
          <w:sz w:val="22"/>
        </w:rPr>
        <w:t>▪</w:t>
        <w:tab/>
      </w:r>
      <w:r>
        <w:rPr>
          <w:rFonts w:ascii="Cambria" w:hAnsi="Cambria" w:eastAsia="Cambria"/>
          <w:b w:val="0"/>
          <w:i w:val="0"/>
          <w:sz w:val="22"/>
        </w:rPr>
        <w:t>Laboratories, workshops, ICT facilities, digital classrooms, libraries.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Shows whether the institution upgrades resources regularly.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Per-student normalization ensures fairness across institutions of different sizes.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Operational Expenditure (BO,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Running costs directly contributing to academic delivery.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and staff salaries.</w:t>
      </w:r>
    </w:p>
    <w:p>
      <w:pPr>
        <w:spacing w:after="40"/>
        <w:ind w:left="1644" w:hanging="357"/>
      </w:pPr>
      <w:r>
        <w:rPr>
          <w:rFonts w:ascii="Cambria" w:hAnsi="Cambria" w:eastAsia="Cambria"/>
          <w:b w:val="0"/>
          <w:i w:val="0"/>
          <w:sz w:val="22"/>
        </w:rPr>
        <w:t>▪</w:t>
        <w:tab/>
      </w:r>
      <w:r>
        <w:rPr>
          <w:rFonts w:ascii="Cambria" w:hAnsi="Cambria" w:eastAsia="Cambria"/>
          <w:b w:val="0"/>
          <w:i w:val="0"/>
          <w:sz w:val="22"/>
        </w:rPr>
        <w:t>Consumables (lab supplies, teaching aids).</w:t>
      </w:r>
    </w:p>
    <w:p>
      <w:pPr>
        <w:spacing w:after="40"/>
        <w:ind w:left="1644" w:hanging="357"/>
      </w:pPr>
      <w:r>
        <w:rPr>
          <w:rFonts w:ascii="Cambria" w:hAnsi="Cambria" w:eastAsia="Cambria"/>
          <w:b w:val="0"/>
          <w:i w:val="0"/>
          <w:sz w:val="22"/>
        </w:rPr>
        <w:t>▪</w:t>
        <w:tab/>
      </w:r>
      <w:r>
        <w:rPr>
          <w:rFonts w:ascii="Cambria" w:hAnsi="Cambria" w:eastAsia="Cambria"/>
          <w:b w:val="0"/>
          <w:i w:val="0"/>
          <w:sz w:val="22"/>
        </w:rPr>
        <w:t>Library subscriptions, e-resources.</w:t>
      </w:r>
    </w:p>
    <w:p>
      <w:pPr>
        <w:spacing w:after="40"/>
        <w:ind w:left="1644" w:hanging="357"/>
      </w:pPr>
      <w:r>
        <w:rPr>
          <w:rFonts w:ascii="Cambria" w:hAnsi="Cambria" w:eastAsia="Cambria"/>
          <w:b w:val="0"/>
          <w:i w:val="0"/>
          <w:sz w:val="22"/>
        </w:rPr>
        <w:t>▪</w:t>
        <w:tab/>
      </w:r>
      <w:r>
        <w:rPr>
          <w:rFonts w:ascii="Cambria" w:hAnsi="Cambria" w:eastAsia="Cambria"/>
          <w:b w:val="0"/>
          <w:i w:val="0"/>
          <w:sz w:val="22"/>
        </w:rPr>
        <w:t>Student support services.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Excludes: hostels, transport, non-academic amenities.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share ensures sustained teaching–learning quality.</w:t>
      </w:r>
    </w:p>
    <w:p>
      <w:pPr>
        <w:spacing w:after="40" w:line="276" w:lineRule="auto"/>
      </w:pPr>
      <w:r>
        <w:rPr>
          <w:rFonts w:ascii="Cambria" w:hAnsi="Cambria" w:eastAsia="Cambria"/>
          <w:b/>
          <w:i w:val="0"/>
          <w:sz w:val="22"/>
        </w:rPr>
        <w:t>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(institution-submitted):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Audited accounts for past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 strength each year.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Cross-check with finance department records, audited reports.</w:t>
      </w:r>
    </w:p>
    <w:p>
      <w:pPr>
        <w:spacing w:after="40" w:line="276" w:lineRule="auto"/>
      </w:pPr>
      <w:r>
        <w:rPr>
          <w:rFonts w:ascii="Cambria" w:hAnsi="Cambria" w:eastAsia="Cambria"/>
          <w:b/>
          <w:i w:val="0"/>
          <w:sz w:val="22"/>
        </w:rPr>
        <w:t>Scoring Logic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Capital Expenditure (Max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marks if average annual capex per student is above benchmark (say, ≥ ₹50,000).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Scaled down proportionally if lower.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Operational Expenditure (Max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marks if per-student recurring expenditure is above benchmark (say, ≥ ₹1,50,000).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Proportional scaling for lower spends.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FRU = Max 20 Marks.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that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Invest continuously in upgrading infrastructure.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Sustain faculty and academic services with adequate funding.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 financial transparency and accountability.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Balances short-term operational stability with long-term infrastructure growth.</w:t>
      </w:r>
    </w:p>
    <w:p>
      <w:pPr>
        <w:spacing w:after="40" w:line="276" w:lineRule="auto"/>
      </w:pPr>
      <w:r>
        <w:rPr>
          <w:rFonts w:ascii="Cambria" w:hAnsi="Cambria" w:eastAsia="Cambria"/>
          <w:b/>
          <w:i w:val="0"/>
          <w:sz w:val="22"/>
        </w:rPr>
        <w:t>Primary Data (Institution-Submitted)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Audited Accounts for Past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audited financial statements for the last three financial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Key components:</w:t>
      </w:r>
    </w:p>
    <w:p>
      <w:pPr>
        <w:spacing w:after="40"/>
        <w:ind w:left="1644" w:hanging="357"/>
      </w:pPr>
      <w:r>
        <w:rPr>
          <w:rFonts w:ascii="Cambria" w:hAnsi="Cambria" w:eastAsia="Cambria"/>
          <w:b w:val="0"/>
          <w:i w:val="0"/>
          <w:sz w:val="22"/>
        </w:rPr>
        <w:t>▪</w:t>
        <w:tab/>
      </w:r>
      <w:r>
        <w:rPr>
          <w:rFonts w:ascii="Cambria" w:hAnsi="Cambria" w:eastAsia="Cambria"/>
          <w:b w:val="0"/>
          <w:i w:val="0"/>
          <w:sz w:val="22"/>
        </w:rPr>
        <w:t>Income &amp; Expenditure statements.</w:t>
      </w:r>
    </w:p>
    <w:p>
      <w:pPr>
        <w:spacing w:after="40"/>
        <w:ind w:left="1644" w:hanging="357"/>
      </w:pPr>
      <w:r>
        <w:rPr>
          <w:rFonts w:ascii="Cambria" w:hAnsi="Cambria" w:eastAsia="Cambria"/>
          <w:b w:val="0"/>
          <w:i w:val="0"/>
          <w:sz w:val="22"/>
        </w:rPr>
        <w:t>▪</w:t>
        <w:tab/>
      </w:r>
      <w:r>
        <w:rPr>
          <w:rFonts w:ascii="Cambria" w:hAnsi="Cambria" w:eastAsia="Cambria"/>
          <w:b w:val="0"/>
          <w:i w:val="0"/>
          <w:sz w:val="22"/>
        </w:rPr>
        <w:t>Balance sheets.</w:t>
      </w:r>
    </w:p>
    <w:p>
      <w:pPr>
        <w:spacing w:after="40"/>
        <w:ind w:left="1644" w:hanging="357"/>
      </w:pPr>
      <w:r>
        <w:rPr>
          <w:rFonts w:ascii="Cambria" w:hAnsi="Cambria" w:eastAsia="Cambria"/>
          <w:b w:val="0"/>
          <w:i w:val="0"/>
          <w:sz w:val="22"/>
        </w:rPr>
        <w:t>▪</w:t>
        <w:tab/>
      </w:r>
      <w:r>
        <w:rPr>
          <w:rFonts w:ascii="Cambria" w:hAnsi="Cambria" w:eastAsia="Cambria"/>
          <w:b w:val="0"/>
          <w:i w:val="0"/>
          <w:sz w:val="22"/>
        </w:rPr>
        <w:t>Audit certificates from Chartered Accountant / Finance Controller.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Purpose:</w:t>
      </w:r>
    </w:p>
    <w:p>
      <w:pPr>
        <w:spacing w:after="40"/>
        <w:ind w:left="1644" w:hanging="357"/>
      </w:pPr>
      <w:r>
        <w:rPr>
          <w:rFonts w:ascii="Cambria" w:hAnsi="Cambria" w:eastAsia="Cambria"/>
          <w:b w:val="0"/>
          <w:i w:val="0"/>
          <w:sz w:val="22"/>
        </w:rPr>
        <w:t>▪</w:t>
        <w:tab/>
      </w:r>
      <w:r>
        <w:rPr>
          <w:rFonts w:ascii="Cambria" w:hAnsi="Cambria" w:eastAsia="Cambria"/>
          <w:b w:val="0"/>
          <w:i w:val="0"/>
          <w:sz w:val="22"/>
        </w:rPr>
        <w:t>Ensures transparency in institutional income, funding, and expenditure.</w:t>
      </w:r>
    </w:p>
    <w:p>
      <w:pPr>
        <w:spacing w:after="40"/>
        <w:ind w:left="1644" w:hanging="357"/>
      </w:pPr>
      <w:r>
        <w:rPr>
          <w:rFonts w:ascii="Cambria" w:hAnsi="Cambria" w:eastAsia="Cambria"/>
          <w:b w:val="0"/>
          <w:i w:val="0"/>
          <w:sz w:val="22"/>
        </w:rPr>
        <w:t>▪</w:t>
        <w:tab/>
      </w:r>
      <w:r>
        <w:rPr>
          <w:rFonts w:ascii="Cambria" w:hAnsi="Cambria" w:eastAsia="Cambria"/>
          <w:b w:val="0"/>
          <w:i w:val="0"/>
          <w:sz w:val="22"/>
        </w:rPr>
        <w:t>Forms the basis for NIRF's financial resource normalization.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Student Strength Each Year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submit year-wise student enrollment numbers (UG, PG, Ph.D.).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Both intake capacity and actual enrollment should be reported.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details of:</w:t>
      </w:r>
    </w:p>
    <w:p>
      <w:pPr>
        <w:spacing w:after="40"/>
        <w:ind w:left="1644" w:hanging="357"/>
      </w:pPr>
      <w:r>
        <w:rPr>
          <w:rFonts w:ascii="Cambria" w:hAnsi="Cambria" w:eastAsia="Cambria"/>
          <w:b w:val="0"/>
          <w:i w:val="0"/>
          <w:sz w:val="22"/>
        </w:rPr>
        <w:t>▪</w:t>
        <w:tab/>
      </w:r>
      <w:r>
        <w:rPr>
          <w:rFonts w:ascii="Cambria" w:hAnsi="Cambria" w:eastAsia="Cambria"/>
          <w:b w:val="0"/>
          <w:i w:val="0"/>
          <w:sz w:val="22"/>
        </w:rPr>
        <w:t>Domestic students (state-wise).</w:t>
      </w:r>
    </w:p>
    <w:p>
      <w:pPr>
        <w:spacing w:after="40"/>
        <w:ind w:left="1644" w:hanging="357"/>
      </w:pPr>
      <w:r>
        <w:rPr>
          <w:rFonts w:ascii="Cambria" w:hAnsi="Cambria" w:eastAsia="Cambria"/>
          <w:b w:val="0"/>
          <w:i w:val="0"/>
          <w:sz w:val="22"/>
        </w:rPr>
        <w:t>▪</w:t>
        <w:tab/>
      </w:r>
      <w:r>
        <w:rPr>
          <w:rFonts w:ascii="Cambria" w:hAnsi="Cambria" w:eastAsia="Cambria"/>
          <w:b w:val="0"/>
          <w:i w:val="0"/>
          <w:sz w:val="22"/>
        </w:rPr>
        <w:t>International students (country-wise).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Purpose:</w:t>
      </w:r>
    </w:p>
    <w:p>
      <w:pPr>
        <w:spacing w:after="40"/>
        <w:ind w:left="1644" w:hanging="357"/>
      </w:pPr>
      <w:r>
        <w:rPr>
          <w:rFonts w:ascii="Cambria" w:hAnsi="Cambria" w:eastAsia="Cambria"/>
          <w:b w:val="0"/>
          <w:i w:val="0"/>
          <w:sz w:val="22"/>
        </w:rPr>
        <w:t>▪</w:t>
        <w:tab/>
      </w:r>
      <w:r>
        <w:rPr>
          <w:rFonts w:ascii="Cambria" w:hAnsi="Cambria" w:eastAsia="Cambria"/>
          <w:b w:val="0"/>
          <w:i w:val="0"/>
          <w:sz w:val="22"/>
        </w:rPr>
        <w:t>Used in Faculty-Student Ratio (FSR), Graduation Outcomes (GO), and normalization of research/financial parameters.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Cross-check with Finance Department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Finance department's official ledgers and records must match the audited accounts submitted.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over-reporting of income or funding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Audited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be certified by:</w:t>
      </w:r>
    </w:p>
    <w:p>
      <w:pPr>
        <w:spacing w:after="40"/>
        <w:ind w:left="1644" w:hanging="357"/>
      </w:pPr>
      <w:r>
        <w:rPr>
          <w:rFonts w:ascii="Cambria" w:hAnsi="Cambria" w:eastAsia="Cambria"/>
          <w:b w:val="0"/>
          <w:i w:val="0"/>
          <w:sz w:val="22"/>
        </w:rPr>
        <w:t>▪</w:t>
        <w:tab/>
      </w:r>
      <w:r>
        <w:rPr>
          <w:rFonts w:ascii="Cambria" w:hAnsi="Cambria" w:eastAsia="Cambria"/>
          <w:b w:val="0"/>
          <w:i w:val="0"/>
          <w:sz w:val="22"/>
        </w:rPr>
        <w:t>Statutory auditor.</w:t>
      </w:r>
    </w:p>
    <w:p>
      <w:pPr>
        <w:spacing w:after="40"/>
        <w:ind w:left="1644" w:hanging="357"/>
      </w:pPr>
      <w:r>
        <w:rPr>
          <w:rFonts w:ascii="Cambria" w:hAnsi="Cambria" w:eastAsia="Cambria"/>
          <w:b w:val="0"/>
          <w:i w:val="0"/>
          <w:sz w:val="22"/>
        </w:rPr>
        <w:t>▪</w:t>
        <w:tab/>
      </w:r>
      <w:r>
        <w:rPr>
          <w:rFonts w:ascii="Cambria" w:hAnsi="Cambria" w:eastAsia="Cambria"/>
          <w:b w:val="0"/>
          <w:i w:val="0"/>
          <w:sz w:val="22"/>
        </w:rPr>
        <w:t>Finance controller.</w:t>
      </w:r>
    </w:p>
    <w:p>
      <w:pPr>
        <w:spacing w:after="40"/>
        <w:ind w:left="1644" w:hanging="357"/>
      </w:pPr>
      <w:r>
        <w:rPr>
          <w:rFonts w:ascii="Cambria" w:hAnsi="Cambria" w:eastAsia="Cambria"/>
          <w:b w:val="0"/>
          <w:i w:val="0"/>
          <w:sz w:val="22"/>
        </w:rPr>
        <w:t>▪</w:t>
        <w:tab/>
      </w:r>
      <w:r>
        <w:rPr>
          <w:rFonts w:ascii="Cambria" w:hAnsi="Cambria" w:eastAsia="Cambria"/>
          <w:b w:val="0"/>
          <w:i w:val="0"/>
          <w:sz w:val="22"/>
        </w:rPr>
        <w:t>Governing body/Board of Management.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authenticity of financial reporting.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Also used to validate income from:</w:t>
      </w:r>
    </w:p>
    <w:p>
      <w:pPr>
        <w:spacing w:after="40"/>
        <w:ind w:left="1644" w:hanging="357"/>
      </w:pPr>
      <w:r>
        <w:rPr>
          <w:rFonts w:ascii="Cambria" w:hAnsi="Cambria" w:eastAsia="Cambria"/>
          <w:b w:val="0"/>
          <w:i w:val="0"/>
          <w:sz w:val="22"/>
        </w:rPr>
        <w:t>▪</w:t>
        <w:tab/>
      </w:r>
      <w:r>
        <w:rPr>
          <w:rFonts w:ascii="Cambria" w:hAnsi="Cambria" w:eastAsia="Cambria"/>
          <w:b w:val="0"/>
          <w:i w:val="0"/>
          <w:sz w:val="22"/>
        </w:rPr>
        <w:t>Sponsored projects.</w:t>
      </w:r>
    </w:p>
    <w:p>
      <w:pPr>
        <w:spacing w:after="40"/>
        <w:ind w:left="1644" w:hanging="357"/>
      </w:pPr>
      <w:r>
        <w:rPr>
          <w:rFonts w:ascii="Cambria" w:hAnsi="Cambria" w:eastAsia="Cambria"/>
          <w:b w:val="0"/>
          <w:i w:val="0"/>
          <w:sz w:val="22"/>
        </w:rPr>
        <w:t>▪</w:t>
        <w:tab/>
      </w:r>
      <w:r>
        <w:rPr>
          <w:rFonts w:ascii="Cambria" w:hAnsi="Cambria" w:eastAsia="Cambria"/>
          <w:b w:val="0"/>
          <w:i w:val="0"/>
          <w:sz w:val="22"/>
        </w:rPr>
        <w:t>Consultancy.</w:t>
      </w:r>
    </w:p>
    <w:p>
      <w:pPr>
        <w:spacing w:after="40"/>
        <w:ind w:left="1644" w:hanging="357"/>
      </w:pPr>
      <w:r>
        <w:rPr>
          <w:rFonts w:ascii="Cambria" w:hAnsi="Cambria" w:eastAsia="Cambria"/>
          <w:b w:val="0"/>
          <w:i w:val="0"/>
          <w:sz w:val="22"/>
        </w:rPr>
        <w:t>▪</w:t>
        <w:tab/>
      </w:r>
      <w:r>
        <w:rPr>
          <w:rFonts w:ascii="Cambria" w:hAnsi="Cambria" w:eastAsia="Cambria"/>
          <w:b w:val="0"/>
          <w:i w:val="0"/>
          <w:sz w:val="22"/>
        </w:rPr>
        <w:t>EDP/MDP training programs.</w:t>
      </w:r>
    </w:p>
    <w:p>
      <w:pPr>
        <w:spacing w:after="40"/>
        <w:ind w:left="1644" w:hanging="357"/>
      </w:pPr>
      <w:r>
        <w:rPr>
          <w:rFonts w:ascii="Cambria" w:hAnsi="Cambria" w:eastAsia="Cambria"/>
          <w:b w:val="0"/>
          <w:i w:val="0"/>
          <w:sz w:val="22"/>
        </w:rPr>
        <w:t>▪</w:t>
        <w:tab/>
      </w:r>
      <w:r>
        <w:rPr>
          <w:rFonts w:ascii="Cambria" w:hAnsi="Cambria" w:eastAsia="Cambria"/>
          <w:b w:val="0"/>
          <w:i w:val="0"/>
          <w:sz w:val="22"/>
        </w:rPr>
        <w:t>Tuition and other institutional receipts.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 ensure financial transparency, accountability, and resource adequacy.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Provides a reliable denominator for normalizing research income and resource utilization.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Cross-linked with student strength data to evaluate whether resources are used effectively per student.</w:t>
      </w:r>
    </w:p>
    <w:p>
      <w:r>
        <w:br w:type="page"/>
      </w:r>
    </w:p>
    <w:p>
      <w:pPr>
        <w:keepNext/>
        <w:spacing w:before="360" w:after="160"/>
      </w:pPr>
      <w:r>
        <w:rPr>
          <w:rFonts w:ascii="Cambria" w:hAnsi="Cambria" w:eastAsia="Cambria"/>
          <w:b/>
          <w:i w:val="0"/>
          <w:color w:val="1F3A5F"/>
          <w:sz w:val="36"/>
        </w:rPr>
        <w:t>12. Online Education (OE): Completion of Syllabus, Exams &amp; SWAYAM</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OE = f(OE) (function defined by NIRF based on adoption of online teaching-learning mechanisms).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 10.</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Completion of Syllabus via Online Mode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Extent to which courses are delivered digitally.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synchronous (live online lectures) and asynchronous (LMS, MOOCs, recorded videos) teaching.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that integrate blended learning systematically score higher.</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Online Examinations &amp; Assessments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Conduct of mid-term, end-term, quizzes, and viva using proctored online tools.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Adoption of AI-proctored, secure platforms gets better scores.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digital readiness for crisis situations (like COVID-19).</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SWAYAM Courses (MOOCs)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Recognition of:</w:t>
      </w:r>
    </w:p>
    <w:p>
      <w:pPr>
        <w:spacing w:after="40"/>
        <w:ind w:left="1644" w:hanging="357"/>
      </w:pPr>
      <w:r>
        <w:rPr>
          <w:rFonts w:ascii="Cambria" w:hAnsi="Cambria" w:eastAsia="Cambria"/>
          <w:b w:val="0"/>
          <w:i w:val="0"/>
          <w:sz w:val="22"/>
        </w:rPr>
        <w:t>▪</w:t>
        <w:tab/>
      </w:r>
      <w:r>
        <w:rPr>
          <w:rFonts w:ascii="Cambria" w:hAnsi="Cambria" w:eastAsia="Cambria"/>
          <w:b w:val="0"/>
          <w:i w:val="0"/>
          <w:sz w:val="22"/>
        </w:rPr>
        <w:t>Number of students enrolled in SWAYAM/NPTEL.</w:t>
      </w:r>
    </w:p>
    <w:p>
      <w:pPr>
        <w:spacing w:after="40"/>
        <w:ind w:left="1644" w:hanging="357"/>
      </w:pPr>
      <w:r>
        <w:rPr>
          <w:rFonts w:ascii="Cambria" w:hAnsi="Cambria" w:eastAsia="Cambria"/>
          <w:b w:val="0"/>
          <w:i w:val="0"/>
          <w:sz w:val="22"/>
        </w:rPr>
        <w:t>▪</w:t>
        <w:tab/>
      </w:r>
      <w:r>
        <w:rPr>
          <w:rFonts w:ascii="Cambria" w:hAnsi="Cambria" w:eastAsia="Cambria"/>
          <w:b w:val="0"/>
          <w:i w:val="0"/>
          <w:sz w:val="22"/>
        </w:rPr>
        <w:t>Completion rates of these MOOCs.</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contribution to developing SWAYAM courses.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Indian HEIs to contribute to the national MOOC ecosystem.</w:t>
      </w:r>
    </w:p>
    <w:p>
      <w:pPr>
        <w:spacing w:after="40" w:line="276" w:lineRule="auto"/>
      </w:pPr>
      <w:r>
        <w:rPr>
          <w:rFonts w:ascii="Cambria" w:hAnsi="Cambria" w:eastAsia="Cambria"/>
          <w:b/>
          <w:i w:val="0"/>
          <w:sz w:val="22"/>
        </w:rPr>
        <w:t>Scoring Logic (Indicative)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Syllabus Completion Online (4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100% syllabus completion via LMS/e-tools → Full 4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Partial adoption → proportionally lower.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Online Exams (3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All exams conducted online (secured &amp; proctored) → Full 3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Hybrid mode → partial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SWAYAM Courses (3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student participation + faculty-developed courses → Full 3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enrollment, no completions → lower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OE = 10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(to be submitted by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syllabus delivered online.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courses assessed via online exams.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SWAYAM courses completed by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SWAYAM courses developed by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LMS records, online exam records, SWAYAM portal certifications.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digital learning adoption in line with NEP 2020.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student flexibility through MOOCs and blended learning.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are resilient and adaptable to future disruptions.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India's digital education infrastructure.</w:t>
      </w:r>
    </w:p>
    <w:p>
      <w:pPr>
        <w:spacing w:after="40" w:line="276" w:lineRule="auto"/>
      </w:pPr>
      <w:r>
        <w:rPr>
          <w:rFonts w:ascii="Cambria" w:hAnsi="Cambria" w:eastAsia="Cambria"/>
          <w:b/>
          <w:i w:val="0"/>
          <w:sz w:val="22"/>
        </w:rPr>
        <w:t>% of syllabus delivered online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Refers to the proportion of the total curriculum (UG + PG) that has been delivered using online/digital modes.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Delivery modes may include:</w:t>
      </w:r>
    </w:p>
    <w:p>
      <w:pPr>
        <w:spacing w:after="40"/>
        <w:ind w:left="1247" w:hanging="357"/>
      </w:pPr>
      <w:r>
        <w:rPr>
          <w:rFonts w:ascii="Cambria" w:hAnsi="Cambria" w:eastAsia="Cambria"/>
          <w:b w:val="0"/>
          <w:i w:val="0"/>
          <w:sz w:val="22"/>
        </w:rPr>
        <w:t>▪</w:t>
        <w:tab/>
      </w:r>
      <w:r>
        <w:rPr>
          <w:rFonts w:ascii="Cambria" w:hAnsi="Cambria" w:eastAsia="Cambria"/>
          <w:b w:val="0"/>
          <w:i w:val="0"/>
          <w:sz w:val="22"/>
        </w:rPr>
        <w:t>Live online lectures via platforms (Zoom, MS Teams, Google Meet, etc.).</w:t>
      </w:r>
    </w:p>
    <w:p>
      <w:pPr>
        <w:spacing w:after="40"/>
        <w:ind w:left="1247" w:hanging="357"/>
      </w:pPr>
      <w:r>
        <w:rPr>
          <w:rFonts w:ascii="Cambria" w:hAnsi="Cambria" w:eastAsia="Cambria"/>
          <w:b w:val="0"/>
          <w:i w:val="0"/>
          <w:sz w:val="22"/>
        </w:rPr>
        <w:t>▪</w:t>
        <w:tab/>
      </w:r>
      <w:r>
        <w:rPr>
          <w:rFonts w:ascii="Cambria" w:hAnsi="Cambria" w:eastAsia="Cambria"/>
          <w:b w:val="0"/>
          <w:i w:val="0"/>
          <w:sz w:val="22"/>
        </w:rPr>
        <w:t>Asynchronous recorded sessions hosted on LMS (Moodle, Blackboard, Canvas).</w:t>
      </w:r>
    </w:p>
    <w:p>
      <w:pPr>
        <w:spacing w:after="40"/>
        <w:ind w:left="1247" w:hanging="357"/>
      </w:pPr>
      <w:r>
        <w:rPr>
          <w:rFonts w:ascii="Cambria" w:hAnsi="Cambria" w:eastAsia="Cambria"/>
          <w:b w:val="0"/>
          <w:i w:val="0"/>
          <w:sz w:val="22"/>
        </w:rPr>
        <w:t>▪</w:t>
        <w:tab/>
      </w:r>
      <w:r>
        <w:rPr>
          <w:rFonts w:ascii="Cambria" w:hAnsi="Cambria" w:eastAsia="Cambria"/>
          <w:b w:val="0"/>
          <w:i w:val="0"/>
          <w:sz w:val="22"/>
        </w:rPr>
        <w:t>Digital course content through MOOCs, SWAYAM, Coursera, edX.</w:t>
      </w:r>
    </w:p>
    <w:p>
      <w:pPr>
        <w:spacing w:after="40"/>
        <w:ind w:left="1247" w:hanging="357"/>
      </w:pPr>
      <w:r>
        <w:rPr>
          <w:rFonts w:ascii="Cambria" w:hAnsi="Cambria" w:eastAsia="Cambria"/>
          <w:b w:val="0"/>
          <w:i w:val="0"/>
          <w:sz w:val="22"/>
        </w:rPr>
        <w:t>▪</w:t>
        <w:tab/>
      </w:r>
      <w:r>
        <w:rPr>
          <w:rFonts w:ascii="Cambria" w:hAnsi="Cambria" w:eastAsia="Cambria"/>
          <w:b w:val="0"/>
          <w:i w:val="0"/>
          <w:sz w:val="22"/>
        </w:rPr>
        <w:t>Virtual labs, simulation-based teaching, and online project guidance.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Purpose:</w:t>
      </w:r>
    </w:p>
    <w:p>
      <w:pPr>
        <w:spacing w:after="40"/>
        <w:ind w:left="1247" w:hanging="357"/>
      </w:pPr>
      <w:r>
        <w:rPr>
          <w:rFonts w:ascii="Cambria" w:hAnsi="Cambria" w:eastAsia="Cambria"/>
          <w:b w:val="0"/>
          <w:i w:val="0"/>
          <w:sz w:val="22"/>
        </w:rPr>
        <w:t>▪</w:t>
        <w:tab/>
      </w:r>
      <w:r>
        <w:rPr>
          <w:rFonts w:ascii="Cambria" w:hAnsi="Cambria" w:eastAsia="Cambria"/>
          <w:b w:val="0"/>
          <w:i w:val="0"/>
          <w:sz w:val="22"/>
        </w:rPr>
        <w:t>To assess the institution's adoption of digital teaching-learning practices.</w:t>
      </w:r>
    </w:p>
    <w:p>
      <w:pPr>
        <w:spacing w:after="40"/>
        <w:ind w:left="1247" w:hanging="357"/>
      </w:pPr>
      <w:r>
        <w:rPr>
          <w:rFonts w:ascii="Cambria" w:hAnsi="Cambria" w:eastAsia="Cambria"/>
          <w:b w:val="0"/>
          <w:i w:val="0"/>
          <w:sz w:val="22"/>
        </w:rPr>
        <w:t>▪</w:t>
        <w:tab/>
      </w:r>
      <w:r>
        <w:rPr>
          <w:rFonts w:ascii="Cambria" w:hAnsi="Cambria" w:eastAsia="Cambria"/>
          <w:b w:val="0"/>
          <w:i w:val="0"/>
          <w:sz w:val="22"/>
        </w:rPr>
        <w:t>To measure alignment with NEP 2020's emphasis on blended learning and technology integration.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requirement:</w:t>
      </w:r>
    </w:p>
    <w:p>
      <w:pPr>
        <w:spacing w:after="40"/>
        <w:ind w:left="1247" w:hanging="357"/>
      </w:pPr>
      <w:r>
        <w:rPr>
          <w:rFonts w:ascii="Cambria" w:hAnsi="Cambria" w:eastAsia="Cambria"/>
          <w:b w:val="0"/>
          <w:i w:val="0"/>
          <w:sz w:val="22"/>
        </w:rPr>
        <w:t>▪</w:t>
        <w:tab/>
      </w:r>
      <w:r>
        <w:rPr>
          <w:rFonts w:ascii="Cambria" w:hAnsi="Cambria" w:eastAsia="Cambria"/>
          <w:b w:val="0"/>
          <w:i w:val="0"/>
          <w:sz w:val="22"/>
        </w:rPr>
        <w:t>Institution calculates percentage = (Total syllabus delivered online ÷ Total syllabus delivered overall) × 100.</w:t>
      </w:r>
    </w:p>
    <w:p>
      <w:pPr>
        <w:spacing w:after="40"/>
        <w:ind w:left="1247" w:hanging="357"/>
      </w:pPr>
      <w:r>
        <w:rPr>
          <w:rFonts w:ascii="Cambria" w:hAnsi="Cambria" w:eastAsia="Cambria"/>
          <w:b w:val="0"/>
          <w:i w:val="0"/>
          <w:sz w:val="22"/>
        </w:rPr>
        <w:t>▪</w:t>
        <w:tab/>
      </w:r>
      <w:r>
        <w:rPr>
          <w:rFonts w:ascii="Cambria" w:hAnsi="Cambria" w:eastAsia="Cambria"/>
          <w:b w:val="0"/>
          <w:i w:val="0"/>
          <w:sz w:val="22"/>
        </w:rPr>
        <w:t>Verified through LMS logs, timetable records, and faculty reports.</w:t>
      </w:r>
    </w:p>
    <w:p>
      <w:pPr>
        <w:spacing w:after="40" w:line="276" w:lineRule="auto"/>
      </w:pPr>
      <w:r>
        <w:rPr>
          <w:rFonts w:ascii="Cambria" w:hAnsi="Cambria" w:eastAsia="Cambria"/>
          <w:b/>
          <w:i w:val="0"/>
          <w:sz w:val="22"/>
        </w:rPr>
        <w:t>% of courses assessed via online exams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Represents the share of academic courses where examinations/assessments were conducted fully or partly online.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Assessment modes may include:</w:t>
      </w:r>
    </w:p>
    <w:p>
      <w:pPr>
        <w:spacing w:after="40"/>
        <w:ind w:left="1247" w:hanging="357"/>
      </w:pPr>
      <w:r>
        <w:rPr>
          <w:rFonts w:ascii="Cambria" w:hAnsi="Cambria" w:eastAsia="Cambria"/>
          <w:b w:val="0"/>
          <w:i w:val="0"/>
          <w:sz w:val="22"/>
        </w:rPr>
        <w:t>▪</w:t>
        <w:tab/>
      </w:r>
      <w:r>
        <w:rPr>
          <w:rFonts w:ascii="Cambria" w:hAnsi="Cambria" w:eastAsia="Cambria"/>
          <w:b w:val="0"/>
          <w:i w:val="0"/>
          <w:sz w:val="22"/>
        </w:rPr>
        <w:t>Online proctored examinations.</w:t>
      </w:r>
    </w:p>
    <w:p>
      <w:pPr>
        <w:spacing w:after="40"/>
        <w:ind w:left="1247" w:hanging="357"/>
      </w:pPr>
      <w:r>
        <w:rPr>
          <w:rFonts w:ascii="Cambria" w:hAnsi="Cambria" w:eastAsia="Cambria"/>
          <w:b w:val="0"/>
          <w:i w:val="0"/>
          <w:sz w:val="22"/>
        </w:rPr>
        <w:t>▪</w:t>
        <w:tab/>
      </w:r>
      <w:r>
        <w:rPr>
          <w:rFonts w:ascii="Cambria" w:hAnsi="Cambria" w:eastAsia="Cambria"/>
          <w:b w:val="0"/>
          <w:i w:val="0"/>
          <w:sz w:val="22"/>
        </w:rPr>
        <w:t>Online quizzes, multiple-choice tests, and assignments on LMS.</w:t>
      </w:r>
    </w:p>
    <w:p>
      <w:pPr>
        <w:spacing w:after="40"/>
        <w:ind w:left="1247" w:hanging="357"/>
      </w:pPr>
      <w:r>
        <w:rPr>
          <w:rFonts w:ascii="Cambria" w:hAnsi="Cambria" w:eastAsia="Cambria"/>
          <w:b w:val="0"/>
          <w:i w:val="0"/>
          <w:sz w:val="22"/>
        </w:rPr>
        <w:t>▪</w:t>
        <w:tab/>
      </w:r>
      <w:r>
        <w:rPr>
          <w:rFonts w:ascii="Cambria" w:hAnsi="Cambria" w:eastAsia="Cambria"/>
          <w:b w:val="0"/>
          <w:i w:val="0"/>
          <w:sz w:val="22"/>
        </w:rPr>
        <w:t>Remote viva, project submissions, and presentations through digital platforms.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Purpose:</w:t>
      </w:r>
    </w:p>
    <w:p>
      <w:pPr>
        <w:spacing w:after="40"/>
        <w:ind w:left="1247" w:hanging="357"/>
      </w:pPr>
      <w:r>
        <w:rPr>
          <w:rFonts w:ascii="Cambria" w:hAnsi="Cambria" w:eastAsia="Cambria"/>
          <w:b w:val="0"/>
          <w:i w:val="0"/>
          <w:sz w:val="22"/>
        </w:rPr>
        <w:t>▪</w:t>
        <w:tab/>
      </w:r>
      <w:r>
        <w:rPr>
          <w:rFonts w:ascii="Cambria" w:hAnsi="Cambria" w:eastAsia="Cambria"/>
          <w:b w:val="0"/>
          <w:i w:val="0"/>
          <w:sz w:val="22"/>
        </w:rPr>
        <w:t>To gauge the institution's capability to adopt technology-enabled evaluation systems.</w:t>
      </w:r>
    </w:p>
    <w:p>
      <w:pPr>
        <w:spacing w:after="40"/>
        <w:ind w:left="1247" w:hanging="357"/>
      </w:pPr>
      <w:r>
        <w:rPr>
          <w:rFonts w:ascii="Cambria" w:hAnsi="Cambria" w:eastAsia="Cambria"/>
          <w:b w:val="0"/>
          <w:i w:val="0"/>
          <w:sz w:val="22"/>
        </w:rPr>
        <w:t>▪</w:t>
        <w:tab/>
      </w:r>
      <w:r>
        <w:rPr>
          <w:rFonts w:ascii="Cambria" w:hAnsi="Cambria" w:eastAsia="Cambria"/>
          <w:b w:val="0"/>
          <w:i w:val="0"/>
          <w:sz w:val="22"/>
        </w:rPr>
        <w:t>To ensure transparency, accessibility, and efficiency in assessments.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requirement:</w:t>
      </w:r>
    </w:p>
    <w:p>
      <w:pPr>
        <w:spacing w:after="40"/>
        <w:ind w:left="1247" w:hanging="357"/>
      </w:pPr>
      <w:r>
        <w:rPr>
          <w:rFonts w:ascii="Cambria" w:hAnsi="Cambria" w:eastAsia="Cambria"/>
          <w:b w:val="0"/>
          <w:i w:val="0"/>
          <w:sz w:val="22"/>
        </w:rPr>
        <w:t>▪</w:t>
        <w:tab/>
      </w:r>
      <w:r>
        <w:rPr>
          <w:rFonts w:ascii="Cambria" w:hAnsi="Cambria" w:eastAsia="Cambria"/>
          <w:b w:val="0"/>
          <w:i w:val="0"/>
          <w:sz w:val="22"/>
        </w:rPr>
        <w:t>Percentage = (Number of courses assessed online ÷ Total courses offered) × 100.</w:t>
      </w:r>
    </w:p>
    <w:p>
      <w:pPr>
        <w:spacing w:after="40"/>
        <w:ind w:left="1247" w:hanging="357"/>
      </w:pPr>
      <w:r>
        <w:rPr>
          <w:rFonts w:ascii="Cambria" w:hAnsi="Cambria" w:eastAsia="Cambria"/>
          <w:b w:val="0"/>
          <w:i w:val="0"/>
          <w:sz w:val="22"/>
        </w:rPr>
        <w:t>▪</w:t>
        <w:tab/>
      </w:r>
      <w:r>
        <w:rPr>
          <w:rFonts w:ascii="Cambria" w:hAnsi="Cambria" w:eastAsia="Cambria"/>
          <w:b w:val="0"/>
          <w:i w:val="0"/>
          <w:sz w:val="22"/>
        </w:rPr>
        <w:t>Evidence from examination cell reports, LMS data, or online proctoring vendor reports.</w:t>
      </w:r>
    </w:p>
    <w:p>
      <w:pPr>
        <w:spacing w:after="40" w:line="276" w:lineRule="auto"/>
      </w:pPr>
      <w:r>
        <w:rPr>
          <w:rFonts w:ascii="Cambria" w:hAnsi="Cambria" w:eastAsia="Cambria"/>
          <w:b/>
          <w:i w:val="0"/>
          <w:sz w:val="22"/>
        </w:rPr>
        <w:t>Number of SWAYAM courses completed by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Captures how many SWAYAM/NPTEL/other UGC-AICTE-approved MOOC courses have been successfully completed by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Completion = Students must earn certificates from SWAYAM/NPTEL after passing the final proctored exam.</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Purpose:</w:t>
      </w:r>
    </w:p>
    <w:p>
      <w:pPr>
        <w:spacing w:after="40"/>
        <w:ind w:left="1247" w:hanging="357"/>
      </w:pPr>
      <w:r>
        <w:rPr>
          <w:rFonts w:ascii="Cambria" w:hAnsi="Cambria" w:eastAsia="Cambria"/>
          <w:b w:val="0"/>
          <w:i w:val="0"/>
          <w:sz w:val="22"/>
        </w:rPr>
        <w:t>▪</w:t>
        <w:tab/>
      </w:r>
      <w:r>
        <w:rPr>
          <w:rFonts w:ascii="Cambria" w:hAnsi="Cambria" w:eastAsia="Cambria"/>
          <w:b w:val="0"/>
          <w:i w:val="0"/>
          <w:sz w:val="22"/>
        </w:rPr>
        <w:t>To measure student exposure to national-level MOOCs and self-learning platforms.</w:t>
      </w:r>
    </w:p>
    <w:p>
      <w:pPr>
        <w:spacing w:after="40"/>
        <w:ind w:left="1247" w:hanging="357"/>
      </w:pPr>
      <w:r>
        <w:rPr>
          <w:rFonts w:ascii="Cambria" w:hAnsi="Cambria" w:eastAsia="Cambria"/>
          <w:b w:val="0"/>
          <w:i w:val="0"/>
          <w:sz w:val="22"/>
        </w:rPr>
        <w:t>▪</w:t>
        <w:tab/>
      </w:r>
      <w:r>
        <w:rPr>
          <w:rFonts w:ascii="Cambria" w:hAnsi="Cambria" w:eastAsia="Cambria"/>
          <w:b w:val="0"/>
          <w:i w:val="0"/>
          <w:sz w:val="22"/>
        </w:rPr>
        <w:t>To reflect institutional encouragement for lifelong learning and skill enhancement.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requirement:</w:t>
      </w:r>
    </w:p>
    <w:p>
      <w:pPr>
        <w:spacing w:after="40"/>
        <w:ind w:left="1247" w:hanging="357"/>
      </w:pPr>
      <w:r>
        <w:rPr>
          <w:rFonts w:ascii="Cambria" w:hAnsi="Cambria" w:eastAsia="Cambria"/>
          <w:b w:val="0"/>
          <w:i w:val="0"/>
          <w:sz w:val="22"/>
        </w:rPr>
        <w:t>▪</w:t>
        <w:tab/>
      </w:r>
      <w:r>
        <w:rPr>
          <w:rFonts w:ascii="Cambria" w:hAnsi="Cambria" w:eastAsia="Cambria"/>
          <w:b w:val="0"/>
          <w:i w:val="0"/>
          <w:sz w:val="22"/>
        </w:rPr>
        <w:t>Count of unique SWAYAM certificates completed by enrolled students during the assessment period.</w:t>
      </w:r>
    </w:p>
    <w:p>
      <w:pPr>
        <w:spacing w:after="40"/>
        <w:ind w:left="1247" w:hanging="357"/>
      </w:pPr>
      <w:r>
        <w:rPr>
          <w:rFonts w:ascii="Cambria" w:hAnsi="Cambria" w:eastAsia="Cambria"/>
          <w:b w:val="0"/>
          <w:i w:val="0"/>
          <w:sz w:val="22"/>
        </w:rPr>
        <w:t>▪</w:t>
        <w:tab/>
      </w:r>
      <w:r>
        <w:rPr>
          <w:rFonts w:ascii="Cambria" w:hAnsi="Cambria" w:eastAsia="Cambria"/>
          <w:b w:val="0"/>
          <w:i w:val="0"/>
          <w:sz w:val="22"/>
        </w:rPr>
        <w:t>Verified through certificate copies or official SWAYAM dashboard records.</w:t>
      </w:r>
    </w:p>
    <w:p>
      <w:pPr>
        <w:spacing w:after="40" w:line="276" w:lineRule="auto"/>
      </w:pPr>
      <w:r>
        <w:rPr>
          <w:rFonts w:ascii="Cambria" w:hAnsi="Cambria" w:eastAsia="Cambria"/>
          <w:b/>
          <w:i w:val="0"/>
          <w:sz w:val="22"/>
        </w:rPr>
        <w:t>Number of SWAYAM courses developed by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Refers to the number of complete courses created and delivered by the institution's faculty members on the SWAYAM platform.</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must have developed full MOOCs (with AICTE/UGC approval) that are published/hosted on SWAYAM.</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Purpose:</w:t>
      </w:r>
    </w:p>
    <w:p>
      <w:pPr>
        <w:spacing w:after="40"/>
        <w:ind w:left="1247" w:hanging="357"/>
      </w:pPr>
      <w:r>
        <w:rPr>
          <w:rFonts w:ascii="Cambria" w:hAnsi="Cambria" w:eastAsia="Cambria"/>
          <w:b w:val="0"/>
          <w:i w:val="0"/>
          <w:sz w:val="22"/>
        </w:rPr>
        <w:t>▪</w:t>
        <w:tab/>
      </w:r>
      <w:r>
        <w:rPr>
          <w:rFonts w:ascii="Cambria" w:hAnsi="Cambria" w:eastAsia="Cambria"/>
          <w:b w:val="0"/>
          <w:i w:val="0"/>
          <w:sz w:val="22"/>
        </w:rPr>
        <w:t>To evaluate faculty contribution to the national digital education ecosystem.</w:t>
      </w:r>
    </w:p>
    <w:p>
      <w:pPr>
        <w:spacing w:after="40"/>
        <w:ind w:left="1247" w:hanging="357"/>
      </w:pPr>
      <w:r>
        <w:rPr>
          <w:rFonts w:ascii="Cambria" w:hAnsi="Cambria" w:eastAsia="Cambria"/>
          <w:b w:val="0"/>
          <w:i w:val="0"/>
          <w:sz w:val="22"/>
        </w:rPr>
        <w:t>▪</w:t>
        <w:tab/>
      </w:r>
      <w:r>
        <w:rPr>
          <w:rFonts w:ascii="Cambria" w:hAnsi="Cambria" w:eastAsia="Cambria"/>
          <w:b w:val="0"/>
          <w:i w:val="0"/>
          <w:sz w:val="22"/>
        </w:rPr>
        <w:t>To highlight institutional participation in knowledge dissemination at the national/global level.</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requirement:</w:t>
      </w:r>
    </w:p>
    <w:p>
      <w:pPr>
        <w:spacing w:after="40"/>
        <w:ind w:left="1247" w:hanging="357"/>
      </w:pPr>
      <w:r>
        <w:rPr>
          <w:rFonts w:ascii="Cambria" w:hAnsi="Cambria" w:eastAsia="Cambria"/>
          <w:b w:val="0"/>
          <w:i w:val="0"/>
          <w:sz w:val="22"/>
        </w:rPr>
        <w:t>▪</w:t>
        <w:tab/>
      </w:r>
      <w:r>
        <w:rPr>
          <w:rFonts w:ascii="Cambria" w:hAnsi="Cambria" w:eastAsia="Cambria"/>
          <w:b w:val="0"/>
          <w:i w:val="0"/>
          <w:sz w:val="22"/>
        </w:rPr>
        <w:t>List of courses with course titles, faculty names, hosting semester/year.</w:t>
      </w:r>
    </w:p>
    <w:p>
      <w:pPr>
        <w:spacing w:after="40"/>
        <w:ind w:left="1247" w:hanging="357"/>
      </w:pPr>
      <w:r>
        <w:rPr>
          <w:rFonts w:ascii="Cambria" w:hAnsi="Cambria" w:eastAsia="Cambria"/>
          <w:b w:val="0"/>
          <w:i w:val="0"/>
          <w:sz w:val="22"/>
        </w:rPr>
        <w:t>▪</w:t>
        <w:tab/>
      </w:r>
      <w:r>
        <w:rPr>
          <w:rFonts w:ascii="Cambria" w:hAnsi="Cambria" w:eastAsia="Cambria"/>
          <w:b w:val="0"/>
          <w:i w:val="0"/>
          <w:sz w:val="22"/>
        </w:rPr>
        <w:t>Links to SWAYAM portal course pages and official approval letters.</w:t>
      </w:r>
    </w:p>
    <w:p>
      <w:pPr>
        <w:spacing w:after="40" w:line="276" w:lineRule="auto"/>
      </w:pPr>
      <w:r>
        <w:rPr>
          <w:rFonts w:ascii="Cambria" w:hAnsi="Cambria" w:eastAsia="Cambria"/>
          <w:b/>
          <w:i w:val="0"/>
          <w:sz w:val="22"/>
        </w:rPr>
        <w:t>Overall Relevance for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These parameters fall under the Teaching, Learning &amp; Resources (TLR) dimension.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They showcase digital adoption, blended learning readiness, and contribution to national-level initiatives like SWAYAM.</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Evidence submitted should be authentic, with certificates, LMS reports, or SWAYAM links to avoid data rejection during NIRF verification.</w:t>
      </w:r>
    </w:p>
    <w:p>
      <w:pPr>
        <w:spacing w:after="40" w:line="276" w:lineRule="auto"/>
      </w:pPr>
      <w:r>
        <w:rPr>
          <w:rFonts w:ascii="Cambria" w:hAnsi="Cambria" w:eastAsia="Cambria"/>
          <w:b/>
          <w:i w:val="0"/>
          <w:sz w:val="22"/>
        </w:rPr>
        <w:t>Learning Management System (LMS)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is:</w:t>
      </w:r>
    </w:p>
    <w:p>
      <w:pPr>
        <w:spacing w:after="40"/>
        <w:ind w:left="1247" w:hanging="357"/>
      </w:pPr>
      <w:r>
        <w:rPr>
          <w:rFonts w:ascii="Cambria" w:hAnsi="Cambria" w:eastAsia="Cambria"/>
          <w:b w:val="0"/>
          <w:i w:val="0"/>
          <w:sz w:val="22"/>
        </w:rPr>
        <w:t>▪</w:t>
        <w:tab/>
      </w:r>
      <w:r>
        <w:rPr>
          <w:rFonts w:ascii="Cambria" w:hAnsi="Cambria" w:eastAsia="Cambria"/>
          <w:b w:val="0"/>
          <w:i w:val="0"/>
          <w:sz w:val="22"/>
        </w:rPr>
        <w:t>LMS is the digital backbone for online teaching and learning (e.g., Moodle, Blackboard, Canvas, Google Classroom, institution's in-house LMS).</w:t>
      </w:r>
    </w:p>
    <w:p>
      <w:pPr>
        <w:spacing w:after="40"/>
        <w:ind w:left="1247" w:hanging="357"/>
      </w:pPr>
      <w:r>
        <w:rPr>
          <w:rFonts w:ascii="Cambria" w:hAnsi="Cambria" w:eastAsia="Cambria"/>
          <w:b w:val="0"/>
          <w:i w:val="0"/>
          <w:sz w:val="22"/>
        </w:rPr>
        <w:t>▪</w:t>
        <w:tab/>
      </w:r>
      <w:r>
        <w:rPr>
          <w:rFonts w:ascii="Cambria" w:hAnsi="Cambria" w:eastAsia="Cambria"/>
          <w:b w:val="0"/>
          <w:i w:val="0"/>
          <w:sz w:val="22"/>
        </w:rPr>
        <w:t>It records teaching activities, uploaded course content, attendance, assignments, and interaction logs.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Role in Verification:</w:t>
      </w:r>
    </w:p>
    <w:p>
      <w:pPr>
        <w:spacing w:after="40"/>
        <w:ind w:left="1247" w:hanging="357"/>
      </w:pPr>
      <w:r>
        <w:rPr>
          <w:rFonts w:ascii="Cambria" w:hAnsi="Cambria" w:eastAsia="Cambria"/>
          <w:b w:val="0"/>
          <w:i w:val="0"/>
          <w:sz w:val="22"/>
        </w:rPr>
        <w:t>▪</w:t>
        <w:tab/>
      </w:r>
      <w:r>
        <w:rPr>
          <w:rFonts w:ascii="Cambria" w:hAnsi="Cambria" w:eastAsia="Cambria"/>
          <w:b w:val="0"/>
          <w:i w:val="0"/>
          <w:sz w:val="22"/>
        </w:rPr>
        <w:t>Provides evidence for % of syllabus delivered online.</w:t>
      </w:r>
    </w:p>
    <w:p>
      <w:pPr>
        <w:spacing w:after="40"/>
        <w:ind w:left="1247" w:hanging="357"/>
      </w:pPr>
      <w:r>
        <w:rPr>
          <w:rFonts w:ascii="Cambria" w:hAnsi="Cambria" w:eastAsia="Cambria"/>
          <w:b w:val="0"/>
          <w:i w:val="0"/>
          <w:sz w:val="22"/>
        </w:rPr>
        <w:t>▪</w:t>
        <w:tab/>
      </w:r>
      <w:r>
        <w:rPr>
          <w:rFonts w:ascii="Cambria" w:hAnsi="Cambria" w:eastAsia="Cambria"/>
          <w:b w:val="0"/>
          <w:i w:val="0"/>
          <w:sz w:val="22"/>
        </w:rPr>
        <w:t>Tracks the number of lectures delivered via online mode, modules uploaded, and student engagement.</w:t>
      </w:r>
    </w:p>
    <w:p>
      <w:pPr>
        <w:spacing w:after="40"/>
        <w:ind w:left="1247" w:hanging="357"/>
      </w:pPr>
      <w:r>
        <w:rPr>
          <w:rFonts w:ascii="Cambria" w:hAnsi="Cambria" w:eastAsia="Cambria"/>
          <w:b w:val="0"/>
          <w:i w:val="0"/>
          <w:sz w:val="22"/>
        </w:rPr>
        <w:t>▪</w:t>
        <w:tab/>
      </w:r>
      <w:r>
        <w:rPr>
          <w:rFonts w:ascii="Cambria" w:hAnsi="Cambria" w:eastAsia="Cambria"/>
          <w:b w:val="0"/>
          <w:i w:val="0"/>
          <w:sz w:val="22"/>
        </w:rPr>
        <w:t>Generates audit trails/logs (date, time, faculty, duration).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Examples of data extracted:</w:t>
      </w:r>
    </w:p>
    <w:p>
      <w:pPr>
        <w:spacing w:after="40"/>
        <w:ind w:left="1247" w:hanging="357"/>
      </w:pPr>
      <w:r>
        <w:rPr>
          <w:rFonts w:ascii="Cambria" w:hAnsi="Cambria" w:eastAsia="Cambria"/>
          <w:b w:val="0"/>
          <w:i w:val="0"/>
          <w:sz w:val="22"/>
        </w:rPr>
        <w:t>▪</w:t>
        <w:tab/>
      </w:r>
      <w:r>
        <w:rPr>
          <w:rFonts w:ascii="Cambria" w:hAnsi="Cambria" w:eastAsia="Cambria"/>
          <w:b w:val="0"/>
          <w:i w:val="0"/>
          <w:sz w:val="22"/>
        </w:rPr>
        <w:t>Reports of uploaded lectures per subject.</w:t>
      </w:r>
    </w:p>
    <w:p>
      <w:pPr>
        <w:spacing w:after="40"/>
        <w:ind w:left="1247" w:hanging="357"/>
      </w:pPr>
      <w:r>
        <w:rPr>
          <w:rFonts w:ascii="Cambria" w:hAnsi="Cambria" w:eastAsia="Cambria"/>
          <w:b w:val="0"/>
          <w:i w:val="0"/>
          <w:sz w:val="22"/>
        </w:rPr>
        <w:t>▪</w:t>
        <w:tab/>
      </w:r>
      <w:r>
        <w:rPr>
          <w:rFonts w:ascii="Cambria" w:hAnsi="Cambria" w:eastAsia="Cambria"/>
          <w:b w:val="0"/>
          <w:i w:val="0"/>
          <w:sz w:val="22"/>
        </w:rPr>
        <w:t>Student activity (views, downloads, submissions).</w:t>
      </w:r>
    </w:p>
    <w:p>
      <w:pPr>
        <w:spacing w:after="40"/>
        <w:ind w:left="1247" w:hanging="357"/>
      </w:pPr>
      <w:r>
        <w:rPr>
          <w:rFonts w:ascii="Cambria" w:hAnsi="Cambria" w:eastAsia="Cambria"/>
          <w:b w:val="0"/>
          <w:i w:val="0"/>
          <w:sz w:val="22"/>
        </w:rPr>
        <w:t>▪</w:t>
        <w:tab/>
      </w:r>
      <w:r>
        <w:rPr>
          <w:rFonts w:ascii="Cambria" w:hAnsi="Cambria" w:eastAsia="Cambria"/>
          <w:b w:val="0"/>
          <w:i w:val="0"/>
          <w:sz w:val="22"/>
        </w:rPr>
        <w:t>Faculty dashboard showing completion status of online modules.</w:t>
      </w:r>
    </w:p>
    <w:p>
      <w:pPr>
        <w:spacing w:after="40" w:line="276" w:lineRule="auto"/>
      </w:pPr>
      <w:r>
        <w:rPr>
          <w:rFonts w:ascii="Cambria" w:hAnsi="Cambria" w:eastAsia="Cambria"/>
          <w:b/>
          <w:i w:val="0"/>
          <w:sz w:val="22"/>
        </w:rPr>
        <w:t>Online Exam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is:</w:t>
      </w:r>
    </w:p>
    <w:p>
      <w:pPr>
        <w:spacing w:after="40"/>
        <w:ind w:left="1247" w:hanging="357"/>
      </w:pPr>
      <w:r>
        <w:rPr>
          <w:rFonts w:ascii="Cambria" w:hAnsi="Cambria" w:eastAsia="Cambria"/>
          <w:b w:val="0"/>
          <w:i w:val="0"/>
          <w:sz w:val="22"/>
        </w:rPr>
        <w:t>▪</w:t>
        <w:tab/>
      </w:r>
      <w:r>
        <w:rPr>
          <w:rFonts w:ascii="Cambria" w:hAnsi="Cambria" w:eastAsia="Cambria"/>
          <w:b w:val="0"/>
          <w:i w:val="0"/>
          <w:sz w:val="22"/>
        </w:rPr>
        <w:t>Documentation of examinations or assessments conducted via digital platforms.</w:t>
      </w:r>
    </w:p>
    <w:p>
      <w:pPr>
        <w:spacing w:after="40"/>
        <w:ind w:left="1247" w:hanging="357"/>
      </w:pPr>
      <w:r>
        <w:rPr>
          <w:rFonts w:ascii="Cambria" w:hAnsi="Cambria" w:eastAsia="Cambria"/>
          <w:b w:val="0"/>
          <w:i w:val="0"/>
          <w:sz w:val="22"/>
        </w:rPr>
        <w:t>▪</w:t>
        <w:tab/>
      </w:r>
      <w:r>
        <w:rPr>
          <w:rFonts w:ascii="Cambria" w:hAnsi="Cambria" w:eastAsia="Cambria"/>
          <w:b w:val="0"/>
          <w:i w:val="0"/>
          <w:sz w:val="22"/>
        </w:rPr>
        <w:t>Can include institution's in-house exam portal, third-party proctoring services (Mettl, Examity), or LMS-integrated test modules.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Role in Verification:</w:t>
      </w:r>
    </w:p>
    <w:p>
      <w:pPr>
        <w:spacing w:after="40"/>
        <w:ind w:left="1247" w:hanging="357"/>
      </w:pPr>
      <w:r>
        <w:rPr>
          <w:rFonts w:ascii="Cambria" w:hAnsi="Cambria" w:eastAsia="Cambria"/>
          <w:b w:val="0"/>
          <w:i w:val="0"/>
          <w:sz w:val="22"/>
        </w:rPr>
        <w:t>▪</w:t>
        <w:tab/>
      </w:r>
      <w:r>
        <w:rPr>
          <w:rFonts w:ascii="Cambria" w:hAnsi="Cambria" w:eastAsia="Cambria"/>
          <w:b w:val="0"/>
          <w:i w:val="0"/>
          <w:sz w:val="22"/>
        </w:rPr>
        <w:t>Validates % of courses assessed via online exams.</w:t>
      </w:r>
    </w:p>
    <w:p>
      <w:pPr>
        <w:spacing w:after="40"/>
        <w:ind w:left="1247" w:hanging="357"/>
      </w:pPr>
      <w:r>
        <w:rPr>
          <w:rFonts w:ascii="Cambria" w:hAnsi="Cambria" w:eastAsia="Cambria"/>
          <w:b w:val="0"/>
          <w:i w:val="0"/>
          <w:sz w:val="22"/>
        </w:rPr>
        <w:t>▪</w:t>
        <w:tab/>
      </w:r>
      <w:r>
        <w:rPr>
          <w:rFonts w:ascii="Cambria" w:hAnsi="Cambria" w:eastAsia="Cambria"/>
          <w:b w:val="0"/>
          <w:i w:val="0"/>
          <w:sz w:val="22"/>
        </w:rPr>
        <w:t>Confirms the scale, number of courses, and students evaluated digitally.</w:t>
      </w:r>
    </w:p>
    <w:p>
      <w:pPr>
        <w:spacing w:after="40"/>
        <w:ind w:left="1247" w:hanging="357"/>
      </w:pPr>
      <w:r>
        <w:rPr>
          <w:rFonts w:ascii="Cambria" w:hAnsi="Cambria" w:eastAsia="Cambria"/>
          <w:b w:val="0"/>
          <w:i w:val="0"/>
          <w:sz w:val="22"/>
        </w:rPr>
        <w:t>▪</w:t>
        <w:tab/>
      </w:r>
      <w:r>
        <w:rPr>
          <w:rFonts w:ascii="Cambria" w:hAnsi="Cambria" w:eastAsia="Cambria"/>
          <w:b w:val="0"/>
          <w:i w:val="0"/>
          <w:sz w:val="22"/>
        </w:rPr>
        <w:t>Provides authenticity through invigilation reports, student login data, and result sheets.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Examples of data extracted:</w:t>
      </w:r>
    </w:p>
    <w:p>
      <w:pPr>
        <w:spacing w:after="40"/>
        <w:ind w:left="1247" w:hanging="357"/>
      </w:pPr>
      <w:r>
        <w:rPr>
          <w:rFonts w:ascii="Cambria" w:hAnsi="Cambria" w:eastAsia="Cambria"/>
          <w:b w:val="0"/>
          <w:i w:val="0"/>
          <w:sz w:val="22"/>
        </w:rPr>
        <w:t>▪</w:t>
        <w:tab/>
      </w:r>
      <w:r>
        <w:rPr>
          <w:rFonts w:ascii="Cambria" w:hAnsi="Cambria" w:eastAsia="Cambria"/>
          <w:b w:val="0"/>
          <w:i w:val="0"/>
          <w:sz w:val="22"/>
        </w:rPr>
        <w:t>Online exam schedules and attendance logs.</w:t>
      </w:r>
    </w:p>
    <w:p>
      <w:pPr>
        <w:spacing w:after="40"/>
        <w:ind w:left="1247" w:hanging="357"/>
      </w:pPr>
      <w:r>
        <w:rPr>
          <w:rFonts w:ascii="Cambria" w:hAnsi="Cambria" w:eastAsia="Cambria"/>
          <w:b w:val="0"/>
          <w:i w:val="0"/>
          <w:sz w:val="22"/>
        </w:rPr>
        <w:t>▪</w:t>
        <w:tab/>
      </w:r>
      <w:r>
        <w:rPr>
          <w:rFonts w:ascii="Cambria" w:hAnsi="Cambria" w:eastAsia="Cambria"/>
          <w:b w:val="0"/>
          <w:i w:val="0"/>
          <w:sz w:val="22"/>
        </w:rPr>
        <w:t>Proctoring reports (screenshots, flags, candidate verification).</w:t>
      </w:r>
    </w:p>
    <w:p>
      <w:pPr>
        <w:spacing w:after="40"/>
        <w:ind w:left="1247" w:hanging="357"/>
      </w:pPr>
      <w:r>
        <w:rPr>
          <w:rFonts w:ascii="Cambria" w:hAnsi="Cambria" w:eastAsia="Cambria"/>
          <w:b w:val="0"/>
          <w:i w:val="0"/>
          <w:sz w:val="22"/>
        </w:rPr>
        <w:t>▪</w:t>
        <w:tab/>
      </w:r>
      <w:r>
        <w:rPr>
          <w:rFonts w:ascii="Cambria" w:hAnsi="Cambria" w:eastAsia="Cambria"/>
          <w:b w:val="0"/>
          <w:i w:val="0"/>
          <w:sz w:val="22"/>
        </w:rPr>
        <w:t>Consolidated course-wise exam reports from Examination Cell.</w:t>
      </w:r>
    </w:p>
    <w:p>
      <w:pPr>
        <w:spacing w:after="40" w:line="276" w:lineRule="auto"/>
      </w:pPr>
      <w:r>
        <w:rPr>
          <w:rFonts w:ascii="Cambria" w:hAnsi="Cambria" w:eastAsia="Cambria"/>
          <w:b/>
          <w:i w:val="0"/>
          <w:sz w:val="22"/>
        </w:rPr>
        <w:t>SWAYAM Portal Certifications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is:</w:t>
      </w:r>
    </w:p>
    <w:p>
      <w:pPr>
        <w:spacing w:after="40"/>
        <w:ind w:left="1247" w:hanging="357"/>
      </w:pPr>
      <w:r>
        <w:rPr>
          <w:rFonts w:ascii="Cambria" w:hAnsi="Cambria" w:eastAsia="Cambria"/>
          <w:b w:val="0"/>
          <w:i w:val="0"/>
          <w:sz w:val="22"/>
        </w:rPr>
        <w:t>▪</w:t>
        <w:tab/>
      </w:r>
      <w:r>
        <w:rPr>
          <w:rFonts w:ascii="Cambria" w:hAnsi="Cambria" w:eastAsia="Cambria"/>
          <w:b w:val="0"/>
          <w:i w:val="0"/>
          <w:sz w:val="22"/>
        </w:rPr>
        <w:t>Official certification issued by SWAYAM/NPTEL portal when students or faculty successfully complete a course.</w:t>
      </w:r>
    </w:p>
    <w:p>
      <w:pPr>
        <w:spacing w:after="40"/>
        <w:ind w:left="1247" w:hanging="357"/>
      </w:pPr>
      <w:r>
        <w:rPr>
          <w:rFonts w:ascii="Cambria" w:hAnsi="Cambria" w:eastAsia="Cambria"/>
          <w:b w:val="0"/>
          <w:i w:val="0"/>
          <w:sz w:val="22"/>
        </w:rPr>
        <w:t>▪</w:t>
        <w:tab/>
      </w:r>
      <w:r>
        <w:rPr>
          <w:rFonts w:ascii="Cambria" w:hAnsi="Cambria" w:eastAsia="Cambria"/>
          <w:b w:val="0"/>
          <w:i w:val="0"/>
          <w:sz w:val="22"/>
        </w:rPr>
        <w:t>Certificates are digitally signed and downloadable from the SWAYAM portal.</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Role in Verification:</w:t>
      </w:r>
    </w:p>
    <w:p>
      <w:pPr>
        <w:spacing w:after="40"/>
        <w:ind w:left="1247" w:hanging="357"/>
      </w:pPr>
      <w:r>
        <w:rPr>
          <w:rFonts w:ascii="Cambria" w:hAnsi="Cambria" w:eastAsia="Cambria"/>
          <w:b w:val="0"/>
          <w:i w:val="0"/>
          <w:sz w:val="22"/>
        </w:rPr>
        <w:t>▪</w:t>
        <w:tab/>
      </w:r>
      <w:r>
        <w:rPr>
          <w:rFonts w:ascii="Cambria" w:hAnsi="Cambria" w:eastAsia="Cambria"/>
          <w:b w:val="0"/>
          <w:i w:val="0"/>
          <w:sz w:val="22"/>
        </w:rPr>
        <w:t>Confirms number of SWAYAM courses completed by students.</w:t>
      </w:r>
    </w:p>
    <w:p>
      <w:pPr>
        <w:spacing w:after="40"/>
        <w:ind w:left="1247" w:hanging="357"/>
      </w:pPr>
      <w:r>
        <w:rPr>
          <w:rFonts w:ascii="Cambria" w:hAnsi="Cambria" w:eastAsia="Cambria"/>
          <w:b w:val="0"/>
          <w:i w:val="0"/>
          <w:sz w:val="22"/>
        </w:rPr>
        <w:t>▪</w:t>
        <w:tab/>
      </w:r>
      <w:r>
        <w:rPr>
          <w:rFonts w:ascii="Cambria" w:hAnsi="Cambria" w:eastAsia="Cambria"/>
          <w:b w:val="0"/>
          <w:i w:val="0"/>
          <w:sz w:val="22"/>
        </w:rPr>
        <w:t>Validates SWAYAM courses developed by faculty (through course links, approval letters, and course pages hosted on SWAYAM).</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Examples of data extracted:</w:t>
      </w:r>
    </w:p>
    <w:p>
      <w:pPr>
        <w:spacing w:after="40"/>
        <w:ind w:left="1247" w:hanging="357"/>
      </w:pPr>
      <w:r>
        <w:rPr>
          <w:rFonts w:ascii="Cambria" w:hAnsi="Cambria" w:eastAsia="Cambria"/>
          <w:b w:val="0"/>
          <w:i w:val="0"/>
          <w:sz w:val="22"/>
        </w:rPr>
        <w:t>▪</w:t>
        <w:tab/>
      </w:r>
      <w:r>
        <w:rPr>
          <w:rFonts w:ascii="Cambria" w:hAnsi="Cambria" w:eastAsia="Cambria"/>
          <w:b w:val="0"/>
          <w:i w:val="0"/>
          <w:sz w:val="22"/>
        </w:rPr>
        <w:t>Student certificate repository with names, course titles, completion dates.</w:t>
      </w:r>
    </w:p>
    <w:p>
      <w:pPr>
        <w:spacing w:after="40"/>
        <w:ind w:left="1247" w:hanging="357"/>
      </w:pPr>
      <w:r>
        <w:rPr>
          <w:rFonts w:ascii="Cambria" w:hAnsi="Cambria" w:eastAsia="Cambria"/>
          <w:b w:val="0"/>
          <w:i w:val="0"/>
          <w:sz w:val="22"/>
        </w:rPr>
        <w:t>▪</w:t>
        <w:tab/>
      </w:r>
      <w:r>
        <w:rPr>
          <w:rFonts w:ascii="Cambria" w:hAnsi="Cambria" w:eastAsia="Cambria"/>
          <w:b w:val="0"/>
          <w:i w:val="0"/>
          <w:sz w:val="22"/>
        </w:rPr>
        <w:t>Faculty-developed course links with official hosting semester/year.</w:t>
      </w:r>
    </w:p>
    <w:p>
      <w:pPr>
        <w:spacing w:after="40"/>
        <w:ind w:left="1247" w:hanging="357"/>
      </w:pPr>
      <w:r>
        <w:rPr>
          <w:rFonts w:ascii="Cambria" w:hAnsi="Cambria" w:eastAsia="Cambria"/>
          <w:b w:val="0"/>
          <w:i w:val="0"/>
          <w:sz w:val="22"/>
        </w:rPr>
        <w:t>▪</w:t>
        <w:tab/>
      </w:r>
      <w:r>
        <w:rPr>
          <w:rFonts w:ascii="Cambria" w:hAnsi="Cambria" w:eastAsia="Cambria"/>
          <w:b w:val="0"/>
          <w:i w:val="0"/>
          <w:sz w:val="22"/>
        </w:rPr>
        <w:t>Consolidated report from SWAYAM portal (institution dashboard).</w:t>
      </w:r>
    </w:p>
    <w:p>
      <w:pPr>
        <w:spacing w:after="40" w:line="276" w:lineRule="auto"/>
      </w:pPr>
      <w:r>
        <w:rPr>
          <w:rFonts w:ascii="Cambria" w:hAnsi="Cambria" w:eastAsia="Cambria"/>
          <w:b/>
          <w:i w:val="0"/>
          <w:sz w:val="22"/>
        </w:rPr>
        <w:t>Why Verification is Important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transparency and credibility of submitted data.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Prevents data inflation or unverifiable claims by institutions.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Acts as primary evidence during random audits or fact-checking by NIRF committees.</w:t>
      </w:r>
    </w:p>
    <w:p>
      <w:r>
        <w:br w:type="page"/>
      </w:r>
    </w:p>
    <w:p>
      <w:pPr>
        <w:keepNext/>
        <w:spacing w:before="360" w:after="160"/>
      </w:pPr>
      <w:r>
        <w:rPr>
          <w:rFonts w:ascii="Cambria" w:hAnsi="Cambria" w:eastAsia="Cambria"/>
          <w:b/>
          <w:i w:val="0"/>
          <w:color w:val="1F3A5F"/>
          <w:sz w:val="36"/>
        </w:rPr>
        <w:t>13. Multiple Entry/Exit, Indian Knowledge System (IKS) &amp; Regional Languages (MIR)</w:t>
      </w:r>
    </w:p>
    <w:p>
      <w:pPr>
        <w:spacing w:after="40" w:line="276" w:lineRule="auto"/>
      </w:pPr>
      <w:r>
        <w:rPr>
          <w:rFonts w:ascii="Cambria" w:hAnsi="Cambria" w:eastAsia="Cambria"/>
          <w:b/>
          <w:i w:val="0"/>
          <w:sz w:val="22"/>
        </w:rPr>
        <w:t>MIR Metric (5 Marks)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MIR = (2 × MEE) + (2 × IKS) + (1 × RL)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MEE = Multiple Entry/Exit (upto 2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IKS = Indian Knowledge System (upto 2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RL = Regional Languages (upto 1 Mark)</w:t>
      </w:r>
    </w:p>
    <w:p>
      <w:pPr>
        <w:spacing w:after="40" w:line="276" w:lineRule="auto"/>
      </w:pPr>
      <w:r>
        <w:rPr>
          <w:rFonts w:ascii="Cambria" w:hAnsi="Cambria" w:eastAsia="Cambria"/>
          <w:b/>
          <w:i w:val="0"/>
          <w:sz w:val="22"/>
        </w:rPr>
        <w:t>Components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Multiple Entry/Exit (MEE) – 2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Based on implementation of NEP 2020's Academic Bank of Credits (ABC).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Allows learners to:</w:t>
      </w:r>
    </w:p>
    <w:p>
      <w:pPr>
        <w:spacing w:after="40"/>
        <w:ind w:left="1644" w:hanging="357"/>
      </w:pPr>
      <w:r>
        <w:rPr>
          <w:rFonts w:ascii="Cambria" w:hAnsi="Cambria" w:eastAsia="Cambria"/>
          <w:b w:val="0"/>
          <w:i w:val="0"/>
          <w:sz w:val="22"/>
        </w:rPr>
        <w:t>▪</w:t>
        <w:tab/>
      </w:r>
      <w:r>
        <w:rPr>
          <w:rFonts w:ascii="Cambria" w:hAnsi="Cambria" w:eastAsia="Cambria"/>
          <w:b w:val="0"/>
          <w:i w:val="0"/>
          <w:sz w:val="22"/>
        </w:rPr>
        <w:t>Exit after 1st/2nd/3rd year with certification/diploma/degree.</w:t>
      </w:r>
    </w:p>
    <w:p>
      <w:pPr>
        <w:spacing w:after="40"/>
        <w:ind w:left="1644" w:hanging="357"/>
      </w:pPr>
      <w:r>
        <w:rPr>
          <w:rFonts w:ascii="Cambria" w:hAnsi="Cambria" w:eastAsia="Cambria"/>
          <w:b w:val="0"/>
          <w:i w:val="0"/>
          <w:sz w:val="22"/>
        </w:rPr>
        <w:t>▪</w:t>
        <w:tab/>
      </w:r>
      <w:r>
        <w:rPr>
          <w:rFonts w:ascii="Cambria" w:hAnsi="Cambria" w:eastAsia="Cambria"/>
          <w:b w:val="0"/>
          <w:i w:val="0"/>
          <w:sz w:val="22"/>
        </w:rPr>
        <w:t>Re-enter later with credit transfers.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full adoption (credit bank integration, flexible curriculum) → Full 2 Marks.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Indian Knowledge System (IKS) – 2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inclusion of courses that promote:</w:t>
      </w:r>
    </w:p>
    <w:p>
      <w:pPr>
        <w:spacing w:after="40"/>
        <w:ind w:left="1644" w:hanging="357"/>
      </w:pPr>
      <w:r>
        <w:rPr>
          <w:rFonts w:ascii="Cambria" w:hAnsi="Cambria" w:eastAsia="Cambria"/>
          <w:b w:val="0"/>
          <w:i w:val="0"/>
          <w:sz w:val="22"/>
        </w:rPr>
        <w:t>▪</w:t>
        <w:tab/>
      </w:r>
      <w:r>
        <w:rPr>
          <w:rFonts w:ascii="Cambria" w:hAnsi="Cambria" w:eastAsia="Cambria"/>
          <w:b w:val="0"/>
          <w:i w:val="0"/>
          <w:sz w:val="22"/>
        </w:rPr>
        <w:t>Indian culture, heritage, philosophy, arts, languages, yoga, traditional medicine, environmental knowledge systems, ethics.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offering dedicated IKS courses in UG/PG curriculum → Full 2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partially included (electives, foundation courses only) → Partial marks.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Regional Languages (RL) – 1 Mark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Adoption of regional language instruction as per NEP 2020.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Courses offered fully/partially in mother tongue/local languages.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Integration of bilingual textbooks, digital resources, or translation.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implementation → 1 Mark; Partial → proportionally less.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Academic regulations showing MEE adoption.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IKS courses with syllabi.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Details of programs offered in regional languages.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Curriculum documents, program regulations, timetables.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Course completion data, faculty allocations.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has: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MEE fully implemented (2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3 IKS foundation courses introduced (2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Some courses taught in Hindi &amp; Tamil (1 Mark).</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MIR = 2 + 2 + 1 = 5 / 5 Marks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with NEP 2020 → flexibility, holistic learning, cultural grounding.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national identity + global outlook.</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Enhances accessibility for students from rural and regional backgrounds.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Academic Regulations showing MEE adoption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MEE = Multiple Entry and Exit system, as per NEP 2020.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academic regulations that:</w:t>
      </w:r>
    </w:p>
    <w:p>
      <w:pPr>
        <w:spacing w:after="40"/>
        <w:ind w:left="1644" w:hanging="357"/>
      </w:pPr>
      <w:r>
        <w:rPr>
          <w:rFonts w:ascii="Cambria" w:hAnsi="Cambria" w:eastAsia="Cambria"/>
          <w:b w:val="0"/>
          <w:i w:val="0"/>
          <w:sz w:val="22"/>
        </w:rPr>
        <w:t>▪</w:t>
        <w:tab/>
      </w:r>
      <w:r>
        <w:rPr>
          <w:rFonts w:ascii="Cambria" w:hAnsi="Cambria" w:eastAsia="Cambria"/>
          <w:b w:val="0"/>
          <w:i w:val="0"/>
          <w:sz w:val="22"/>
        </w:rPr>
        <w:t>Allow students to exit after 1/2/3 years with certificate/diploma/degree.</w:t>
      </w:r>
    </w:p>
    <w:p>
      <w:pPr>
        <w:spacing w:after="40"/>
        <w:ind w:left="1644" w:hanging="357"/>
      </w:pPr>
      <w:r>
        <w:rPr>
          <w:rFonts w:ascii="Cambria" w:hAnsi="Cambria" w:eastAsia="Cambria"/>
          <w:b w:val="0"/>
          <w:i w:val="0"/>
          <w:sz w:val="22"/>
        </w:rPr>
        <w:t>▪</w:t>
        <w:tab/>
      </w:r>
      <w:r>
        <w:rPr>
          <w:rFonts w:ascii="Cambria" w:hAnsi="Cambria" w:eastAsia="Cambria"/>
          <w:b w:val="0"/>
          <w:i w:val="0"/>
          <w:sz w:val="22"/>
        </w:rPr>
        <w:t>Define credit transfers, re-entry policies, and alignment with ABC (Academic Bank of Credits).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Documentation:</w:t>
      </w:r>
    </w:p>
    <w:p>
      <w:pPr>
        <w:spacing w:after="40"/>
        <w:ind w:left="1644" w:hanging="357"/>
      </w:pPr>
      <w:r>
        <w:rPr>
          <w:rFonts w:ascii="Cambria" w:hAnsi="Cambria" w:eastAsia="Cambria"/>
          <w:b w:val="0"/>
          <w:i w:val="0"/>
          <w:sz w:val="22"/>
        </w:rPr>
        <w:t>▪</w:t>
        <w:tab/>
      </w:r>
      <w:r>
        <w:rPr>
          <w:rFonts w:ascii="Cambria" w:hAnsi="Cambria" w:eastAsia="Cambria"/>
          <w:b w:val="0"/>
          <w:i w:val="0"/>
          <w:sz w:val="22"/>
        </w:rPr>
        <w:t>Academic Council regulations.</w:t>
      </w:r>
    </w:p>
    <w:p>
      <w:pPr>
        <w:spacing w:after="40"/>
        <w:ind w:left="1644" w:hanging="357"/>
      </w:pPr>
      <w:r>
        <w:rPr>
          <w:rFonts w:ascii="Cambria" w:hAnsi="Cambria" w:eastAsia="Cambria"/>
          <w:b w:val="0"/>
          <w:i w:val="0"/>
          <w:sz w:val="22"/>
        </w:rPr>
        <w:t>▪</w:t>
        <w:tab/>
      </w:r>
      <w:r>
        <w:rPr>
          <w:rFonts w:ascii="Cambria" w:hAnsi="Cambria" w:eastAsia="Cambria"/>
          <w:b w:val="0"/>
          <w:i w:val="0"/>
          <w:sz w:val="22"/>
        </w:rPr>
        <w:t>UG/PG program regulations mentioning entry-exit points.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List of IKS (Indian Knowledge System) Courses with Syllabi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IKS courses related to India's heritage, traditional knowledge, and indigenous practices.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w:t>
      </w:r>
    </w:p>
    <w:p>
      <w:pPr>
        <w:spacing w:after="40"/>
        <w:ind w:left="1644" w:hanging="357"/>
      </w:pPr>
      <w:r>
        <w:rPr>
          <w:rFonts w:ascii="Cambria" w:hAnsi="Cambria" w:eastAsia="Cambria"/>
          <w:b w:val="0"/>
          <w:i w:val="0"/>
          <w:sz w:val="22"/>
        </w:rPr>
        <w:t>▪</w:t>
        <w:tab/>
      </w:r>
      <w:r>
        <w:rPr>
          <w:rFonts w:ascii="Cambria" w:hAnsi="Cambria" w:eastAsia="Cambria"/>
          <w:b w:val="0"/>
          <w:i w:val="0"/>
          <w:sz w:val="22"/>
        </w:rPr>
        <w:t>Yoga studies, Ayurveda, Sanskrit texts, Indian mathematics, classical music, Vedic sciences.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list all IKS courses offered, along with course syllabi.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Documentation:</w:t>
      </w:r>
    </w:p>
    <w:p>
      <w:pPr>
        <w:spacing w:after="40"/>
        <w:ind w:left="1644" w:hanging="357"/>
      </w:pPr>
      <w:r>
        <w:rPr>
          <w:rFonts w:ascii="Cambria" w:hAnsi="Cambria" w:eastAsia="Cambria"/>
          <w:b w:val="0"/>
          <w:i w:val="0"/>
          <w:sz w:val="22"/>
        </w:rPr>
        <w:t>▪</w:t>
        <w:tab/>
      </w:r>
      <w:r>
        <w:rPr>
          <w:rFonts w:ascii="Cambria" w:hAnsi="Cambria" w:eastAsia="Cambria"/>
          <w:b w:val="0"/>
          <w:i w:val="0"/>
          <w:sz w:val="22"/>
        </w:rPr>
        <w:t>Course structure, module descriptions, credits assigned.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Details of Programs Offered in Regional Languages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specify which programs are available in regional/local languages (as per NEP's emphasis on mother-tongue learning).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w:t>
      </w:r>
    </w:p>
    <w:p>
      <w:pPr>
        <w:spacing w:after="40"/>
        <w:ind w:left="1644" w:hanging="357"/>
      </w:pPr>
      <w:r>
        <w:rPr>
          <w:rFonts w:ascii="Cambria" w:hAnsi="Cambria" w:eastAsia="Cambria"/>
          <w:b w:val="0"/>
          <w:i w:val="0"/>
          <w:sz w:val="22"/>
        </w:rPr>
        <w:t>▪</w:t>
        <w:tab/>
      </w:r>
      <w:r>
        <w:rPr>
          <w:rFonts w:ascii="Cambria" w:hAnsi="Cambria" w:eastAsia="Cambria"/>
          <w:b w:val="0"/>
          <w:i w:val="0"/>
          <w:sz w:val="22"/>
        </w:rPr>
        <w:t>B.A. History in Tamil medium.</w:t>
      </w:r>
    </w:p>
    <w:p>
      <w:pPr>
        <w:spacing w:after="40"/>
        <w:ind w:left="1644" w:hanging="357"/>
      </w:pPr>
      <w:r>
        <w:rPr>
          <w:rFonts w:ascii="Cambria" w:hAnsi="Cambria" w:eastAsia="Cambria"/>
          <w:b w:val="0"/>
          <w:i w:val="0"/>
          <w:sz w:val="22"/>
        </w:rPr>
        <w:t>▪</w:t>
        <w:tab/>
      </w:r>
      <w:r>
        <w:rPr>
          <w:rFonts w:ascii="Cambria" w:hAnsi="Cambria" w:eastAsia="Cambria"/>
          <w:b w:val="0"/>
          <w:i w:val="0"/>
          <w:sz w:val="22"/>
        </w:rPr>
        <w:t>B.Sc. Physics in Hindi medium.</w:t>
      </w:r>
    </w:p>
    <w:p>
      <w:pPr>
        <w:spacing w:after="40"/>
        <w:ind w:left="1644" w:hanging="357"/>
      </w:pPr>
      <w:r>
        <w:rPr>
          <w:rFonts w:ascii="Cambria" w:hAnsi="Cambria" w:eastAsia="Cambria"/>
          <w:b w:val="0"/>
          <w:i w:val="0"/>
          <w:sz w:val="22"/>
        </w:rPr>
        <w:t>▪</w:t>
        <w:tab/>
      </w:r>
      <w:r>
        <w:rPr>
          <w:rFonts w:ascii="Cambria" w:hAnsi="Cambria" w:eastAsia="Cambria"/>
          <w:b w:val="0"/>
          <w:i w:val="0"/>
          <w:sz w:val="22"/>
        </w:rPr>
        <w:t>Engineering diploma in Marathi medium.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Documentation:</w:t>
      </w:r>
    </w:p>
    <w:p>
      <w:pPr>
        <w:spacing w:after="40"/>
        <w:ind w:left="1644" w:hanging="357"/>
      </w:pPr>
      <w:r>
        <w:rPr>
          <w:rFonts w:ascii="Cambria" w:hAnsi="Cambria" w:eastAsia="Cambria"/>
          <w:b w:val="0"/>
          <w:i w:val="0"/>
          <w:sz w:val="22"/>
        </w:rPr>
        <w:t>▪</w:t>
        <w:tab/>
      </w:r>
      <w:r>
        <w:rPr>
          <w:rFonts w:ascii="Cambria" w:hAnsi="Cambria" w:eastAsia="Cambria"/>
          <w:b w:val="0"/>
          <w:i w:val="0"/>
          <w:sz w:val="22"/>
        </w:rPr>
        <w:t>Program handbook, timetables, student enrollment lists.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Curriculum Documents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program curriculum, subject listings, and credit structures.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inclusion of MEE, IKS, and regional-language programs.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Program Regulations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Academic Council-approved regulations specifying program structure and exit policies.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Validates MEE adoption.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Timetables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Class timetables showing courses offered in IKS/regional languages.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of actual delivery (not just policy-level adoption).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Course Completion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Reports showing number of students enrolled and completed IKS/regional-language courses.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real implementation.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Allocations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Department-wise teaching allocations confirming which faculty handled IKS/regional-language courses.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Avoids claims of “offered but not delivered.”</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Aligned with NEP 2020 reforms → flexibility, inclusivity, and Indian Knowledge promotion.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are implementing MEE, promoting IKS, and teaching in regional languages.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Adds weight under Teaching, Learning &amp; Resources (TLR) and Outreach &amp; Inclusivity (OI).</w:t>
      </w:r>
    </w:p>
    <w:p>
      <w:r>
        <w:br w:type="page"/>
      </w:r>
    </w:p>
    <w:p>
      <w:pPr>
        <w:keepNext/>
        <w:spacing w:before="360" w:after="160"/>
      </w:pPr>
      <w:r>
        <w:rPr>
          <w:rFonts w:ascii="Cambria" w:hAnsi="Cambria" w:eastAsia="Cambria"/>
          <w:b/>
          <w:i w:val="0"/>
          <w:color w:val="1F3A5F"/>
          <w:sz w:val="36"/>
        </w:rPr>
        <w:t>14. Research and Professional Practice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Weightage: 30% of NIRF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100 (internally), scaled to contribute 30 marks to the overall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Objective: To evaluate the research ecosystem, innovation capacity, and professional engagement of an institution.</w:t>
      </w:r>
    </w:p>
    <w:p>
      <w:pPr>
        <w:keepNext/>
        <w:spacing w:before="200" w:after="100"/>
      </w:pPr>
      <w:r>
        <w:rPr>
          <w:rFonts w:ascii="Cambria" w:hAnsi="Cambria" w:eastAsia="Cambria"/>
          <w:b/>
          <w:i w:val="0"/>
          <w:color w:val="1F3A5F"/>
          <w:sz w:val="25"/>
        </w:rPr>
        <w:t>A. Combined Metric for Publications (PU) – 30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number of research publications indexed in Scopus, Web of Science, PubMed, and other recognized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Conference proceedings and journal papers are also considered.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research productivity of faculty and researchers.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institution's contribution to national and international knowledge.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strong research output gain visibility in global academia.</w:t>
      </w:r>
    </w:p>
    <w:p>
      <w:pPr>
        <w:keepNext/>
        <w:spacing w:before="200" w:after="100"/>
      </w:pPr>
      <w:r>
        <w:rPr>
          <w:rFonts w:ascii="Cambria" w:hAnsi="Cambria" w:eastAsia="Cambria"/>
          <w:b/>
          <w:i w:val="0"/>
          <w:color w:val="1F3A5F"/>
          <w:sz w:val="25"/>
        </w:rPr>
        <w:t>B. Combined Metric for Quality of Publications (QP) – 30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Citations per paper, h-index, and field-weighted citation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Journal quality based on metrics like SNIP, SJR, and Impact Factor.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focus is not just on the number of publications but on their scientific value and influence.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publish in high-quality, peer-reviewed journals.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inflation by prioritizing quality over quantity.</w:t>
      </w:r>
    </w:p>
    <w:p>
      <w:pPr>
        <w:keepNext/>
        <w:spacing w:before="200" w:after="100"/>
      </w:pPr>
      <w:r>
        <w:rPr>
          <w:rFonts w:ascii="Cambria" w:hAnsi="Cambria" w:eastAsia="Cambria"/>
          <w:b/>
          <w:i w:val="0"/>
          <w:color w:val="1F3A5F"/>
          <w:sz w:val="25"/>
        </w:rPr>
        <w:t>C. IPR and Patents: Published and Granted (IPR) – 15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patents filed, published, granted, and commercialized by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Also considers intellectual property beyond patents (e.g., copyrights, designs).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a culture of innovation and technology transfer.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real-world application of research in solving industry and societal problems.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active patenting activity show stronger industry-academia collaboration.</w:t>
      </w:r>
    </w:p>
    <w:p>
      <w:pPr>
        <w:keepNext/>
        <w:spacing w:before="200" w:after="100"/>
      </w:pPr>
      <w:r>
        <w:rPr>
          <w:rFonts w:ascii="Cambria" w:hAnsi="Cambria" w:eastAsia="Cambria"/>
          <w:b/>
          <w:i w:val="0"/>
          <w:color w:val="1F3A5F"/>
          <w:sz w:val="25"/>
        </w:rPr>
        <w:t>D. Footprint of Projects and Professional Practice (FPPP) – 15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Sponsored research projects funded by government or industry.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Consultancy revenue generated from external engagements.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Professional development programs offered (executive education, training).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institutional strength in industry linkages, applied research, and consultancy.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ability to attract funding and professional trust.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high FPPP score reflects strong practical engagement beyond academics.</w:t>
      </w:r>
    </w:p>
    <w:p>
      <w:pPr>
        <w:keepNext/>
        <w:spacing w:before="200" w:after="100"/>
      </w:pPr>
      <w:r>
        <w:rPr>
          <w:rFonts w:ascii="Cambria" w:hAnsi="Cambria" w:eastAsia="Cambria"/>
          <w:b/>
          <w:i w:val="0"/>
          <w:color w:val="1F3A5F"/>
          <w:sz w:val="25"/>
        </w:rPr>
        <w:t>E. Combined Metric for Publications &amp; Citations in SDGs (PSDGs) – 10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Research output aligned with the UN Sustainable Development Goals (SDGs).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Citations of such work in global literature.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institution's contribution to solving global challenges like health, climate, equality, and sustainable development.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socially impactful and globally relevant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Positions Indian institutions within the global sustainability agenda.</w:t>
      </w:r>
    </w:p>
    <w:p>
      <w:pPr>
        <w:spacing w:after="40" w:line="276" w:lineRule="auto"/>
      </w:pPr>
      <w:r>
        <w:rPr>
          <w:rFonts w:ascii="Cambria" w:hAnsi="Cambria" w:eastAsia="Cambria"/>
          <w:b/>
          <w:i w:val="0"/>
          <w:sz w:val="22"/>
        </w:rPr>
        <w:t>Overall Significance of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contributes 30%, making it equally important as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Strong RP performance indicates that an institution is not only teaching well but also creating new knowledge, innovating, and collaborating with industry.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also boosts institutional reputation both nationally and internationally.</w:t>
      </w:r>
    </w:p>
    <w:p>
      <w:pPr>
        <w:keepNext/>
        <w:spacing w:before="200" w:after="100"/>
      </w:pPr>
      <w:r>
        <w:rPr>
          <w:rFonts w:ascii="Cambria" w:hAnsi="Cambria" w:eastAsia="Cambria"/>
          <w:b/>
          <w:i w:val="0"/>
          <w:color w:val="1F3A5F"/>
          <w:sz w:val="26"/>
        </w:rPr>
        <w:t>NIRF 2024 – Research and Professional Practice (RP) Breakdown</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S. No.</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Remarks</w:t>
            </w:r>
          </w:p>
        </w:tc>
      </w:tr>
      <w:tr>
        <w:tc>
          <w:tcPr>
            <w:tcW w:type="dxa" w:w="737"/>
          </w:tcPr>
          <w:p>
            <w:pPr>
              <w:spacing w:after="40" w:line="240" w:lineRule="auto"/>
              <w:jc w:val="left"/>
            </w:pPr>
            <w:r/>
            <w:r>
              <w:rPr>
                <w:rFonts w:ascii="Cambria" w:hAnsi="Cambria" w:eastAsia="Cambria"/>
                <w:b w:val="0"/>
                <w:i w:val="0"/>
                <w:sz w:val="22"/>
              </w:rPr>
              <w:t>2A</w:t>
            </w:r>
          </w:p>
        </w:tc>
        <w:tc>
          <w:tcPr>
            <w:tcW w:type="dxa" w:w="3572"/>
          </w:tcPr>
          <w:p>
            <w:pPr>
              <w:spacing w:after="40" w:line="240" w:lineRule="auto"/>
              <w:jc w:val="center"/>
            </w:pPr>
            <w:r/>
            <w:r>
              <w:rPr>
                <w:rFonts w:ascii="Cambria" w:hAnsi="Cambria" w:eastAsia="Cambria"/>
                <w:b w:val="0"/>
                <w:i w:val="0"/>
                <w:sz w:val="22"/>
              </w:rPr>
              <w:t>Combined Metric for Publications (PU)</w:t>
            </w:r>
          </w:p>
        </w:tc>
        <w:tc>
          <w:tcPr>
            <w:tcW w:type="dxa" w:w="850"/>
          </w:tcPr>
          <w:p>
            <w:pPr>
              <w:spacing w:after="40" w:line="240" w:lineRule="auto"/>
              <w:jc w:val="center"/>
            </w:pPr>
            <w:r/>
            <w:r>
              <w:rPr>
                <w:rFonts w:ascii="Cambria" w:hAnsi="Cambria" w:eastAsia="Cambria"/>
                <w:b w:val="0"/>
                <w:i w:val="0"/>
                <w:sz w:val="22"/>
              </w:rPr>
              <w:t>30</w:t>
            </w:r>
          </w:p>
        </w:tc>
        <w:tc>
          <w:tcPr>
            <w:tcW w:type="dxa" w:w="4252"/>
          </w:tcPr>
          <w:p>
            <w:pPr>
              <w:spacing w:after="40" w:line="240" w:lineRule="auto"/>
              <w:jc w:val="center"/>
            </w:pPr>
            <w:r/>
            <w:r>
              <w:rPr>
                <w:rFonts w:ascii="Cambria" w:hAnsi="Cambria" w:eastAsia="Cambria"/>
                <w:b w:val="0"/>
                <w:i w:val="0"/>
                <w:sz w:val="22"/>
              </w:rPr>
              <w:t>Measures volume of research output across Scopus/Web of Science indexed journals and conferences</w:t>
            </w:r>
          </w:p>
        </w:tc>
      </w:tr>
      <w:tr>
        <w:tc>
          <w:tcPr>
            <w:tcW w:type="dxa" w:w="737"/>
            <w:shd w:val="clear" w:color="auto" w:fill="DCE6F1"/>
          </w:tcPr>
          <w:p>
            <w:pPr>
              <w:spacing w:after="40" w:line="240" w:lineRule="auto"/>
              <w:jc w:val="left"/>
            </w:pPr>
            <w:r/>
            <w:r>
              <w:rPr>
                <w:rFonts w:ascii="Cambria" w:hAnsi="Cambria" w:eastAsia="Cambria"/>
                <w:b w:val="0"/>
                <w:i w:val="0"/>
                <w:sz w:val="22"/>
              </w:rPr>
              <w:t>2B</w:t>
            </w:r>
          </w:p>
        </w:tc>
        <w:tc>
          <w:tcPr>
            <w:tcW w:type="dxa" w:w="3572"/>
            <w:shd w:val="clear" w:color="auto" w:fill="DCE6F1"/>
          </w:tcPr>
          <w:p>
            <w:pPr>
              <w:spacing w:after="40" w:line="240" w:lineRule="auto"/>
              <w:jc w:val="center"/>
            </w:pPr>
            <w:r/>
            <w:r>
              <w:rPr>
                <w:rFonts w:ascii="Cambria" w:hAnsi="Cambria" w:eastAsia="Cambria"/>
                <w:b w:val="0"/>
                <w:i w:val="0"/>
                <w:sz w:val="22"/>
              </w:rPr>
              <w:t>Combined Metric for Quality of Publications (QP)</w:t>
            </w:r>
          </w:p>
        </w:tc>
        <w:tc>
          <w:tcPr>
            <w:tcW w:type="dxa" w:w="850"/>
            <w:shd w:val="clear" w:color="auto" w:fill="DCE6F1"/>
          </w:tcPr>
          <w:p>
            <w:pPr>
              <w:spacing w:after="40" w:line="240" w:lineRule="auto"/>
              <w:jc w:val="center"/>
            </w:pPr>
            <w:r/>
            <w:r>
              <w:rPr>
                <w:rFonts w:ascii="Cambria" w:hAnsi="Cambria" w:eastAsia="Cambria"/>
                <w:b w:val="0"/>
                <w:i w:val="0"/>
                <w:sz w:val="22"/>
              </w:rPr>
              <w:t>30</w:t>
            </w:r>
          </w:p>
        </w:tc>
        <w:tc>
          <w:tcPr>
            <w:tcW w:type="dxa" w:w="4252"/>
            <w:shd w:val="clear" w:color="auto" w:fill="DCE6F1"/>
          </w:tcPr>
          <w:p>
            <w:pPr>
              <w:spacing w:after="40" w:line="240" w:lineRule="auto"/>
              <w:jc w:val="center"/>
            </w:pPr>
            <w:r/>
            <w:r>
              <w:rPr>
                <w:rFonts w:ascii="Cambria" w:hAnsi="Cambria" w:eastAsia="Cambria"/>
                <w:b w:val="0"/>
                <w:i w:val="0"/>
                <w:sz w:val="22"/>
              </w:rPr>
              <w:t>Evaluates research quality through citations, impact factors, and field-weighted citation indices</w:t>
            </w:r>
          </w:p>
        </w:tc>
      </w:tr>
      <w:tr>
        <w:tc>
          <w:tcPr>
            <w:tcW w:type="dxa" w:w="737"/>
          </w:tcPr>
          <w:p>
            <w:pPr>
              <w:spacing w:after="40" w:line="240" w:lineRule="auto"/>
              <w:jc w:val="left"/>
            </w:pPr>
            <w:r/>
            <w:r>
              <w:rPr>
                <w:rFonts w:ascii="Cambria" w:hAnsi="Cambria" w:eastAsia="Cambria"/>
                <w:b w:val="0"/>
                <w:i w:val="0"/>
                <w:sz w:val="22"/>
              </w:rPr>
              <w:t>2C</w:t>
            </w:r>
          </w:p>
        </w:tc>
        <w:tc>
          <w:tcPr>
            <w:tcW w:type="dxa" w:w="3572"/>
          </w:tcPr>
          <w:p>
            <w:pPr>
              <w:spacing w:after="40" w:line="240" w:lineRule="auto"/>
              <w:jc w:val="center"/>
            </w:pPr>
            <w:r/>
            <w:r>
              <w:rPr>
                <w:rFonts w:ascii="Cambria" w:hAnsi="Cambria" w:eastAsia="Cambria"/>
                <w:b w:val="0"/>
                <w:i w:val="0"/>
                <w:sz w:val="22"/>
              </w:rPr>
              <w:t>IPR and Patents: Published and Granted (IPR)</w:t>
            </w:r>
          </w:p>
        </w:tc>
        <w:tc>
          <w:tcPr>
            <w:tcW w:type="dxa" w:w="850"/>
          </w:tcPr>
          <w:p>
            <w:pPr>
              <w:spacing w:after="40" w:line="240" w:lineRule="auto"/>
              <w:jc w:val="center"/>
            </w:pPr>
            <w:r/>
            <w:r>
              <w:rPr>
                <w:rFonts w:ascii="Cambria" w:hAnsi="Cambria" w:eastAsia="Cambria"/>
                <w:b w:val="0"/>
                <w:i w:val="0"/>
                <w:sz w:val="22"/>
              </w:rPr>
              <w:t>15</w:t>
            </w:r>
          </w:p>
        </w:tc>
        <w:tc>
          <w:tcPr>
            <w:tcW w:type="dxa" w:w="4252"/>
          </w:tcPr>
          <w:p>
            <w:pPr>
              <w:spacing w:after="40" w:line="240" w:lineRule="auto"/>
              <w:jc w:val="center"/>
            </w:pPr>
            <w:r/>
            <w:r>
              <w:rPr>
                <w:rFonts w:ascii="Cambria" w:hAnsi="Cambria" w:eastAsia="Cambria"/>
                <w:b w:val="0"/>
                <w:i w:val="0"/>
                <w:sz w:val="22"/>
              </w:rPr>
              <w:t>Rewards institutions for patents filed, published, granted, and commercialized</w:t>
            </w:r>
          </w:p>
        </w:tc>
      </w:tr>
      <w:tr>
        <w:tc>
          <w:tcPr>
            <w:tcW w:type="dxa" w:w="737"/>
            <w:shd w:val="clear" w:color="auto" w:fill="DCE6F1"/>
          </w:tcPr>
          <w:p>
            <w:pPr>
              <w:spacing w:after="40" w:line="240" w:lineRule="auto"/>
              <w:jc w:val="left"/>
            </w:pPr>
            <w:r/>
            <w:r>
              <w:rPr>
                <w:rFonts w:ascii="Cambria" w:hAnsi="Cambria" w:eastAsia="Cambria"/>
                <w:b w:val="0"/>
                <w:i w:val="0"/>
                <w:sz w:val="22"/>
              </w:rPr>
              <w:t>2D</w:t>
            </w:r>
          </w:p>
        </w:tc>
        <w:tc>
          <w:tcPr>
            <w:tcW w:type="dxa" w:w="3572"/>
            <w:shd w:val="clear" w:color="auto" w:fill="DCE6F1"/>
          </w:tcPr>
          <w:p>
            <w:pPr>
              <w:spacing w:after="40" w:line="240" w:lineRule="auto"/>
              <w:jc w:val="center"/>
            </w:pPr>
            <w:r/>
            <w:r>
              <w:rPr>
                <w:rFonts w:ascii="Cambria" w:hAnsi="Cambria" w:eastAsia="Cambria"/>
                <w:b w:val="0"/>
                <w:i w:val="0"/>
                <w:sz w:val="22"/>
              </w:rPr>
              <w:t>Footprint of Projects and Professional Practice (FPPP)</w:t>
            </w:r>
          </w:p>
        </w:tc>
        <w:tc>
          <w:tcPr>
            <w:tcW w:type="dxa" w:w="850"/>
            <w:shd w:val="clear" w:color="auto" w:fill="DCE6F1"/>
          </w:tcPr>
          <w:p>
            <w:pPr>
              <w:spacing w:after="40" w:line="240" w:lineRule="auto"/>
              <w:jc w:val="center"/>
            </w:pPr>
            <w:r/>
            <w:r>
              <w:rPr>
                <w:rFonts w:ascii="Cambria" w:hAnsi="Cambria" w:eastAsia="Cambria"/>
                <w:b w:val="0"/>
                <w:i w:val="0"/>
                <w:sz w:val="22"/>
              </w:rPr>
              <w:t>15</w:t>
            </w:r>
          </w:p>
        </w:tc>
        <w:tc>
          <w:tcPr>
            <w:tcW w:type="dxa" w:w="4252"/>
            <w:shd w:val="clear" w:color="auto" w:fill="DCE6F1"/>
          </w:tcPr>
          <w:p>
            <w:pPr>
              <w:spacing w:after="40" w:line="240" w:lineRule="auto"/>
              <w:jc w:val="center"/>
            </w:pPr>
            <w:r/>
            <w:r>
              <w:rPr>
                <w:rFonts w:ascii="Cambria" w:hAnsi="Cambria" w:eastAsia="Cambria"/>
                <w:b w:val="0"/>
                <w:i w:val="0"/>
                <w:sz w:val="22"/>
              </w:rPr>
              <w:t>Assesses revenue and outcomes from sponsored research, consultancy, and professional development programs</w:t>
            </w:r>
          </w:p>
        </w:tc>
      </w:tr>
      <w:tr>
        <w:tc>
          <w:tcPr>
            <w:tcW w:type="dxa" w:w="737"/>
          </w:tcPr>
          <w:p>
            <w:pPr>
              <w:spacing w:after="40" w:line="240" w:lineRule="auto"/>
              <w:jc w:val="left"/>
            </w:pPr>
            <w:r/>
            <w:r>
              <w:rPr>
                <w:rFonts w:ascii="Cambria" w:hAnsi="Cambria" w:eastAsia="Cambria"/>
                <w:b w:val="0"/>
                <w:i w:val="0"/>
                <w:sz w:val="22"/>
              </w:rPr>
              <w:t>2E</w:t>
            </w:r>
          </w:p>
        </w:tc>
        <w:tc>
          <w:tcPr>
            <w:tcW w:type="dxa" w:w="3572"/>
          </w:tcPr>
          <w:p>
            <w:pPr>
              <w:spacing w:after="40" w:line="240" w:lineRule="auto"/>
              <w:jc w:val="center"/>
            </w:pPr>
            <w:r/>
            <w:r>
              <w:rPr>
                <w:rFonts w:ascii="Cambria" w:hAnsi="Cambria" w:eastAsia="Cambria"/>
                <w:b w:val="0"/>
                <w:i w:val="0"/>
                <w:sz w:val="22"/>
              </w:rPr>
              <w:t>Combined Metric for Publications &amp; Citations in SDGs (PSDGs)</w:t>
            </w:r>
          </w:p>
        </w:tc>
        <w:tc>
          <w:tcPr>
            <w:tcW w:type="dxa" w:w="850"/>
          </w:tcPr>
          <w:p>
            <w:pPr>
              <w:spacing w:after="40" w:line="240" w:lineRule="auto"/>
              <w:jc w:val="center"/>
            </w:pPr>
            <w:r/>
            <w:r>
              <w:rPr>
                <w:rFonts w:ascii="Cambria" w:hAnsi="Cambria" w:eastAsia="Cambria"/>
                <w:b w:val="0"/>
                <w:i w:val="0"/>
                <w:sz w:val="22"/>
              </w:rPr>
              <w:t>10</w:t>
            </w:r>
          </w:p>
        </w:tc>
        <w:tc>
          <w:tcPr>
            <w:tcW w:type="dxa" w:w="4252"/>
          </w:tcPr>
          <w:p>
            <w:pPr>
              <w:spacing w:after="40" w:line="240" w:lineRule="auto"/>
              <w:jc w:val="center"/>
            </w:pPr>
            <w:r/>
            <w:r>
              <w:rPr>
                <w:rFonts w:ascii="Cambria" w:hAnsi="Cambria" w:eastAsia="Cambria"/>
                <w:b w:val="0"/>
                <w:i w:val="0"/>
                <w:sz w:val="22"/>
              </w:rPr>
              <w:t>Captures contribution of research aligned to UN Sustainable Development Goals (SDGs) and global impact</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overall contribution = 30% of NIRF Score</w:t>
            </w:r>
          </w:p>
        </w:tc>
      </w:tr>
    </w:tbl>
    <w:p>
      <w:r>
        <w:br w:type="page"/>
      </w:r>
    </w:p>
    <w:p>
      <w:pPr>
        <w:keepNext/>
        <w:spacing w:before="360" w:after="160"/>
      </w:pPr>
      <w:r>
        <w:rPr>
          <w:rFonts w:ascii="Cambria" w:hAnsi="Cambria" w:eastAsia="Cambria"/>
          <w:b/>
          <w:i w:val="0"/>
          <w:color w:val="1F3A5F"/>
          <w:sz w:val="36"/>
        </w:rPr>
        <w:t>15. Combined Metric for Publications (PU)</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 = 30 × f(P / 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 = Weighted number of publications (as per Scopus, Web of Science, or other approved third-party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FRQ = Faculty Reference Quantity = max( Nominal Faculty (based on FSR 1:15), Actual Faculty Strength ).</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f(P / FRQ) = Normalization function defined by NIRF to adjust for discipline-specific publication norms.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Research Productivity per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Adjusts publications count by faculty strength to ensure fairness.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larger institutions from scoring disproportionately high purely due to size.</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Weighted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Different types of publications may carry different weights:</w:t>
      </w:r>
    </w:p>
    <w:p>
      <w:pPr>
        <w:spacing w:after="40"/>
        <w:ind w:left="1644" w:hanging="357"/>
      </w:pPr>
      <w:r>
        <w:rPr>
          <w:rFonts w:ascii="Cambria" w:hAnsi="Cambria" w:eastAsia="Cambria"/>
          <w:b w:val="0"/>
          <w:i w:val="0"/>
          <w:sz w:val="22"/>
        </w:rPr>
        <w:t>▪</w:t>
        <w:tab/>
      </w:r>
      <w:r>
        <w:rPr>
          <w:rFonts w:ascii="Cambria" w:hAnsi="Cambria" w:eastAsia="Cambria"/>
          <w:b w:val="0"/>
          <w:i w:val="0"/>
          <w:sz w:val="22"/>
        </w:rPr>
        <w:t>Journal articles (peer-reviewed, indexed in Scopus/WoS).</w:t>
      </w:r>
    </w:p>
    <w:p>
      <w:pPr>
        <w:spacing w:after="40"/>
        <w:ind w:left="1644" w:hanging="357"/>
      </w:pPr>
      <w:r>
        <w:rPr>
          <w:rFonts w:ascii="Cambria" w:hAnsi="Cambria" w:eastAsia="Cambria"/>
          <w:b w:val="0"/>
          <w:i w:val="0"/>
          <w:sz w:val="22"/>
        </w:rPr>
        <w:t>▪</w:t>
        <w:tab/>
      </w:r>
      <w:r>
        <w:rPr>
          <w:rFonts w:ascii="Cambria" w:hAnsi="Cambria" w:eastAsia="Cambria"/>
          <w:b w:val="0"/>
          <w:i w:val="0"/>
          <w:sz w:val="22"/>
        </w:rPr>
        <w:t>Conference papers (only high-quality/Scopus/WoS indexed).</w:t>
      </w:r>
    </w:p>
    <w:p>
      <w:pPr>
        <w:spacing w:after="40"/>
        <w:ind w:left="1644" w:hanging="357"/>
      </w:pPr>
      <w:r>
        <w:rPr>
          <w:rFonts w:ascii="Cambria" w:hAnsi="Cambria" w:eastAsia="Cambria"/>
          <w:b w:val="0"/>
          <w:i w:val="0"/>
          <w:sz w:val="22"/>
        </w:rPr>
        <w:t>▪</w:t>
        <w:tab/>
      </w:r>
      <w:r>
        <w:rPr>
          <w:rFonts w:ascii="Cambria" w:hAnsi="Cambria" w:eastAsia="Cambria"/>
          <w:b w:val="0"/>
          <w:i w:val="0"/>
          <w:sz w:val="22"/>
        </w:rPr>
        <w:t>Books/chapters (depending on publisher reputation).</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Quality Control via Third-Party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extracted from international bibliometric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Reduces possibility of inflated/false self-reporting.</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Actual Faculty Strength = 500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Nominal Faculty Requirement = (Students ÷ 15) = 600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 max(500, 600) = 600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Weighted Publications (P) = 1200 (3-year average)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P / FRQ = 1200 / 600 =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f(2.0) = 1 (normalized to cap), then PU = 30 Marks (full score).</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Source: Scopus, Web of Science (WoS), PubMed, etc.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Time Frame: Publications in the previous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Strength Data: Submitted by institution for normalization.</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consistent research output per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quality + quantity balance through bibliometric sources.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focus on research productivity and visibility.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Builds global competitiveness of Indian HEIs in research rankings.</w:t>
      </w:r>
    </w:p>
    <w:p>
      <w:pPr>
        <w:spacing w:after="40" w:line="276" w:lineRule="auto"/>
      </w:pPr>
      <w:r>
        <w:rPr>
          <w:rFonts w:ascii="Cambria" w:hAnsi="Cambria" w:eastAsia="Cambria"/>
          <w:b/>
          <w:i w:val="0"/>
          <w:sz w:val="22"/>
        </w:rPr>
        <w:t>Primary Source: Scopus, Web of Science (WoS), PubMed, etc.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means:</w:t>
      </w:r>
    </w:p>
    <w:p>
      <w:pPr>
        <w:spacing w:after="40"/>
        <w:ind w:left="1247" w:hanging="357"/>
      </w:pPr>
      <w:r>
        <w:rPr>
          <w:rFonts w:ascii="Cambria" w:hAnsi="Cambria" w:eastAsia="Cambria"/>
          <w:b w:val="0"/>
          <w:i w:val="0"/>
          <w:sz w:val="22"/>
        </w:rPr>
        <w:t>▪</w:t>
        <w:tab/>
      </w:r>
      <w:r>
        <w:rPr>
          <w:rFonts w:ascii="Cambria" w:hAnsi="Cambria" w:eastAsia="Cambria"/>
          <w:b w:val="0"/>
          <w:i w:val="0"/>
          <w:sz w:val="22"/>
        </w:rPr>
        <w:t>Publication data must be extracted from recognized, international bibliometric databases.</w:t>
      </w:r>
    </w:p>
    <w:p>
      <w:pPr>
        <w:spacing w:after="40"/>
        <w:ind w:left="1247" w:hanging="357"/>
      </w:pPr>
      <w:r>
        <w:rPr>
          <w:rFonts w:ascii="Cambria" w:hAnsi="Cambria" w:eastAsia="Cambria"/>
          <w:b w:val="0"/>
          <w:i w:val="0"/>
          <w:sz w:val="22"/>
        </w:rPr>
        <w:t>▪</w:t>
        <w:tab/>
      </w:r>
      <w:r>
        <w:rPr>
          <w:rFonts w:ascii="Cambria" w:hAnsi="Cambria" w:eastAsia="Cambria"/>
          <w:b w:val="0"/>
          <w:i w:val="0"/>
          <w:sz w:val="22"/>
        </w:rPr>
        <w:t>Scopus and Web of Science (WoS) are the primary sources accepted by NIRF for bibliometric analysis.</w:t>
      </w:r>
    </w:p>
    <w:p>
      <w:pPr>
        <w:spacing w:after="40"/>
        <w:ind w:left="1247" w:hanging="357"/>
      </w:pPr>
      <w:r>
        <w:rPr>
          <w:rFonts w:ascii="Cambria" w:hAnsi="Cambria" w:eastAsia="Cambria"/>
          <w:b w:val="0"/>
          <w:i w:val="0"/>
          <w:sz w:val="22"/>
        </w:rPr>
        <w:t>▪</w:t>
        <w:tab/>
      </w:r>
      <w:r>
        <w:rPr>
          <w:rFonts w:ascii="Cambria" w:hAnsi="Cambria" w:eastAsia="Cambria"/>
          <w:b w:val="0"/>
          <w:i w:val="0"/>
          <w:sz w:val="22"/>
        </w:rPr>
        <w:t>For medical/biomedical institutions, PubMed is also accepted.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Purpose:</w:t>
      </w:r>
    </w:p>
    <w:p>
      <w:pPr>
        <w:spacing w:after="40"/>
        <w:ind w:left="1247" w:hanging="357"/>
      </w:pPr>
      <w:r>
        <w:rPr>
          <w:rFonts w:ascii="Cambria" w:hAnsi="Cambria" w:eastAsia="Cambria"/>
          <w:b w:val="0"/>
          <w:i w:val="0"/>
          <w:sz w:val="22"/>
        </w:rPr>
        <w:t>▪</w:t>
        <w:tab/>
      </w:r>
      <w:r>
        <w:rPr>
          <w:rFonts w:ascii="Cambria" w:hAnsi="Cambria" w:eastAsia="Cambria"/>
          <w:b w:val="0"/>
          <w:i w:val="0"/>
          <w:sz w:val="22"/>
        </w:rPr>
        <w:t>Ensures authenticity and standardization of research publication counts.</w:t>
      </w:r>
    </w:p>
    <w:p>
      <w:pPr>
        <w:spacing w:after="40"/>
        <w:ind w:left="1247" w:hanging="357"/>
      </w:pPr>
      <w:r>
        <w:rPr>
          <w:rFonts w:ascii="Cambria" w:hAnsi="Cambria" w:eastAsia="Cambria"/>
          <w:b w:val="0"/>
          <w:i w:val="0"/>
          <w:sz w:val="22"/>
        </w:rPr>
        <w:t>▪</w:t>
        <w:tab/>
      </w:r>
      <w:r>
        <w:rPr>
          <w:rFonts w:ascii="Cambria" w:hAnsi="Cambria" w:eastAsia="Cambria"/>
          <w:b w:val="0"/>
          <w:i w:val="0"/>
          <w:sz w:val="22"/>
        </w:rPr>
        <w:t>Prevents inclusion of publications from non-indexed, predatory, or unverified journals.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captured: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papers published by institution faculty in indexed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counts, h-index, field-weighted impact.</w:t>
      </w:r>
    </w:p>
    <w:p>
      <w:pPr>
        <w:spacing w:after="40" w:line="276" w:lineRule="auto"/>
      </w:pPr>
      <w:r>
        <w:rPr>
          <w:rFonts w:ascii="Cambria" w:hAnsi="Cambria" w:eastAsia="Cambria"/>
          <w:b/>
          <w:i w:val="0"/>
          <w:sz w:val="22"/>
        </w:rPr>
        <w:t>Time Frame: Publications in the previous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means:</w:t>
      </w:r>
    </w:p>
    <w:p>
      <w:pPr>
        <w:spacing w:after="40"/>
        <w:ind w:left="1247" w:hanging="357"/>
      </w:pPr>
      <w:r>
        <w:rPr>
          <w:rFonts w:ascii="Cambria" w:hAnsi="Cambria" w:eastAsia="Cambria"/>
          <w:b w:val="0"/>
          <w:i w:val="0"/>
          <w:sz w:val="22"/>
        </w:rPr>
        <w:t>▪</w:t>
        <w:tab/>
      </w:r>
      <w:r>
        <w:rPr>
          <w:rFonts w:ascii="Cambria" w:hAnsi="Cambria" w:eastAsia="Cambria"/>
          <w:b w:val="0"/>
          <w:i w:val="0"/>
          <w:sz w:val="22"/>
        </w:rPr>
        <w:t>Only publications from the preceding three calendar years are considered.</w:t>
      </w:r>
    </w:p>
    <w:p>
      <w:pPr>
        <w:spacing w:after="40"/>
        <w:ind w:left="1247" w:hanging="357"/>
      </w:pPr>
      <w:r>
        <w:rPr>
          <w:rFonts w:ascii="Cambria" w:hAnsi="Cambria" w:eastAsia="Cambria"/>
          <w:b w:val="0"/>
          <w:i w:val="0"/>
          <w:sz w:val="22"/>
        </w:rPr>
        <w:t>▪</w:t>
        <w:tab/>
      </w:r>
      <w:r>
        <w:rPr>
          <w:rFonts w:ascii="Cambria" w:hAnsi="Cambria" w:eastAsia="Cambria"/>
          <w:b w:val="0"/>
          <w:i w:val="0"/>
          <w:sz w:val="22"/>
        </w:rPr>
        <w:t>Example: If NIRF 2025 is being submitted, only publications from 2022, 2023, 2024 will count.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Purpose:</w:t>
      </w:r>
    </w:p>
    <w:p>
      <w:pPr>
        <w:spacing w:after="40"/>
        <w:ind w:left="1247" w:hanging="357"/>
      </w:pPr>
      <w:r>
        <w:rPr>
          <w:rFonts w:ascii="Cambria" w:hAnsi="Cambria" w:eastAsia="Cambria"/>
          <w:b w:val="0"/>
          <w:i w:val="0"/>
          <w:sz w:val="22"/>
        </w:rPr>
        <w:t>▪</w:t>
        <w:tab/>
      </w:r>
      <w:r>
        <w:rPr>
          <w:rFonts w:ascii="Cambria" w:hAnsi="Cambria" w:eastAsia="Cambria"/>
          <w:b w:val="0"/>
          <w:i w:val="0"/>
          <w:sz w:val="22"/>
        </w:rPr>
        <w:t>Focuses on recent research performance rather than lifetime output.</w:t>
      </w:r>
    </w:p>
    <w:p>
      <w:pPr>
        <w:spacing w:after="40"/>
        <w:ind w:left="1247" w:hanging="357"/>
      </w:pPr>
      <w:r>
        <w:rPr>
          <w:rFonts w:ascii="Cambria" w:hAnsi="Cambria" w:eastAsia="Cambria"/>
          <w:b w:val="0"/>
          <w:i w:val="0"/>
          <w:sz w:val="22"/>
        </w:rPr>
        <w:t>▪</w:t>
        <w:tab/>
      </w:r>
      <w:r>
        <w:rPr>
          <w:rFonts w:ascii="Cambria" w:hAnsi="Cambria" w:eastAsia="Cambria"/>
          <w:b w:val="0"/>
          <w:i w:val="0"/>
          <w:sz w:val="22"/>
        </w:rPr>
        <w:t>Ensures fair comparison across institutions of different ages.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captured:</w:t>
      </w:r>
    </w:p>
    <w:p>
      <w:pPr>
        <w:spacing w:after="40"/>
        <w:ind w:left="1247" w:hanging="357"/>
      </w:pPr>
      <w:r>
        <w:rPr>
          <w:rFonts w:ascii="Cambria" w:hAnsi="Cambria" w:eastAsia="Cambria"/>
          <w:b w:val="0"/>
          <w:i w:val="0"/>
          <w:sz w:val="22"/>
        </w:rPr>
        <w:t>▪</w:t>
        <w:tab/>
      </w:r>
      <w:r>
        <w:rPr>
          <w:rFonts w:ascii="Cambria" w:hAnsi="Cambria" w:eastAsia="Cambria"/>
          <w:b w:val="0"/>
          <w:i w:val="0"/>
          <w:sz w:val="22"/>
        </w:rPr>
        <w:t>Institution must provide faculty-wise or department-wise publication lists for the specified years.</w:t>
      </w:r>
    </w:p>
    <w:p>
      <w:pPr>
        <w:spacing w:after="40"/>
        <w:ind w:left="1247" w:hanging="357"/>
      </w:pPr>
      <w:r>
        <w:rPr>
          <w:rFonts w:ascii="Cambria" w:hAnsi="Cambria" w:eastAsia="Cambria"/>
          <w:b w:val="0"/>
          <w:i w:val="0"/>
          <w:sz w:val="22"/>
        </w:rPr>
        <w:t>▪</w:t>
        <w:tab/>
      </w:r>
      <w:r>
        <w:rPr>
          <w:rFonts w:ascii="Cambria" w:hAnsi="Cambria" w:eastAsia="Cambria"/>
          <w:b w:val="0"/>
          <w:i w:val="0"/>
          <w:sz w:val="22"/>
        </w:rPr>
        <w:t>Bibliometric data providers (Scopus/WoS) generate citation and publication reports for the same window.</w:t>
      </w:r>
    </w:p>
    <w:p>
      <w:pPr>
        <w:spacing w:after="40" w:line="276" w:lineRule="auto"/>
      </w:pPr>
      <w:r>
        <w:rPr>
          <w:rFonts w:ascii="Cambria" w:hAnsi="Cambria" w:eastAsia="Cambria"/>
          <w:b/>
          <w:i w:val="0"/>
          <w:sz w:val="22"/>
        </w:rPr>
        <w:t>Faculty Strength Data: Submitted by institution for normalization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means:</w:t>
      </w:r>
    </w:p>
    <w:p>
      <w:pPr>
        <w:spacing w:after="40"/>
        <w:ind w:left="1247" w:hanging="357"/>
      </w:pPr>
      <w:r>
        <w:rPr>
          <w:rFonts w:ascii="Cambria" w:hAnsi="Cambria" w:eastAsia="Cambria"/>
          <w:b w:val="0"/>
          <w:i w:val="0"/>
          <w:sz w:val="22"/>
        </w:rPr>
        <w:t>▪</w:t>
        <w:tab/>
      </w:r>
      <w:r>
        <w:rPr>
          <w:rFonts w:ascii="Cambria" w:hAnsi="Cambria" w:eastAsia="Cambria"/>
          <w:b w:val="0"/>
          <w:i w:val="0"/>
          <w:sz w:val="22"/>
        </w:rPr>
        <w:t>Research output is normalized against faculty strength to ensure fairness.</w:t>
      </w:r>
    </w:p>
    <w:p>
      <w:pPr>
        <w:spacing w:after="40"/>
        <w:ind w:left="1247" w:hanging="357"/>
      </w:pPr>
      <w:r>
        <w:rPr>
          <w:rFonts w:ascii="Cambria" w:hAnsi="Cambria" w:eastAsia="Cambria"/>
          <w:b w:val="0"/>
          <w:i w:val="0"/>
          <w:sz w:val="22"/>
        </w:rPr>
        <w:t>▪</w:t>
        <w:tab/>
      </w:r>
      <w:r>
        <w:rPr>
          <w:rFonts w:ascii="Cambria" w:hAnsi="Cambria" w:eastAsia="Cambria"/>
          <w:b w:val="0"/>
          <w:i w:val="0"/>
          <w:sz w:val="22"/>
        </w:rPr>
        <w:t>Larger institutions with more faculty should not be unfairly advantaged in raw publication counts.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Purpose:</w:t>
      </w:r>
    </w:p>
    <w:p>
      <w:pPr>
        <w:spacing w:after="40"/>
        <w:ind w:left="1247" w:hanging="357"/>
      </w:pPr>
      <w:r>
        <w:rPr>
          <w:rFonts w:ascii="Cambria" w:hAnsi="Cambria" w:eastAsia="Cambria"/>
          <w:b w:val="0"/>
          <w:i w:val="0"/>
          <w:sz w:val="22"/>
        </w:rPr>
        <w:t>▪</w:t>
        <w:tab/>
      </w:r>
      <w:r>
        <w:rPr>
          <w:rFonts w:ascii="Cambria" w:hAnsi="Cambria" w:eastAsia="Cambria"/>
          <w:b w:val="0"/>
          <w:i w:val="0"/>
          <w:sz w:val="22"/>
        </w:rPr>
        <w:t>Normalization balances research productivity per faculty.</w:t>
      </w:r>
    </w:p>
    <w:p>
      <w:pPr>
        <w:spacing w:after="40"/>
        <w:ind w:left="1247" w:hanging="357"/>
      </w:pPr>
      <w:r>
        <w:rPr>
          <w:rFonts w:ascii="Cambria" w:hAnsi="Cambria" w:eastAsia="Cambria"/>
          <w:b w:val="0"/>
          <w:i w:val="0"/>
          <w:sz w:val="22"/>
        </w:rPr>
        <w:t>▪</w:t>
        <w:tab/>
      </w:r>
      <w:r>
        <w:rPr>
          <w:rFonts w:ascii="Cambria" w:hAnsi="Cambria" w:eastAsia="Cambria"/>
          <w:b w:val="0"/>
          <w:i w:val="0"/>
          <w:sz w:val="22"/>
        </w:rPr>
        <w:t>A smaller institution with high research intensity can score better than a larger but low-output one.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required from Institution:</w:t>
      </w:r>
    </w:p>
    <w:p>
      <w:pPr>
        <w:spacing w:after="40"/>
        <w:ind w:left="1247" w:hanging="357"/>
      </w:pPr>
      <w:r>
        <w:rPr>
          <w:rFonts w:ascii="Cambria" w:hAnsi="Cambria" w:eastAsia="Cambria"/>
          <w:b w:val="0"/>
          <w:i w:val="0"/>
          <w:sz w:val="22"/>
        </w:rPr>
        <w:t>▪</w:t>
        <w:tab/>
      </w:r>
      <w:r>
        <w:rPr>
          <w:rFonts w:ascii="Cambria" w:hAnsi="Cambria" w:eastAsia="Cambria"/>
          <w:b w:val="0"/>
          <w:i w:val="0"/>
          <w:sz w:val="22"/>
        </w:rPr>
        <w:t>Total number of faculty (PhD + Master's) as submitted in Faculty Strength Report (FSR).</w:t>
      </w:r>
    </w:p>
    <w:p>
      <w:pPr>
        <w:spacing w:after="40"/>
        <w:ind w:left="1247" w:hanging="357"/>
      </w:pPr>
      <w:r>
        <w:rPr>
          <w:rFonts w:ascii="Cambria" w:hAnsi="Cambria" w:eastAsia="Cambria"/>
          <w:b w:val="0"/>
          <w:i w:val="0"/>
          <w:sz w:val="22"/>
        </w:rPr>
        <w:t>▪</w:t>
        <w:tab/>
      </w:r>
      <w:r>
        <w:rPr>
          <w:rFonts w:ascii="Cambria" w:hAnsi="Cambria" w:eastAsia="Cambria"/>
          <w:b w:val="0"/>
          <w:i w:val="0"/>
          <w:sz w:val="22"/>
        </w:rPr>
        <w:t>Verified faculty list aligned with HR records and NIRF faculty submission.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Normalization Formula (simplified):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Publications per Faculty = (Total Publications in last 3 years) ÷ (Faculty Strength).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metrics are also normalized similarly.</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research and professional practice (RP) metrics are evidence-based.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quality over quantity, emphasizing citations, impact factor, and recent productivity.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Normalization ensures equity between large public universities and smaller specialized institutions.</w:t>
      </w:r>
    </w:p>
    <w:p>
      <w:r>
        <w:br w:type="page"/>
      </w:r>
    </w:p>
    <w:p>
      <w:pPr>
        <w:keepNext/>
        <w:spacing w:before="360" w:after="160"/>
      </w:pPr>
      <w:r>
        <w:rPr>
          <w:rFonts w:ascii="Cambria" w:hAnsi="Cambria" w:eastAsia="Cambria"/>
          <w:b/>
          <w:i w:val="0"/>
          <w:color w:val="1F3A5F"/>
          <w:sz w:val="36"/>
        </w:rPr>
        <w:t>16. Combined Metric for Quality of Publications (QP)</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QP = 15 × f(CC / FRQ) + 15 × f(TOP25P / P)</w:t>
      </w:r>
    </w:p>
    <w:p>
      <w:pPr>
        <w:spacing w:after="40" w:line="276" w:lineRule="auto"/>
      </w:pPr>
      <w:r>
        <w:rPr>
          <w:rFonts w:ascii="Cambria" w:hAnsi="Cambria" w:eastAsia="Cambria"/>
          <w:b/>
          <w:i w:val="0"/>
          <w:sz w:val="22"/>
        </w:rPr>
        <w:t>Where: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CC = Total Citation Count over the last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 = Publications (as computed in PU metric).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TOP25P = Number of publications in the top 25% citation percentile, averaged over the last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 Faculty Reference Quantity = max(Nominal Faculty (from 1:15 FSR), Actual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f(x) = Normalization function applied by NIRF for fairness across disciplines.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Citation Impact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average citations per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 citations → greater research influence and recognition.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Normalized by FRQ to ensure fairness for different institution sizes.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High-Impact Research in Top 25% Journals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with publications in globally recognized, highly cited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researchers to aim for quality over quantity.</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Reference Quantity (FRQ) = 600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Publications (P) = 1200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Citation Count (CC) = 24,000 → CC/FRQ = 40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TOP25P = 300 → ratio TOP25P/P = 300/1200 = 0.25 (25%)</w:t>
      </w:r>
    </w:p>
    <w:p>
      <w:pPr>
        <w:spacing w:after="40" w:line="276" w:lineRule="auto"/>
      </w:pPr>
      <w:r>
        <w:rPr>
          <w:rFonts w:ascii="Cambria" w:hAnsi="Cambria" w:eastAsia="Cambria"/>
          <w:b w:val="0"/>
          <w:i w:val="0"/>
          <w:sz w:val="22"/>
        </w:rPr>
        <w:t>Then: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First Term = 15 × f(40) → Suppose normalized to 12</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Second Term = 15 × f(0.25) = 15 × 1 = 15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QP = 12 + 15 = 27 Marks (out of 30)</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Bibliometric data from Scopus, Web of Science (WoS), PubMed, Dimensions.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Citations must be averaged over the previous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Extracted directly from third-party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May require institution's Scopus/WoS ID mapping.</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quality and impact of research, not just volume.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publishing in top journals with higher visibility.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Indian institutions with global best practices in research evaluation.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focus on long-term citation relevance, not just quantity.</w:t>
      </w:r>
    </w:p>
    <w:p>
      <w:pPr>
        <w:spacing w:after="40" w:line="276" w:lineRule="auto"/>
      </w:pPr>
      <w:r>
        <w:rPr>
          <w:rFonts w:ascii="Cambria" w:hAnsi="Cambria" w:eastAsia="Cambria"/>
          <w:b/>
          <w:i w:val="0"/>
          <w:sz w:val="22"/>
        </w:rPr>
        <w:t>Primary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Bibliometric Data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Accepted sources:</w:t>
      </w:r>
    </w:p>
    <w:p>
      <w:pPr>
        <w:spacing w:after="40"/>
        <w:ind w:left="1644" w:hanging="357"/>
      </w:pPr>
      <w:r>
        <w:rPr>
          <w:rFonts w:ascii="Cambria" w:hAnsi="Cambria" w:eastAsia="Cambria"/>
          <w:b w:val="0"/>
          <w:i w:val="0"/>
          <w:sz w:val="22"/>
        </w:rPr>
        <w:t>▪</w:t>
        <w:tab/>
      </w:r>
      <w:r>
        <w:rPr>
          <w:rFonts w:ascii="Cambria" w:hAnsi="Cambria" w:eastAsia="Cambria"/>
          <w:b w:val="0"/>
          <w:i w:val="0"/>
          <w:sz w:val="22"/>
        </w:rPr>
        <w:t>Scopus (Elsevier) → Broad coverage across disciplines.</w:t>
      </w:r>
    </w:p>
    <w:p>
      <w:pPr>
        <w:spacing w:after="40"/>
        <w:ind w:left="1644" w:hanging="357"/>
      </w:pPr>
      <w:r>
        <w:rPr>
          <w:rFonts w:ascii="Cambria" w:hAnsi="Cambria" w:eastAsia="Cambria"/>
          <w:b w:val="0"/>
          <w:i w:val="0"/>
          <w:sz w:val="22"/>
        </w:rPr>
        <w:t>▪</w:t>
        <w:tab/>
      </w:r>
      <w:r>
        <w:rPr>
          <w:rFonts w:ascii="Cambria" w:hAnsi="Cambria" w:eastAsia="Cambria"/>
          <w:b w:val="0"/>
          <w:i w:val="0"/>
          <w:sz w:val="22"/>
        </w:rPr>
        <w:t>Web of Science (WoS) (Clarivate) → High-quality indexed journals.</w:t>
      </w:r>
    </w:p>
    <w:p>
      <w:pPr>
        <w:spacing w:after="40"/>
        <w:ind w:left="1644" w:hanging="357"/>
      </w:pPr>
      <w:r>
        <w:rPr>
          <w:rFonts w:ascii="Cambria" w:hAnsi="Cambria" w:eastAsia="Cambria"/>
          <w:b w:val="0"/>
          <w:i w:val="0"/>
          <w:sz w:val="22"/>
        </w:rPr>
        <w:t>▪</w:t>
        <w:tab/>
      </w:r>
      <w:r>
        <w:rPr>
          <w:rFonts w:ascii="Cambria" w:hAnsi="Cambria" w:eastAsia="Cambria"/>
          <w:b w:val="0"/>
          <w:i w:val="0"/>
          <w:sz w:val="22"/>
        </w:rPr>
        <w:t>PubMed (NIH) → Medical and life sciences.</w:t>
      </w:r>
    </w:p>
    <w:p>
      <w:pPr>
        <w:spacing w:after="40"/>
        <w:ind w:left="1644" w:hanging="357"/>
      </w:pPr>
      <w:r>
        <w:rPr>
          <w:rFonts w:ascii="Cambria" w:hAnsi="Cambria" w:eastAsia="Cambria"/>
          <w:b w:val="0"/>
          <w:i w:val="0"/>
          <w:sz w:val="22"/>
        </w:rPr>
        <w:t>▪</w:t>
        <w:tab/>
      </w:r>
      <w:r>
        <w:rPr>
          <w:rFonts w:ascii="Cambria" w:hAnsi="Cambria" w:eastAsia="Cambria"/>
          <w:b w:val="0"/>
          <w:i w:val="0"/>
          <w:sz w:val="22"/>
        </w:rPr>
        <w:t>Dimensions (Digital Science) → Citations, patents, clinical trials, policy documents.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authenticity and global comparability of research output.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Citations Averaged Over Previous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impact is not taken as a lifetime count, but averaged for the last 3 years only.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Formula (simplified):</w:t>
      </w:r>
    </w:p>
    <w:p>
      <w:pPr>
        <w:spacing w:after="40"/>
        <w:ind w:left="1644" w:hanging="357"/>
      </w:pPr>
      <w:r>
        <w:rPr>
          <w:rFonts w:ascii="Cambria" w:hAnsi="Cambria" w:eastAsia="Cambria"/>
          <w:b w:val="0"/>
          <w:i w:val="0"/>
          <w:sz w:val="22"/>
        </w:rPr>
        <w:t>▪</w:t>
        <w:tab/>
      </w:r>
      <w:r>
        <w:rPr>
          <w:rFonts w:ascii="Cambria" w:hAnsi="Cambria" w:eastAsia="Cambria"/>
          <w:b w:val="0"/>
          <w:i w:val="0"/>
          <w:sz w:val="22"/>
        </w:rPr>
        <w:t>Average Citations per Paper = (Total citations to papers published in last 3 years) ÷ (Total papers in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Purpose:</w:t>
      </w:r>
    </w:p>
    <w:p>
      <w:pPr>
        <w:spacing w:after="40"/>
        <w:ind w:left="1644" w:hanging="357"/>
      </w:pPr>
      <w:r>
        <w:rPr>
          <w:rFonts w:ascii="Cambria" w:hAnsi="Cambria" w:eastAsia="Cambria"/>
          <w:b w:val="0"/>
          <w:i w:val="0"/>
          <w:sz w:val="22"/>
        </w:rPr>
        <w:t>▪</w:t>
        <w:tab/>
      </w:r>
      <w:r>
        <w:rPr>
          <w:rFonts w:ascii="Cambria" w:hAnsi="Cambria" w:eastAsia="Cambria"/>
          <w:b w:val="0"/>
          <w:i w:val="0"/>
          <w:sz w:val="22"/>
        </w:rPr>
        <w:t>Captures recent impact rather than historic/lifetime numbers.</w:t>
      </w:r>
    </w:p>
    <w:p>
      <w:pPr>
        <w:spacing w:after="40"/>
        <w:ind w:left="1644" w:hanging="357"/>
      </w:pPr>
      <w:r>
        <w:rPr>
          <w:rFonts w:ascii="Cambria" w:hAnsi="Cambria" w:eastAsia="Cambria"/>
          <w:b w:val="0"/>
          <w:i w:val="0"/>
          <w:sz w:val="22"/>
        </w:rPr>
        <w:t>▪</w:t>
        <w:tab/>
      </w:r>
      <w:r>
        <w:rPr>
          <w:rFonts w:ascii="Cambria" w:hAnsi="Cambria" w:eastAsia="Cambria"/>
          <w:b w:val="0"/>
          <w:i w:val="0"/>
          <w:sz w:val="22"/>
        </w:rPr>
        <w:t>Prevents older, highly cited papers from inflating scores unfairly.</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Extracted Directly from Third-Party Databases</w:t>
      </w:r>
    </w:p>
    <w:p>
      <w:pPr>
        <w:spacing w:after="40"/>
        <w:ind w:left="1247" w:hanging="357"/>
      </w:pPr>
      <w:r>
        <w:rPr>
          <w:rFonts w:ascii="Cambria" w:hAnsi="Cambria" w:eastAsia="Cambria"/>
          <w:b w:val="0"/>
          <w:i w:val="0"/>
          <w:sz w:val="22"/>
        </w:rPr>
        <w:t>▪</w:t>
        <w:tab/>
      </w:r>
      <w:r>
        <w:rPr>
          <w:rFonts w:ascii="Cambria" w:hAnsi="Cambria" w:eastAsia="Cambria"/>
          <w:b w:val="0"/>
          <w:i w:val="0"/>
          <w:sz w:val="22"/>
        </w:rPr>
        <w:t>NIRF does not rely on institution-reported publication data alone.</w:t>
      </w:r>
    </w:p>
    <w:p>
      <w:pPr>
        <w:spacing w:after="40"/>
        <w:ind w:left="1247" w:hanging="357"/>
      </w:pPr>
      <w:r>
        <w:rPr>
          <w:rFonts w:ascii="Cambria" w:hAnsi="Cambria" w:eastAsia="Cambria"/>
          <w:b w:val="0"/>
          <w:i w:val="0"/>
          <w:sz w:val="22"/>
        </w:rPr>
        <w:t>▪</w:t>
        <w:tab/>
      </w:r>
      <w:r>
        <w:rPr>
          <w:rFonts w:ascii="Cambria" w:hAnsi="Cambria" w:eastAsia="Cambria"/>
          <w:b w:val="0"/>
          <w:i w:val="0"/>
          <w:sz w:val="22"/>
        </w:rPr>
        <w:t>Bibliometric data is pulled directly from Scopus/WoS/Dimensions databases via APIs or licensed datasets.</w:t>
      </w:r>
    </w:p>
    <w:p>
      <w:pPr>
        <w:spacing w:after="40"/>
        <w:ind w:left="1247" w:hanging="357"/>
      </w:pPr>
      <w:r>
        <w:rPr>
          <w:rFonts w:ascii="Cambria" w:hAnsi="Cambria" w:eastAsia="Cambria"/>
          <w:b w:val="0"/>
          <w:i w:val="0"/>
          <w:sz w:val="22"/>
        </w:rPr>
        <w:t>▪</w:t>
        <w:tab/>
      </w:r>
      <w:r>
        <w:rPr>
          <w:rFonts w:ascii="Cambria" w:hAnsi="Cambria" w:eastAsia="Cambria"/>
          <w:b w:val="0"/>
          <w:i w:val="0"/>
          <w:sz w:val="22"/>
        </w:rPr>
        <w:t>Ensures consistency, transparency, and prevents inflation of publication claims.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Institution's Scopus/WoS ID Mapping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institution is mapped to a Scopus Affiliation ID / WoS Organization ID.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in accurately attributing publications to the correct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Required because:</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may publish under different department names, campuses, or slightly varied institution names.</w:t>
      </w:r>
    </w:p>
    <w:p>
      <w:pPr>
        <w:spacing w:after="40"/>
        <w:ind w:left="1644" w:hanging="357"/>
      </w:pPr>
      <w:r>
        <w:rPr>
          <w:rFonts w:ascii="Cambria" w:hAnsi="Cambria" w:eastAsia="Cambria"/>
          <w:b w:val="0"/>
          <w:i w:val="0"/>
          <w:sz w:val="22"/>
        </w:rPr>
        <w:t>▪</w:t>
        <w:tab/>
      </w:r>
      <w:r>
        <w:rPr>
          <w:rFonts w:ascii="Cambria" w:hAnsi="Cambria" w:eastAsia="Cambria"/>
          <w:b w:val="0"/>
          <w:i w:val="0"/>
          <w:sz w:val="22"/>
        </w:rPr>
        <w:t>Without ID mapping, data retrieval may miss or misattribute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verify and provide their official Affiliation IDs to NIRF.</w:t>
      </w:r>
    </w:p>
    <w:p>
      <w:pPr>
        <w:spacing w:after="40" w:line="276" w:lineRule="auto"/>
      </w:pPr>
      <w:r>
        <w:rPr>
          <w:rFonts w:ascii="Cambria" w:hAnsi="Cambria" w:eastAsia="Cambria"/>
          <w:b/>
          <w:i w:val="0"/>
          <w:sz w:val="22"/>
        </w:rPr>
        <w:t>Why This Matters for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Forms the backbone of the Research and Professional Practices (RP)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quality, integrity, and fairness in research assessment.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Prevents data manipulation and highlights institutions contributing to global academic research visibility.</w:t>
      </w:r>
    </w:p>
    <w:p>
      <w:r>
        <w:br w:type="page"/>
      </w:r>
    </w:p>
    <w:p>
      <w:pPr>
        <w:keepNext/>
        <w:spacing w:before="360" w:after="160"/>
      </w:pPr>
      <w:r>
        <w:rPr>
          <w:rFonts w:ascii="Cambria" w:hAnsi="Cambria" w:eastAsia="Cambria"/>
          <w:b/>
          <w:i w:val="0"/>
          <w:color w:val="1F3A5F"/>
          <w:sz w:val="36"/>
        </w:rPr>
        <w:t>17. IPR and Patents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IPR = IPG + IPP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IPG (Patents Granted): IPG = 10 × f(PG)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PG = Number of patents granted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Max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IPP (Patents Published): IPP = 5 × f(PP)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PP = Number of patents published (applications published in gazettes)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Max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used by NIRF to scale counts across institutions and disciplines.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Innovation Pipeline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published reflect inventions disclosed for examination.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Shows institutional culture of innovation and filing.</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Innovation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granted reflect novelty + inventive step verified by patent authorities.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Emphasizes quality and commercial value.</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Balance between Pipeline &amp; Outcomes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Weighting (10 for granted, 5 for published) ensures finalized IP gets more credit.</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3-Year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Published Patents (PP) = 40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Granted Patents (PG) = 12</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normalization function is proportional with caps: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IPP = 5 × f(40) = say 4.5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IPG = 10 × f(12) = say 8</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IPR = 12.5 (out of 15)</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list of published &amp; granted patents.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Jurisdiction: India (IPO), international (USPTO, EPO, WIPO).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 certificates (for granted).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Publication records (for published).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 Cell / TTO records, patent office databases.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foster innovation and IP culture.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Connects research with industry impact &amp; commercialization.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Supports India's positioning as an innovation-driven economy.</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list of published &amp; granted patents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and submit a year-wise list of: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Published (filed and published in official gazette but not yet granted).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Granted (legally approved and assigned patent rights).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must cover the previous 3 years for NIRF submission.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Details required:</w:t>
      </w:r>
    </w:p>
    <w:p>
      <w:pPr>
        <w:spacing w:after="40"/>
        <w:ind w:left="1644" w:hanging="357"/>
      </w:pPr>
      <w:r>
        <w:rPr>
          <w:rFonts w:ascii="Cambria" w:hAnsi="Cambria" w:eastAsia="Cambria"/>
          <w:b w:val="0"/>
          <w:i w:val="0"/>
          <w:sz w:val="22"/>
        </w:rPr>
        <w:t>▪</w:t>
        <w:tab/>
      </w:r>
      <w:r>
        <w:rPr>
          <w:rFonts w:ascii="Cambria" w:hAnsi="Cambria" w:eastAsia="Cambria"/>
          <w:b w:val="0"/>
          <w:i w:val="0"/>
          <w:sz w:val="22"/>
        </w:rPr>
        <w:t>Patent Title</w:t>
      </w:r>
    </w:p>
    <w:p>
      <w:pPr>
        <w:spacing w:after="40"/>
        <w:ind w:left="1644" w:hanging="357"/>
      </w:pPr>
      <w:r>
        <w:rPr>
          <w:rFonts w:ascii="Cambria" w:hAnsi="Cambria" w:eastAsia="Cambria"/>
          <w:b w:val="0"/>
          <w:i w:val="0"/>
          <w:sz w:val="22"/>
        </w:rPr>
        <w:t>▪</w:t>
        <w:tab/>
      </w:r>
      <w:r>
        <w:rPr>
          <w:rFonts w:ascii="Cambria" w:hAnsi="Cambria" w:eastAsia="Cambria"/>
          <w:b w:val="0"/>
          <w:i w:val="0"/>
          <w:sz w:val="22"/>
        </w:rPr>
        <w:t>Inventor(s) / Faculty / Student</w:t>
      </w:r>
    </w:p>
    <w:p>
      <w:pPr>
        <w:spacing w:after="40"/>
        <w:ind w:left="1644" w:hanging="357"/>
      </w:pPr>
      <w:r>
        <w:rPr>
          <w:rFonts w:ascii="Cambria" w:hAnsi="Cambria" w:eastAsia="Cambria"/>
          <w:b w:val="0"/>
          <w:i w:val="0"/>
          <w:sz w:val="22"/>
        </w:rPr>
        <w:t>▪</w:t>
        <w:tab/>
      </w:r>
      <w:r>
        <w:rPr>
          <w:rFonts w:ascii="Cambria" w:hAnsi="Cambria" w:eastAsia="Cambria"/>
          <w:b w:val="0"/>
          <w:i w:val="0"/>
          <w:sz w:val="22"/>
        </w:rPr>
        <w:t>Filing Year &amp; Publication Year</w:t>
      </w:r>
    </w:p>
    <w:p>
      <w:pPr>
        <w:spacing w:after="40"/>
        <w:ind w:left="1644" w:hanging="357"/>
      </w:pPr>
      <w:r>
        <w:rPr>
          <w:rFonts w:ascii="Cambria" w:hAnsi="Cambria" w:eastAsia="Cambria"/>
          <w:b w:val="0"/>
          <w:i w:val="0"/>
          <w:sz w:val="22"/>
        </w:rPr>
        <w:t>▪</w:t>
        <w:tab/>
      </w:r>
      <w:r>
        <w:rPr>
          <w:rFonts w:ascii="Cambria" w:hAnsi="Cambria" w:eastAsia="Cambria"/>
          <w:b w:val="0"/>
          <w:i w:val="0"/>
          <w:sz w:val="22"/>
        </w:rPr>
        <w:t>Grant Year (if applicable)</w:t>
      </w:r>
    </w:p>
    <w:p>
      <w:pPr>
        <w:spacing w:after="40"/>
        <w:ind w:left="1644" w:hanging="357"/>
      </w:pPr>
      <w:r>
        <w:rPr>
          <w:rFonts w:ascii="Cambria" w:hAnsi="Cambria" w:eastAsia="Cambria"/>
          <w:b w:val="0"/>
          <w:i w:val="0"/>
          <w:sz w:val="22"/>
        </w:rPr>
        <w:t>▪</w:t>
        <w:tab/>
      </w:r>
      <w:r>
        <w:rPr>
          <w:rFonts w:ascii="Cambria" w:hAnsi="Cambria" w:eastAsia="Cambria"/>
          <w:b w:val="0"/>
          <w:i w:val="0"/>
          <w:sz w:val="22"/>
        </w:rPr>
        <w:t>Patent Number / Application Number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Jurisdiction: India &amp; International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specify where the patent was filed/granted:</w:t>
      </w:r>
    </w:p>
    <w:p>
      <w:pPr>
        <w:spacing w:after="40"/>
        <w:ind w:left="1644" w:hanging="357"/>
      </w:pPr>
      <w:r>
        <w:rPr>
          <w:rFonts w:ascii="Cambria" w:hAnsi="Cambria" w:eastAsia="Cambria"/>
          <w:b w:val="0"/>
          <w:i w:val="0"/>
          <w:sz w:val="22"/>
        </w:rPr>
        <w:t>▪</w:t>
        <w:tab/>
      </w:r>
      <w:r>
        <w:rPr>
          <w:rFonts w:ascii="Cambria" w:hAnsi="Cambria" w:eastAsia="Cambria"/>
          <w:b/>
          <w:i w:val="0"/>
          <w:sz w:val="22"/>
        </w:rPr>
        <w:t>IPO (Indian Patent Office)</w:t>
      </w:r>
      <w:r>
        <w:rPr>
          <w:rFonts w:ascii="Cambria" w:hAnsi="Cambria" w:eastAsia="Cambria"/>
          <w:b w:val="0"/>
          <w:i w:val="0"/>
          <w:sz w:val="22"/>
        </w:rPr>
        <w:t xml:space="preserve"> – domestic patents.</w:t>
      </w:r>
    </w:p>
    <w:p>
      <w:pPr>
        <w:spacing w:after="40"/>
        <w:ind w:left="1644" w:hanging="357"/>
      </w:pPr>
      <w:r>
        <w:rPr>
          <w:rFonts w:ascii="Cambria" w:hAnsi="Cambria" w:eastAsia="Cambria"/>
          <w:b w:val="0"/>
          <w:i w:val="0"/>
          <w:sz w:val="22"/>
        </w:rPr>
        <w:t>▪</w:t>
        <w:tab/>
      </w:r>
      <w:r>
        <w:rPr>
          <w:rFonts w:ascii="Cambria" w:hAnsi="Cambria" w:eastAsia="Cambria"/>
          <w:b/>
          <w:i w:val="0"/>
          <w:sz w:val="22"/>
        </w:rPr>
        <w:t>USPTO (United States Patent and Trademark Office)</w:t>
      </w:r>
      <w:r>
        <w:rPr>
          <w:rFonts w:ascii="Cambria" w:hAnsi="Cambria" w:eastAsia="Cambria"/>
          <w:b w:val="0"/>
          <w:i w:val="0"/>
          <w:sz w:val="22"/>
        </w:rPr>
        <w:t xml:space="preserve"> – US patents.</w:t>
      </w:r>
    </w:p>
    <w:p>
      <w:pPr>
        <w:spacing w:after="40"/>
        <w:ind w:left="1644" w:hanging="357"/>
      </w:pPr>
      <w:r>
        <w:rPr>
          <w:rFonts w:ascii="Cambria" w:hAnsi="Cambria" w:eastAsia="Cambria"/>
          <w:b w:val="0"/>
          <w:i w:val="0"/>
          <w:sz w:val="22"/>
        </w:rPr>
        <w:t>▪</w:t>
        <w:tab/>
      </w:r>
      <w:r>
        <w:rPr>
          <w:rFonts w:ascii="Cambria" w:hAnsi="Cambria" w:eastAsia="Cambria"/>
          <w:b/>
          <w:i w:val="0"/>
          <w:sz w:val="22"/>
        </w:rPr>
        <w:t>EPO (European Patent Office)</w:t>
      </w:r>
      <w:r>
        <w:rPr>
          <w:rFonts w:ascii="Cambria" w:hAnsi="Cambria" w:eastAsia="Cambria"/>
          <w:b w:val="0"/>
          <w:i w:val="0"/>
          <w:sz w:val="22"/>
        </w:rPr>
        <w:t xml:space="preserve"> – European patents.</w:t>
      </w:r>
    </w:p>
    <w:p>
      <w:pPr>
        <w:spacing w:after="40"/>
        <w:ind w:left="1644" w:hanging="357"/>
      </w:pPr>
      <w:r>
        <w:rPr>
          <w:rFonts w:ascii="Cambria" w:hAnsi="Cambria" w:eastAsia="Cambria"/>
          <w:b w:val="0"/>
          <w:i w:val="0"/>
          <w:sz w:val="22"/>
        </w:rPr>
        <w:t>▪</w:t>
        <w:tab/>
      </w:r>
      <w:r>
        <w:rPr>
          <w:rFonts w:ascii="Cambria" w:hAnsi="Cambria" w:eastAsia="Cambria"/>
          <w:b/>
          <w:i w:val="0"/>
          <w:sz w:val="22"/>
        </w:rPr>
        <w:t>WIPO (World Intellectual Property Organization)</w:t>
      </w:r>
      <w:r>
        <w:rPr>
          <w:rFonts w:ascii="Cambria" w:hAnsi="Cambria" w:eastAsia="Cambria"/>
          <w:b w:val="0"/>
          <w:i w:val="0"/>
          <w:sz w:val="22"/>
        </w:rPr>
        <w:t xml:space="preserve"> – International PCT filings.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Purpose:</w:t>
      </w:r>
    </w:p>
    <w:p>
      <w:pPr>
        <w:spacing w:after="40"/>
        <w:ind w:left="1644" w:hanging="357"/>
      </w:pPr>
      <w:r>
        <w:rPr>
          <w:rFonts w:ascii="Cambria" w:hAnsi="Cambria" w:eastAsia="Cambria"/>
          <w:b w:val="0"/>
          <w:i w:val="0"/>
          <w:sz w:val="22"/>
        </w:rPr>
        <w:t>▪</w:t>
        <w:tab/>
      </w:r>
      <w:r>
        <w:rPr>
          <w:rFonts w:ascii="Cambria" w:hAnsi="Cambria" w:eastAsia="Cambria"/>
          <w:b w:val="0"/>
          <w:i w:val="0"/>
          <w:sz w:val="22"/>
        </w:rPr>
        <w:t>Highlights the institution's global innovation footprint.</w:t>
      </w:r>
    </w:p>
    <w:p>
      <w:pPr>
        <w:spacing w:after="40"/>
        <w:ind w:left="1644" w:hanging="357"/>
      </w:pPr>
      <w:r>
        <w:rPr>
          <w:rFonts w:ascii="Cambria" w:hAnsi="Cambria" w:eastAsia="Cambria"/>
          <w:b w:val="0"/>
          <w:i w:val="0"/>
          <w:sz w:val="22"/>
        </w:rPr>
        <w:t>▪</w:t>
        <w:tab/>
      </w:r>
      <w:r>
        <w:rPr>
          <w:rFonts w:ascii="Cambria" w:hAnsi="Cambria" w:eastAsia="Cambria"/>
          <w:b w:val="0"/>
          <w:i w:val="0"/>
          <w:sz w:val="22"/>
        </w:rPr>
        <w:t>NIRF assigns higher weightage to granted patents and international patents.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Patent Certificates (for granted)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Verified through official grant certificate issued by the respective patent authority (IPO/USPTO/EPO/WIPO).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legal approval of intellectual property rights.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Publication Records (for published)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Verified through official publication record (patent gazette, IPO website, WIPO publication).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proof that the patent is filed and published but not yet granted.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IP Cell / TTO Records, Patent Office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IP Cell / Technology Transfer Office (TTO) maintains patent filing and grant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Cross-verification through: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IPO online database (India).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USPTO / EPO / WIPO databases for international patents.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authenticity and prevents duplication or inflated claims.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Patent data contributes to Research &amp; Professional Practice (RP)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Showcases the institution's innovation, industry relevance, and commercialization potential.</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Internationally granted patents are considered high-value indicators of global competitiveness.</w:t>
      </w:r>
    </w:p>
    <w:p>
      <w:r>
        <w:br w:type="page"/>
      </w:r>
    </w:p>
    <w:p>
      <w:pPr>
        <w:keepNext/>
        <w:spacing w:before="360" w:after="160"/>
      </w:pPr>
      <w:r>
        <w:rPr>
          <w:rFonts w:ascii="Cambria" w:hAnsi="Cambria" w:eastAsia="Cambria"/>
          <w:b/>
          <w:i w:val="0"/>
          <w:color w:val="1F3A5F"/>
          <w:sz w:val="36"/>
        </w:rPr>
        <w:t>18. Footprint of Projects and Professional Practice (FPPP)</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FPPP = FPR + FPC + EDP/MDP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FPR = 5 × f(RF)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RF = Average annual research funding earnings (grants received, institute-level)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FPC = 5 × f(CF)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CF = Average annual consultancy earnings (amount received from industry/clients, institute-level)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EDP/MDP = 5 × f(EP)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EP = Average annual earnings from Executive Development Programs / Management Development Programs in the last 3 years.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Research Funding Success (FPR –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for securing competitive research grants (Govt., industry, international).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ability to attract funding and sustain research ecosystem.</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Consultancy Engagements (FPC –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real-world problem solving for industry and government.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knowledge transfer and institution–industry partnerships.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Executive / Management Development Programs (EDP/MDP –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revenue from training executives, professionals, or government officers.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institution's role in continuing education and upskilling workforce.</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Research Funding (RF) = ₹15 Cr average / 3 years → f(RF) normalized to 0.9 → FPR = 5 × 0.9 = 4.5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Consultancy (CF) = ₹5 Cr average / 3 years → f(CF) normalized to 0.6 → FPC = 5 × 0.6 = 3</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Executive Programs (EP) = ₹2 Cr average / 3 years → f(EP) normalized to 0.5 → EDP = 5 × 0.5 = 2.5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FPPP = 4.5 + 3 + 2.5 = 10 Marks (out of 15)</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income from funded projects, consultancy, and executive training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amounts actually received (not sanctioned) should be reported.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Audited financial statements.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Grant sanction letters and utilization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Consultancy contracts and invoices.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EDP/MDP program fee receipts.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diversify beyond tuition fees.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industry partnerships and professional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Links academic institutions to economic and societal development.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capacity for applied research and knowledge commercialization.</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income from funded projects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Refers to financial support received from:</w:t>
      </w:r>
    </w:p>
    <w:p>
      <w:pPr>
        <w:spacing w:after="40"/>
        <w:ind w:left="1644" w:hanging="357"/>
      </w:pPr>
      <w:r>
        <w:rPr>
          <w:rFonts w:ascii="Cambria" w:hAnsi="Cambria" w:eastAsia="Cambria"/>
          <w:b w:val="0"/>
          <w:i w:val="0"/>
          <w:sz w:val="22"/>
        </w:rPr>
        <w:t>▪</w:t>
        <w:tab/>
      </w:r>
      <w:r>
        <w:rPr>
          <w:rFonts w:ascii="Cambria" w:hAnsi="Cambria" w:eastAsia="Cambria"/>
          <w:b w:val="0"/>
          <w:i w:val="0"/>
          <w:sz w:val="22"/>
        </w:rPr>
        <w:t>National agencies (DST, DBT, CSIR, UGC, AICTE, ICMR, SERB, etc.).</w:t>
      </w:r>
    </w:p>
    <w:p>
      <w:pPr>
        <w:spacing w:after="40"/>
        <w:ind w:left="1644" w:hanging="357"/>
      </w:pPr>
      <w:r>
        <w:rPr>
          <w:rFonts w:ascii="Cambria" w:hAnsi="Cambria" w:eastAsia="Cambria"/>
          <w:b w:val="0"/>
          <w:i w:val="0"/>
          <w:sz w:val="22"/>
        </w:rPr>
        <w:t>▪</w:t>
        <w:tab/>
      </w:r>
      <w:r>
        <w:rPr>
          <w:rFonts w:ascii="Cambria" w:hAnsi="Cambria" w:eastAsia="Cambria"/>
          <w:b w:val="0"/>
          <w:i w:val="0"/>
          <w:sz w:val="22"/>
        </w:rPr>
        <w:t>International funding agencies (World Bank, EU Horizon, Gates Foundation, NIH, etc.).</w:t>
      </w:r>
    </w:p>
    <w:p>
      <w:pPr>
        <w:spacing w:after="40"/>
        <w:ind w:left="1644" w:hanging="357"/>
      </w:pPr>
      <w:r>
        <w:rPr>
          <w:rFonts w:ascii="Cambria" w:hAnsi="Cambria" w:eastAsia="Cambria"/>
          <w:b w:val="0"/>
          <w:i w:val="0"/>
          <w:sz w:val="22"/>
        </w:rPr>
        <w:t>▪</w:t>
        <w:tab/>
      </w:r>
      <w:r>
        <w:rPr>
          <w:rFonts w:ascii="Cambria" w:hAnsi="Cambria" w:eastAsia="Cambria"/>
          <w:b w:val="0"/>
          <w:i w:val="0"/>
          <w:sz w:val="22"/>
        </w:rPr>
        <w:t>Industry-sponsored R&amp;D projects.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amounts actually received in a given year should be reported (not just sanctioned or approved).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both research grants and infrastructure development grants.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income from consultancy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Refers to payments received from industry, government, or organizations for consultancy services provided by faculty/institution.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May include:</w:t>
      </w:r>
    </w:p>
    <w:p>
      <w:pPr>
        <w:spacing w:after="40"/>
        <w:ind w:left="1644" w:hanging="357"/>
      </w:pPr>
      <w:r>
        <w:rPr>
          <w:rFonts w:ascii="Cambria" w:hAnsi="Cambria" w:eastAsia="Cambria"/>
          <w:b w:val="0"/>
          <w:i w:val="0"/>
          <w:sz w:val="22"/>
        </w:rPr>
        <w:t>▪</w:t>
        <w:tab/>
      </w:r>
      <w:r>
        <w:rPr>
          <w:rFonts w:ascii="Cambria" w:hAnsi="Cambria" w:eastAsia="Cambria"/>
          <w:b w:val="0"/>
          <w:i w:val="0"/>
          <w:sz w:val="22"/>
        </w:rPr>
        <w:t>Technical consultancy.</w:t>
      </w:r>
    </w:p>
    <w:p>
      <w:pPr>
        <w:spacing w:after="40"/>
        <w:ind w:left="1644" w:hanging="357"/>
      </w:pPr>
      <w:r>
        <w:rPr>
          <w:rFonts w:ascii="Cambria" w:hAnsi="Cambria" w:eastAsia="Cambria"/>
          <w:b w:val="0"/>
          <w:i w:val="0"/>
          <w:sz w:val="22"/>
        </w:rPr>
        <w:t>▪</w:t>
        <w:tab/>
      </w:r>
      <w:r>
        <w:rPr>
          <w:rFonts w:ascii="Cambria" w:hAnsi="Cambria" w:eastAsia="Cambria"/>
          <w:b w:val="0"/>
          <w:i w:val="0"/>
          <w:sz w:val="22"/>
        </w:rPr>
        <w:t>Advisory projects.</w:t>
      </w:r>
    </w:p>
    <w:p>
      <w:pPr>
        <w:spacing w:after="40"/>
        <w:ind w:left="1644" w:hanging="357"/>
      </w:pPr>
      <w:r>
        <w:rPr>
          <w:rFonts w:ascii="Cambria" w:hAnsi="Cambria" w:eastAsia="Cambria"/>
          <w:b w:val="0"/>
          <w:i w:val="0"/>
          <w:sz w:val="22"/>
        </w:rPr>
        <w:t>▪</w:t>
        <w:tab/>
      </w:r>
      <w:r>
        <w:rPr>
          <w:rFonts w:ascii="Cambria" w:hAnsi="Cambria" w:eastAsia="Cambria"/>
          <w:b w:val="0"/>
          <w:i w:val="0"/>
          <w:sz w:val="22"/>
        </w:rPr>
        <w:t>Testing and certification services.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Reported amount must reflect actual receipts, not projected or pending amounts.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income from executive training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Income generated from EDPs (Executive Development Programs) and MDPs (Management Development Programs) conducted for industry professionals.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training fees collected from participants, companies, or sponsoring agencies.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required: receipts and bank records of actual payments.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Audited financial statements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match institution's annual audited accounts.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reported numbers are authentic, approved by auditors, and traceable in institutional books.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Grant sanction letters and utilization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Sanction letter = Proof of grant approval.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Utilization certificate = Proof of actual use of funds and disbursement.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Together, they validate research funding received.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Consultancy contracts and invoices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Consultancy agreements signed between institution and client.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Payment invoices issued and corresponding receipts (bank statements).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authenticity of consultancy income.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EDP/MDP program fee receipts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Participant fee receipts, sponsoring organization payment slips, or institutional receipts.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Validates actual income from training programs.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Falls under Research &amp; Professional Practice (RP)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financial health, industry collaboration, and applied research capacity of the institution.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quality and transparency of reported income.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strong funded projects, consultancy, and training programs score higher in NIRF ranking.</w:t>
      </w:r>
    </w:p>
    <w:p>
      <w:r>
        <w:br w:type="page"/>
      </w:r>
    </w:p>
    <w:p>
      <w:pPr>
        <w:keepNext/>
        <w:spacing w:before="360" w:after="160"/>
      </w:pPr>
      <w:r>
        <w:rPr>
          <w:rFonts w:ascii="Cambria" w:hAnsi="Cambria" w:eastAsia="Cambria"/>
          <w:b/>
          <w:i w:val="0"/>
          <w:color w:val="1F3A5F"/>
          <w:sz w:val="36"/>
        </w:rPr>
        <w:t>19. Combined Metric for Publications &amp; Citations in SDGs (PSDGs)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PSDGs = 5 × f(PUSDG / FRQ) + 5 × f(CISDG / FRQ)</w:t>
      </w:r>
    </w:p>
    <w:p>
      <w:pPr>
        <w:spacing w:after="40" w:line="276" w:lineRule="auto"/>
      </w:pPr>
      <w:r>
        <w:rPr>
          <w:rFonts w:ascii="Cambria" w:hAnsi="Cambria" w:eastAsia="Cambria"/>
          <w:b/>
          <w:i w:val="0"/>
          <w:sz w:val="22"/>
        </w:rPr>
        <w:t>Where: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PUSDG = Weighted number of publications related to UN Sustainable Development Goals (SDGs) over the past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CISDG = Total citations of SDG-related publications over the past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 Faculty Reference Quantity = max(Nominal Faculty (based on FSR 1:15), Actual Faculty strength).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f(x) = Normalization function defined by NIRF, adjusting for size and discipline variations.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Publication Effort in SDG Themes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research output aligned with UN Sustainable Development Goals (SDGs) (e.g., climate action, health, clean energy, gender equity).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focus research on societal and global challenges.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Impact of SDG Research through Citations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visibility and recognition of SDG-related work.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whose SDG publications are cited and used globally.</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Reference Quantity (FRQ) = 500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PUSDG = 800 → PUSDG/FRQ = 1.6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CISDG = 12,000 → CISDG/FRQ = 24</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Suppose NIRF normalization caps full marks at PUSDG/FRQ ≥ 1.5 and CISDG/FRQ ≥ 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Publication Component = 5 × 1 = 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Component = 5 × 1 = 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PSDGs = 10 Marks (Full Score)</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Source: Scopus, Web of Science, Dimensions, or Elsevier's SDG mapping (used in THE Impact Rankings too).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Time Frame: Last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Bibliometric mapping to SDG keywords (e.g., renewable energy, public health).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Institution-specific author IDs to avoid false attribution.</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Indian higher education with global sustainability agendas.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universities to contribute solutions to climate change, poverty, health, equity, and environment.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Enhances visibility in international rankings (e.g., THE Impact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interdisciplinary collaboration.</w:t>
      </w:r>
    </w:p>
    <w:p>
      <w:pPr>
        <w:spacing w:after="40" w:line="276" w:lineRule="auto"/>
      </w:pPr>
      <w:r>
        <w:rPr>
          <w:rFonts w:ascii="Cambria" w:hAnsi="Cambria" w:eastAsia="Cambria"/>
          <w:b/>
          <w:i w:val="0"/>
          <w:sz w:val="22"/>
        </w:rPr>
        <w:t>Primary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Accepted Databases</w:t>
      </w:r>
    </w:p>
    <w:p>
      <w:pPr>
        <w:spacing w:after="40"/>
        <w:ind w:left="1644" w:hanging="357"/>
      </w:pPr>
      <w:r>
        <w:rPr>
          <w:rFonts w:ascii="Cambria" w:hAnsi="Cambria" w:eastAsia="Cambria"/>
          <w:b w:val="0"/>
          <w:i w:val="0"/>
          <w:sz w:val="22"/>
        </w:rPr>
        <w:t>▪</w:t>
        <w:tab/>
      </w:r>
      <w:r>
        <w:rPr>
          <w:rFonts w:ascii="Cambria" w:hAnsi="Cambria" w:eastAsia="Cambria"/>
          <w:b/>
          <w:i w:val="0"/>
          <w:sz w:val="22"/>
        </w:rPr>
        <w:t>Scopus (Elsevier)</w:t>
      </w:r>
      <w:r>
        <w:rPr>
          <w:rFonts w:ascii="Cambria" w:hAnsi="Cambria" w:eastAsia="Cambria"/>
          <w:b w:val="0"/>
          <w:i w:val="0"/>
          <w:sz w:val="22"/>
        </w:rPr>
        <w:t xml:space="preserve"> – Widely used for SDG bibliometric mapping.</w:t>
      </w:r>
    </w:p>
    <w:p>
      <w:pPr>
        <w:spacing w:after="40"/>
        <w:ind w:left="1644" w:hanging="357"/>
      </w:pPr>
      <w:r>
        <w:rPr>
          <w:rFonts w:ascii="Cambria" w:hAnsi="Cambria" w:eastAsia="Cambria"/>
          <w:b w:val="0"/>
          <w:i w:val="0"/>
          <w:sz w:val="22"/>
        </w:rPr>
        <w:t>▪</w:t>
        <w:tab/>
      </w:r>
      <w:r>
        <w:rPr>
          <w:rFonts w:ascii="Cambria" w:hAnsi="Cambria" w:eastAsia="Cambria"/>
          <w:b/>
          <w:i w:val="0"/>
          <w:sz w:val="22"/>
        </w:rPr>
        <w:t>Web of Science (WoS) (Clarivate)</w:t>
      </w:r>
      <w:r>
        <w:rPr>
          <w:rFonts w:ascii="Cambria" w:hAnsi="Cambria" w:eastAsia="Cambria"/>
          <w:b w:val="0"/>
          <w:i w:val="0"/>
          <w:sz w:val="22"/>
        </w:rPr>
        <w:t xml:space="preserve"> – Journal quality and citation tracking.</w:t>
      </w:r>
    </w:p>
    <w:p>
      <w:pPr>
        <w:spacing w:after="40"/>
        <w:ind w:left="1644" w:hanging="357"/>
      </w:pPr>
      <w:r>
        <w:rPr>
          <w:rFonts w:ascii="Cambria" w:hAnsi="Cambria" w:eastAsia="Cambria"/>
          <w:b w:val="0"/>
          <w:i w:val="0"/>
          <w:sz w:val="22"/>
        </w:rPr>
        <w:t>▪</w:t>
        <w:tab/>
      </w:r>
      <w:r>
        <w:rPr>
          <w:rFonts w:ascii="Cambria" w:hAnsi="Cambria" w:eastAsia="Cambria"/>
          <w:b/>
          <w:i w:val="0"/>
          <w:sz w:val="22"/>
        </w:rPr>
        <w:t>Dimensions (Digital Science)</w:t>
      </w:r>
      <w:r>
        <w:rPr>
          <w:rFonts w:ascii="Cambria" w:hAnsi="Cambria" w:eastAsia="Cambria"/>
          <w:b w:val="0"/>
          <w:i w:val="0"/>
          <w:sz w:val="22"/>
        </w:rPr>
        <w:t xml:space="preserve"> – Expanded coverage including policy, patents, grants.</w:t>
      </w:r>
    </w:p>
    <w:p>
      <w:pPr>
        <w:spacing w:after="40"/>
        <w:ind w:left="1644" w:hanging="357"/>
      </w:pPr>
      <w:r>
        <w:rPr>
          <w:rFonts w:ascii="Cambria" w:hAnsi="Cambria" w:eastAsia="Cambria"/>
          <w:b w:val="0"/>
          <w:i w:val="0"/>
          <w:sz w:val="22"/>
        </w:rPr>
        <w:t>▪</w:t>
        <w:tab/>
      </w:r>
      <w:r>
        <w:rPr>
          <w:rFonts w:ascii="Cambria" w:hAnsi="Cambria" w:eastAsia="Cambria"/>
          <w:b/>
          <w:i w:val="0"/>
          <w:sz w:val="22"/>
        </w:rPr>
        <w:t>Elsevier's SDG Mapping Tool</w:t>
      </w:r>
      <w:r>
        <w:rPr>
          <w:rFonts w:ascii="Cambria" w:hAnsi="Cambria" w:eastAsia="Cambria"/>
          <w:b w:val="0"/>
          <w:i w:val="0"/>
          <w:sz w:val="22"/>
        </w:rPr>
        <w:t xml:space="preserve"> – Same methodology used in THE Impact Rankings, links publications to UN Sustainable Development Goals (SDGs).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these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standardized and globally comparable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 inclusion of non-indexed or predatory publications.</w:t>
      </w:r>
    </w:p>
    <w:p>
      <w:pPr>
        <w:spacing w:after="40" w:line="276" w:lineRule="auto"/>
      </w:pPr>
      <w:r>
        <w:rPr>
          <w:rFonts w:ascii="Cambria" w:hAnsi="Cambria" w:eastAsia="Cambria"/>
          <w:b/>
          <w:i w:val="0"/>
          <w:sz w:val="22"/>
        </w:rPr>
        <w:t>Time Frame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Last 3 years only.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 For NIRF 2025 → publications from 2022, 2023, 2024 are considered.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Reason: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Keeps focus on recent contributions to SDG-related research.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institutions from inflating numbers with older, unrelated work.</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Bibliometric Mapping to SDG Keywords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publication is matched to SDG targets/keywords (e.g., SDG 3 → “public health,” SDG 7 → “renewable energy,” SDG 13 → “climate change mitigation”).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Databases like Scopus and Dimensions already provide SDG-tagged outputs.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validate by cross-checking keywords in abstracts, titles, and indexed terms.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Institution-Specific Author IDs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ensure publications are correctly attributed to the reporting institution:</w:t>
      </w:r>
    </w:p>
    <w:p>
      <w:pPr>
        <w:spacing w:after="40"/>
        <w:ind w:left="1644" w:hanging="357"/>
      </w:pPr>
      <w:r>
        <w:rPr>
          <w:rFonts w:ascii="Cambria" w:hAnsi="Cambria" w:eastAsia="Cambria"/>
          <w:b w:val="0"/>
          <w:i w:val="0"/>
          <w:sz w:val="22"/>
        </w:rPr>
        <w:t>▪</w:t>
        <w:tab/>
      </w:r>
      <w:r>
        <w:rPr>
          <w:rFonts w:ascii="Cambria" w:hAnsi="Cambria" w:eastAsia="Cambria"/>
          <w:b w:val="0"/>
          <w:i w:val="0"/>
          <w:sz w:val="22"/>
        </w:rPr>
        <w:t>Scopus Affiliation ID (unique to institution).</w:t>
      </w:r>
    </w:p>
    <w:p>
      <w:pPr>
        <w:spacing w:after="40"/>
        <w:ind w:left="1644" w:hanging="357"/>
      </w:pPr>
      <w:r>
        <w:rPr>
          <w:rFonts w:ascii="Cambria" w:hAnsi="Cambria" w:eastAsia="Cambria"/>
          <w:b w:val="0"/>
          <w:i w:val="0"/>
          <w:sz w:val="22"/>
        </w:rPr>
        <w:t>▪</w:t>
        <w:tab/>
      </w:r>
      <w:r>
        <w:rPr>
          <w:rFonts w:ascii="Cambria" w:hAnsi="Cambria" w:eastAsia="Cambria"/>
          <w:b w:val="0"/>
          <w:i w:val="0"/>
          <w:sz w:val="22"/>
        </w:rPr>
        <w:t>WoS Organization Enhanced ID.</w:t>
      </w:r>
    </w:p>
    <w:p>
      <w:pPr>
        <w:spacing w:after="40"/>
        <w:ind w:left="1644" w:hanging="357"/>
      </w:pPr>
      <w:r>
        <w:rPr>
          <w:rFonts w:ascii="Cambria" w:hAnsi="Cambria" w:eastAsia="Cambria"/>
          <w:b w:val="0"/>
          <w:i w:val="0"/>
          <w:sz w:val="22"/>
        </w:rPr>
        <w:t>▪</w:t>
        <w:tab/>
      </w:r>
      <w:r>
        <w:rPr>
          <w:rFonts w:ascii="Cambria" w:hAnsi="Cambria" w:eastAsia="Cambria"/>
          <w:b w:val="0"/>
          <w:i w:val="0"/>
          <w:sz w:val="22"/>
        </w:rPr>
        <w:t>Dimensions GRID/ROR ID.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errors such as:</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with similar names at different institutions.</w:t>
      </w:r>
    </w:p>
    <w:p>
      <w:pPr>
        <w:spacing w:after="40"/>
        <w:ind w:left="1644" w:hanging="357"/>
      </w:pPr>
      <w:r>
        <w:rPr>
          <w:rFonts w:ascii="Cambria" w:hAnsi="Cambria" w:eastAsia="Cambria"/>
          <w:b w:val="0"/>
          <w:i w:val="0"/>
          <w:sz w:val="22"/>
        </w:rPr>
        <w:t>▪</w:t>
        <w:tab/>
      </w:r>
      <w:r>
        <w:rPr>
          <w:rFonts w:ascii="Cambria" w:hAnsi="Cambria" w:eastAsia="Cambria"/>
          <w:b w:val="0"/>
          <w:i w:val="0"/>
          <w:sz w:val="22"/>
        </w:rPr>
        <w:t>Publications wrongly linked to the wrong campus.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provide these IDs to NIRF for accurate data extraction.</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with NEP 2020 and global benchmarking frameworks (THE Impact Rankings, QS Sustainability).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Highlights how institutions contribute to United Nations SDGs through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socially relevant and impactful research beyond academic output.</w:t>
      </w:r>
    </w:p>
    <w:p>
      <w:pPr>
        <w:keepNext/>
        <w:spacing w:before="360" w:after="160"/>
      </w:pPr>
      <w:r>
        <w:rPr>
          <w:rFonts w:ascii="Cambria" w:hAnsi="Cambria" w:eastAsia="Cambria"/>
          <w:b/>
          <w:i w:val="0"/>
          <w:color w:val="1F3A5F"/>
          <w:sz w:val="36"/>
        </w:rPr>
        <w:t>20. Graduation Outcomes (GO)</w:t>
      </w:r>
    </w:p>
    <w:p>
      <w:pPr>
        <w:keepNext/>
        <w:spacing w:before="200" w:after="100"/>
      </w:pPr>
      <w:r>
        <w:rPr>
          <w:rFonts w:ascii="Cambria" w:hAnsi="Cambria" w:eastAsia="Cambria"/>
          <w:b/>
          <w:i w:val="0"/>
          <w:color w:val="1F3A5F"/>
          <w:sz w:val="26"/>
        </w:rPr>
        <w:t>NIRF 2024 – Graduation Outcomes (GO) Breakdown</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S. No.</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Remarks</w:t>
            </w:r>
          </w:p>
        </w:tc>
      </w:tr>
      <w:tr>
        <w:tc>
          <w:tcPr>
            <w:tcW w:type="dxa" w:w="737"/>
          </w:tcPr>
          <w:p>
            <w:pPr>
              <w:spacing w:after="40" w:line="240" w:lineRule="auto"/>
              <w:jc w:val="left"/>
            </w:pPr>
            <w:r/>
            <w:r>
              <w:rPr>
                <w:rFonts w:ascii="Cambria" w:hAnsi="Cambria" w:eastAsia="Cambria"/>
                <w:b w:val="0"/>
                <w:i w:val="0"/>
                <w:sz w:val="22"/>
              </w:rPr>
              <w:t>3A</w:t>
            </w:r>
          </w:p>
        </w:tc>
        <w:tc>
          <w:tcPr>
            <w:tcW w:type="dxa" w:w="3572"/>
          </w:tcPr>
          <w:p>
            <w:pPr>
              <w:spacing w:after="40" w:line="240" w:lineRule="auto"/>
              <w:jc w:val="center"/>
            </w:pPr>
            <w:r/>
            <w:r>
              <w:rPr>
                <w:rFonts w:ascii="Cambria" w:hAnsi="Cambria" w:eastAsia="Cambria"/>
                <w:b w:val="0"/>
                <w:i w:val="0"/>
                <w:sz w:val="22"/>
              </w:rPr>
              <w:t>Metric for University Examinations (GUE)</w:t>
            </w:r>
          </w:p>
        </w:tc>
        <w:tc>
          <w:tcPr>
            <w:tcW w:type="dxa" w:w="850"/>
          </w:tcPr>
          <w:p>
            <w:pPr>
              <w:spacing w:after="40" w:line="240" w:lineRule="auto"/>
              <w:jc w:val="center"/>
            </w:pPr>
            <w:r/>
            <w:r>
              <w:rPr>
                <w:rFonts w:ascii="Cambria" w:hAnsi="Cambria" w:eastAsia="Cambria"/>
                <w:b w:val="0"/>
                <w:i w:val="0"/>
                <w:sz w:val="22"/>
              </w:rPr>
              <w:t>60</w:t>
            </w:r>
          </w:p>
        </w:tc>
        <w:tc>
          <w:tcPr>
            <w:tcW w:type="dxa" w:w="4252"/>
          </w:tcPr>
          <w:p>
            <w:pPr>
              <w:spacing w:after="40" w:line="240" w:lineRule="auto"/>
              <w:jc w:val="center"/>
            </w:pPr>
            <w:r/>
            <w:r>
              <w:rPr>
                <w:rFonts w:ascii="Cambria" w:hAnsi="Cambria" w:eastAsia="Cambria"/>
                <w:b w:val="0"/>
                <w:i w:val="0"/>
                <w:sz w:val="22"/>
              </w:rPr>
              <w:t>Measures student success in university-level examinations, progression, and performance indicators</w:t>
            </w:r>
          </w:p>
        </w:tc>
      </w:tr>
      <w:tr>
        <w:tc>
          <w:tcPr>
            <w:tcW w:type="dxa" w:w="737"/>
            <w:shd w:val="clear" w:color="auto" w:fill="DCE6F1"/>
          </w:tcPr>
          <w:p>
            <w:pPr>
              <w:spacing w:after="40" w:line="240" w:lineRule="auto"/>
              <w:jc w:val="left"/>
            </w:pPr>
            <w:r/>
            <w:r>
              <w:rPr>
                <w:rFonts w:ascii="Cambria" w:hAnsi="Cambria" w:eastAsia="Cambria"/>
                <w:b w:val="0"/>
                <w:i w:val="0"/>
                <w:sz w:val="22"/>
              </w:rPr>
              <w:t>3B</w:t>
            </w:r>
          </w:p>
        </w:tc>
        <w:tc>
          <w:tcPr>
            <w:tcW w:type="dxa" w:w="3572"/>
            <w:shd w:val="clear" w:color="auto" w:fill="DCE6F1"/>
          </w:tcPr>
          <w:p>
            <w:pPr>
              <w:spacing w:after="40" w:line="240" w:lineRule="auto"/>
              <w:jc w:val="center"/>
            </w:pPr>
            <w:r/>
            <w:r>
              <w:rPr>
                <w:rFonts w:ascii="Cambria" w:hAnsi="Cambria" w:eastAsia="Cambria"/>
                <w:b w:val="0"/>
                <w:i w:val="0"/>
                <w:sz w:val="22"/>
              </w:rPr>
              <w:t>Metric for Number of Ph.D. Students Graduated (GPHD)</w:t>
            </w:r>
          </w:p>
        </w:tc>
        <w:tc>
          <w:tcPr>
            <w:tcW w:type="dxa" w:w="850"/>
            <w:shd w:val="clear" w:color="auto" w:fill="DCE6F1"/>
          </w:tcPr>
          <w:p>
            <w:pPr>
              <w:spacing w:after="40" w:line="240" w:lineRule="auto"/>
              <w:jc w:val="center"/>
            </w:pPr>
            <w:r/>
            <w:r>
              <w:rPr>
                <w:rFonts w:ascii="Cambria" w:hAnsi="Cambria" w:eastAsia="Cambria"/>
                <w:b w:val="0"/>
                <w:i w:val="0"/>
                <w:sz w:val="22"/>
              </w:rPr>
              <w:t>40</w:t>
            </w:r>
          </w:p>
        </w:tc>
        <w:tc>
          <w:tcPr>
            <w:tcW w:type="dxa" w:w="4252"/>
            <w:shd w:val="clear" w:color="auto" w:fill="DCE6F1"/>
          </w:tcPr>
          <w:p>
            <w:pPr>
              <w:spacing w:after="40" w:line="240" w:lineRule="auto"/>
              <w:jc w:val="center"/>
            </w:pPr>
            <w:r/>
            <w:r>
              <w:rPr>
                <w:rFonts w:ascii="Cambria" w:hAnsi="Cambria" w:eastAsia="Cambria"/>
                <w:b w:val="0"/>
                <w:i w:val="0"/>
                <w:sz w:val="22"/>
              </w:rPr>
              <w:t>Captures doctoral research output by assessing the number of Ph.D. students successfully graduating</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overall contribution = 20% of NIRF Score</w:t>
            </w:r>
          </w:p>
        </w:tc>
      </w:tr>
    </w:tbl>
    <w:p>
      <w:pPr>
        <w:spacing w:after="40" w:line="276" w:lineRule="auto"/>
      </w:pPr>
      <w:r>
        <w:rPr>
          <w:rFonts w:ascii="Cambria" w:hAnsi="Cambria" w:eastAsia="Cambria"/>
          <w:b/>
          <w:i/>
          <w:sz w:val="22"/>
        </w:rPr>
        <w:t>A. Metric for University Examinations (GUE) – 60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Success of students in university examinations at the UG and PG levels.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Indicators include pass percentages, on-time graduations, and academic progression.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the academic effectiveness of teaching-learning systems.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 graduation rates show strong student support, quality teaching, and effective assessment systems.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consistent examination performance build trust in academic quality and student success rates.</w:t>
      </w:r>
    </w:p>
    <w:p>
      <w:pPr>
        <w:spacing w:after="40" w:line="276" w:lineRule="auto"/>
      </w:pPr>
      <w:r>
        <w:rPr>
          <w:rFonts w:ascii="Cambria" w:hAnsi="Cambria" w:eastAsia="Cambria"/>
          <w:b/>
          <w:i/>
          <w:sz w:val="22"/>
        </w:rPr>
        <w:t>B. Metric for Number of Ph.D. Students Graduated (GPHD) – 40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doctoral candidates successfully graduating in a given period.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the capacity of an institution to produce trained researchers.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Doctoral graduates are central to the research ecosystem of India.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They contribute to publications, innovation, and industry-academia collaborations.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higher number of Ph.D. graduates signals strong research infrastructure, faculty guidance, and global competitiveness.</w:t>
      </w:r>
    </w:p>
    <w:p>
      <w:pPr>
        <w:spacing w:after="40" w:line="276" w:lineRule="auto"/>
      </w:pPr>
      <w:r>
        <w:rPr>
          <w:rFonts w:ascii="Cambria" w:hAnsi="Cambria" w:eastAsia="Cambria"/>
          <w:b/>
          <w:i w:val="0"/>
          <w:sz w:val="22"/>
        </w:rPr>
        <w:t>Overall Significance of GO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contributes 20% to the NIRF ranking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serves as a direct measure of institutional effectiveness in producing successful graduates at both academic and research levels.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Balanced focus: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GUE (60%) → captures general student academic success.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GPHD (40%) → emphasizes advanced research training and doctoral output.</w:t>
      </w:r>
    </w:p>
    <w:p>
      <w:r>
        <w:br w:type="page"/>
      </w:r>
    </w:p>
    <w:p>
      <w:pPr>
        <w:keepNext/>
        <w:spacing w:before="360" w:after="160"/>
      </w:pPr>
      <w:r>
        <w:rPr>
          <w:rFonts w:ascii="Cambria" w:hAnsi="Cambria" w:eastAsia="Cambria"/>
          <w:b/>
          <w:i w:val="0"/>
          <w:color w:val="1F3A5F"/>
          <w:sz w:val="36"/>
        </w:rPr>
        <w:t>21. Metric for University Examinations (GUE)</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GUE = 60 × min[(Ng / 80), 1]</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Ng = Percentage of Students (as a fraction of approved intake), averaged over the previous 3 years, passing the respective university examinations in the stipulated time.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Stipulated time = Normal duration of the program (e.g., 3 years for UG, 2 years for PG).</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Student Success in Exams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academic performance and progression.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 GUE indicates students are completing programs on time.</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Retention &amp; Efficiency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where students graduate within the prescribed duration.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Penalizes institutions with delays, dropouts, or poor exam results.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Quality of Teaching &amp; Learning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Indirectly reflects effectiveness of faculty quality, pedagogy, curriculum delivery, and academic support systems.</w:t>
      </w:r>
    </w:p>
    <w:p>
      <w:pPr>
        <w:spacing w:after="40" w:line="276" w:lineRule="auto"/>
      </w:pPr>
      <w:r>
        <w:rPr>
          <w:rFonts w:ascii="Cambria" w:hAnsi="Cambria" w:eastAsia="Cambria"/>
          <w:b/>
          <w:i w:val="0"/>
          <w:sz w:val="22"/>
        </w:rPr>
        <w:t>Scoring Logic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Ng ≥ 80% → Full 60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Ng &lt; 80% → Proportionally reduced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Ng Example Calculation: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Approved Intake (3 years average) = 1,000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Graduated on Time = 750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Ng = (750 / 1000) × 100 = 75%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GUE = 60 × (75/80) = 56.25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Approved intake for UG/PG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students graduated in stipulated time (year-wise for past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University exam results, graduation lists, convocation reports, annual reports.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are not only admitting students but also graduating them successfully.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academic efficiency, governance, and student support systems.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Provides an outcome-based measure of teaching-learning quality.</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Approved intake for UG/PG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submit the sanctioned intake capacity for each UG and PG program.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refers to the number of seats approved by statutory/regulatory bodies (AICTE, UGC, PCI, COA, INC, MCI/NMC,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should be provided program-wise and year-wise.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Important because graduation performance is evaluated relative to intake size (capacity utilization).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Number of students graduated in stipulated time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report actual number of students graduating from UG/PG programs within the prescribed duration: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UG (3-year/4-year program depending on discipline).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PG (2-year or discipline-specific duration).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Reported year-wise for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Focus is on students who completed within the minimum stipulated duration, not those with delays/extensions.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University Exam Results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result records from the affiliating university or autonomous examination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the pass-out numbers for each batch.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Graduation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Department-wise or program-wise lists of graduating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roll numbers, registration numbers, or student IDs.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Convocation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reports from university/college convocations where degrees were awarded.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Often include the exact number of graduating students.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Annual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annual reports (submitted to governing bodies) include graduation statistics.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consolidated numbers for verification.</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Forms part of the Graduation Outcomes (GO)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student success rates, efficiency of academic delivery, and program credibility.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high graduation rates in stipulated time demonstrate academic quality and effective student support.</w:t>
      </w:r>
    </w:p>
    <w:p>
      <w:r>
        <w:br w:type="page"/>
      </w:r>
    </w:p>
    <w:p>
      <w:pPr>
        <w:keepNext/>
        <w:spacing w:before="360" w:after="160"/>
      </w:pPr>
      <w:r>
        <w:rPr>
          <w:rFonts w:ascii="Cambria" w:hAnsi="Cambria" w:eastAsia="Cambria"/>
          <w:b/>
          <w:i w:val="0"/>
          <w:color w:val="1F3A5F"/>
          <w:sz w:val="36"/>
        </w:rPr>
        <w:t>22. Metric for Ph.D. Graduates (GPHD)</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GPHD = 40 × f(Nphd)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Nphd = Average number of Ph.D. students graduated (awarded degree) over the previous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f(Nphd): A function defined by NIRF to normalize scores, ensuring comparability across institutions of different sizes.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Research Output via Human Capital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how many doctoral scholars successfully completed their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key measure of institutional contribution to advanced research and innovation.</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Sustainability of Research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consistently graduating Ph.D. students demonstrate strong faculty supervision, infrastructure, and funding ecosystems.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Alignment with National Goals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Supports India's push to increase Ph.D. graduates under NEP 2020.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Enhances the knowledge economy and research workforce.</w:t>
      </w:r>
    </w:p>
    <w:p>
      <w:pPr>
        <w:spacing w:after="40" w:line="276" w:lineRule="auto"/>
      </w:pPr>
      <w:r>
        <w:rPr>
          <w:rFonts w:ascii="Cambria" w:hAnsi="Cambria" w:eastAsia="Cambria"/>
          <w:b/>
          <w:i w:val="0"/>
          <w:sz w:val="22"/>
        </w:rPr>
        <w:t>Scoring Logic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Higher average Ph.D. graduations → higher GPHD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 example (illustrative only):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average Ph.D. graduates ≥ benchmark (say 100 per year), institution may score full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below benchmark, marks are proportionally scaled.</w:t>
      </w:r>
    </w:p>
    <w:p>
      <w:pPr>
        <w:spacing w:after="40" w:line="276" w:lineRule="auto"/>
      </w:pPr>
      <w:r>
        <w:rPr>
          <w:rFonts w:ascii="Cambria" w:hAnsi="Cambria" w:eastAsia="Cambria"/>
          <w:b/>
          <w:i w:val="0"/>
          <w:sz w:val="22"/>
        </w:rPr>
        <w:t>Example Calculation: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Ph.D. Graduates over 3 years = [60, 70, 80]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Nphd = (60 + 70 + 80) / 3 = 70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f(Nphd) = (Nphd / 100) capped at 1, then GPHD = 40 × (70/100) = 28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Ph.D. students graduating in each of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Source: Annual Reports, Convocation Reports, University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Cross-verified against degree award records, doctoral committee minutes, or official convocation lists.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 doctoral research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timely completion support (mentorship, funding, infrastructure).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 with global best practices in research productivity.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Acts as a key differentiator for research-intensive institutions vs teaching-focused colleges.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Number of Ph.D. students graduating in each of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report the count of Ph.D. degrees awarded (not admissions, enrollments, or thesis submissions).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data for the last 3 academic years is required.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Details should include:</w:t>
      </w:r>
    </w:p>
    <w:p>
      <w:pPr>
        <w:spacing w:after="40"/>
        <w:ind w:left="1644" w:hanging="357"/>
      </w:pPr>
      <w:r>
        <w:rPr>
          <w:rFonts w:ascii="Cambria" w:hAnsi="Cambria" w:eastAsia="Cambria"/>
          <w:b w:val="0"/>
          <w:i w:val="0"/>
          <w:sz w:val="22"/>
        </w:rPr>
        <w:t>▪</w:t>
        <w:tab/>
      </w:r>
      <w:r>
        <w:rPr>
          <w:rFonts w:ascii="Cambria" w:hAnsi="Cambria" w:eastAsia="Cambria"/>
          <w:b w:val="0"/>
          <w:i w:val="0"/>
          <w:sz w:val="22"/>
        </w:rPr>
        <w:t>Student Name / Registration Number.</w:t>
      </w:r>
    </w:p>
    <w:p>
      <w:pPr>
        <w:spacing w:after="40"/>
        <w:ind w:left="1644" w:hanging="357"/>
      </w:pPr>
      <w:r>
        <w:rPr>
          <w:rFonts w:ascii="Cambria" w:hAnsi="Cambria" w:eastAsia="Cambria"/>
          <w:b w:val="0"/>
          <w:i w:val="0"/>
          <w:sz w:val="22"/>
        </w:rPr>
        <w:t>▪</w:t>
        <w:tab/>
      </w:r>
      <w:r>
        <w:rPr>
          <w:rFonts w:ascii="Cambria" w:hAnsi="Cambria" w:eastAsia="Cambria"/>
          <w:b w:val="0"/>
          <w:i w:val="0"/>
          <w:sz w:val="22"/>
        </w:rPr>
        <w:t>Department / Discipline.</w:t>
      </w:r>
    </w:p>
    <w:p>
      <w:pPr>
        <w:spacing w:after="40"/>
        <w:ind w:left="1644" w:hanging="357"/>
      </w:pPr>
      <w:r>
        <w:rPr>
          <w:rFonts w:ascii="Cambria" w:hAnsi="Cambria" w:eastAsia="Cambria"/>
          <w:b w:val="0"/>
          <w:i w:val="0"/>
          <w:sz w:val="22"/>
        </w:rPr>
        <w:t>▪</w:t>
        <w:tab/>
      </w:r>
      <w:r>
        <w:rPr>
          <w:rFonts w:ascii="Cambria" w:hAnsi="Cambria" w:eastAsia="Cambria"/>
          <w:b w:val="0"/>
          <w:i w:val="0"/>
          <w:sz w:val="22"/>
        </w:rPr>
        <w:t>Title of Thesis.</w:t>
      </w:r>
    </w:p>
    <w:p>
      <w:pPr>
        <w:spacing w:after="40"/>
        <w:ind w:left="1644" w:hanging="357"/>
      </w:pPr>
      <w:r>
        <w:rPr>
          <w:rFonts w:ascii="Cambria" w:hAnsi="Cambria" w:eastAsia="Cambria"/>
          <w:b w:val="0"/>
          <w:i w:val="0"/>
          <w:sz w:val="22"/>
        </w:rPr>
        <w:t>▪</w:t>
        <w:tab/>
      </w:r>
      <w:r>
        <w:rPr>
          <w:rFonts w:ascii="Cambria" w:hAnsi="Cambria" w:eastAsia="Cambria"/>
          <w:b w:val="0"/>
          <w:i w:val="0"/>
          <w:sz w:val="22"/>
        </w:rPr>
        <w:t>Date of Viva-Voce / Final Defense.</w:t>
      </w:r>
    </w:p>
    <w:p>
      <w:pPr>
        <w:spacing w:after="40"/>
        <w:ind w:left="1644" w:hanging="357"/>
      </w:pPr>
      <w:r>
        <w:rPr>
          <w:rFonts w:ascii="Cambria" w:hAnsi="Cambria" w:eastAsia="Cambria"/>
          <w:b w:val="0"/>
          <w:i w:val="0"/>
          <w:sz w:val="22"/>
        </w:rPr>
        <w:t>▪</w:t>
        <w:tab/>
      </w:r>
      <w:r>
        <w:rPr>
          <w:rFonts w:ascii="Cambria" w:hAnsi="Cambria" w:eastAsia="Cambria"/>
          <w:b w:val="0"/>
          <w:i w:val="0"/>
          <w:sz w:val="22"/>
        </w:rPr>
        <w:t>Date of Degree Award / Convocation.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those whose degrees were officially awarded are counted.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Source Documents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Annual Reports</w:t>
      </w:r>
      <w:r>
        <w:rPr>
          <w:rFonts w:ascii="Cambria" w:hAnsi="Cambria" w:eastAsia="Cambria"/>
          <w:b w:val="0"/>
          <w:i w:val="0"/>
          <w:sz w:val="22"/>
        </w:rPr>
        <w:t xml:space="preserve"> – contain consolidated data on research output including doctoral completions.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Convocation Reports</w:t>
      </w:r>
      <w:r>
        <w:rPr>
          <w:rFonts w:ascii="Cambria" w:hAnsi="Cambria" w:eastAsia="Cambria"/>
          <w:b w:val="0"/>
          <w:i w:val="0"/>
          <w:sz w:val="22"/>
        </w:rPr>
        <w:t xml:space="preserve"> – official listing of students receiving Ph.D. degrees.</w:t>
      </w:r>
    </w:p>
    <w:p>
      <w:pPr>
        <w:spacing w:line="276" w:lineRule="auto" w:after="80"/>
        <w:ind w:left="794" w:hanging="357"/>
      </w:pPr>
      <w:r>
        <w:rPr>
          <w:rFonts w:ascii="Cambria" w:hAnsi="Cambria" w:eastAsia="Cambria"/>
          <w:b w:val="0"/>
          <w:i w:val="0"/>
          <w:sz w:val="22"/>
        </w:rPr>
        <w:t>o</w:t>
        <w:tab/>
      </w:r>
      <w:r>
        <w:rPr>
          <w:rFonts w:ascii="Cambria" w:hAnsi="Cambria" w:eastAsia="Cambria"/>
          <w:b/>
          <w:i w:val="0"/>
          <w:sz w:val="22"/>
        </w:rPr>
        <w:t>University Records</w:t>
      </w:r>
      <w:r>
        <w:rPr>
          <w:rFonts w:ascii="Cambria" w:hAnsi="Cambria" w:eastAsia="Cambria"/>
          <w:b w:val="0"/>
          <w:i w:val="0"/>
          <w:sz w:val="22"/>
        </w:rPr>
        <w:t xml:space="preserve"> – maintained by Controller of Examinations / Academic Council.</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Cross-verification against degree award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Ph.D. award registers maintained by the university.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accuracy and prevents inclusion of incomplete theses.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Doctoral Committee Minutes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Departmental or institutional doctoral committees approve thesis defense and recommend degree award.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as supporting evidence.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Official Convocation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Final and most authentic source, as these lists are published during convocation ceremonies.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Contain roll numbers, thesis titles, and awarding dates.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Directly feeds into the Graduation Outcomes (GO) metric, specifically GPHD (Number of Ph.D. Students Graduated).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Strong indicator of research culture, doctoral supervision quality, and institutional contribution to knowledge generation.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 and consistent Ph.D. output is a major positive factor in ranking.</w:t>
      </w:r>
    </w:p>
    <w:p>
      <w:r>
        <w:br w:type="page"/>
      </w:r>
    </w:p>
    <w:p>
      <w:pPr>
        <w:keepNext/>
        <w:spacing w:before="360" w:after="160"/>
      </w:pPr>
      <w:r>
        <w:rPr>
          <w:rFonts w:ascii="Cambria" w:hAnsi="Cambria" w:eastAsia="Cambria"/>
          <w:b/>
          <w:i w:val="0"/>
          <w:color w:val="1F3A5F"/>
          <w:sz w:val="36"/>
        </w:rPr>
        <w:t>23. Outreach &amp; Inclusivity (OI)</w:t>
      </w:r>
    </w:p>
    <w:p>
      <w:pPr>
        <w:keepNext/>
        <w:spacing w:before="200" w:after="100"/>
      </w:pPr>
      <w:r>
        <w:rPr>
          <w:rFonts w:ascii="Cambria" w:hAnsi="Cambria" w:eastAsia="Cambria"/>
          <w:b/>
          <w:i w:val="0"/>
          <w:color w:val="1F3A5F"/>
          <w:sz w:val="26"/>
        </w:rPr>
        <w:t>NIRF 2024 – Outreach &amp; Inclusivity (OI) Breakdown</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S. No.</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Remarks</w:t>
            </w:r>
          </w:p>
        </w:tc>
      </w:tr>
      <w:tr>
        <w:tc>
          <w:tcPr>
            <w:tcW w:type="dxa" w:w="737"/>
          </w:tcPr>
          <w:p>
            <w:pPr>
              <w:spacing w:after="40" w:line="240" w:lineRule="auto"/>
              <w:jc w:val="left"/>
            </w:pPr>
            <w:r/>
            <w:r>
              <w:rPr>
                <w:rFonts w:ascii="Cambria" w:hAnsi="Cambria" w:eastAsia="Cambria"/>
                <w:b w:val="0"/>
                <w:i w:val="0"/>
                <w:sz w:val="22"/>
              </w:rPr>
              <w:t>4A</w:t>
            </w:r>
          </w:p>
        </w:tc>
        <w:tc>
          <w:tcPr>
            <w:tcW w:type="dxa" w:w="3572"/>
          </w:tcPr>
          <w:p>
            <w:pPr>
              <w:spacing w:after="40" w:line="240" w:lineRule="auto"/>
              <w:jc w:val="center"/>
            </w:pPr>
            <w:r/>
            <w:r>
              <w:rPr>
                <w:rFonts w:ascii="Cambria" w:hAnsi="Cambria" w:eastAsia="Cambria"/>
                <w:b w:val="0"/>
                <w:i w:val="0"/>
                <w:sz w:val="22"/>
              </w:rPr>
              <w:t>Percentage of Students from Other States / Countries (Regional Diversity – RD)</w:t>
            </w:r>
          </w:p>
        </w:tc>
        <w:tc>
          <w:tcPr>
            <w:tcW w:type="dxa" w:w="850"/>
          </w:tcPr>
          <w:p>
            <w:pPr>
              <w:spacing w:after="40" w:line="240" w:lineRule="auto"/>
              <w:jc w:val="center"/>
            </w:pPr>
            <w:r/>
            <w:r>
              <w:rPr>
                <w:rFonts w:ascii="Cambria" w:hAnsi="Cambria" w:eastAsia="Cambria"/>
                <w:b w:val="0"/>
                <w:i w:val="0"/>
                <w:sz w:val="22"/>
              </w:rPr>
              <w:t>30</w:t>
            </w:r>
          </w:p>
        </w:tc>
        <w:tc>
          <w:tcPr>
            <w:tcW w:type="dxa" w:w="4252"/>
          </w:tcPr>
          <w:p>
            <w:pPr>
              <w:spacing w:after="40" w:line="240" w:lineRule="auto"/>
              <w:jc w:val="center"/>
            </w:pPr>
            <w:r/>
            <w:r>
              <w:rPr>
                <w:rFonts w:ascii="Cambria" w:hAnsi="Cambria" w:eastAsia="Cambria"/>
                <w:b w:val="0"/>
                <w:i w:val="0"/>
                <w:sz w:val="22"/>
              </w:rPr>
              <w:t>Captures geographic diversity by measuring the proportion of students from outside the home state or country</w:t>
            </w:r>
          </w:p>
        </w:tc>
      </w:tr>
      <w:tr>
        <w:tc>
          <w:tcPr>
            <w:tcW w:type="dxa" w:w="737"/>
            <w:shd w:val="clear" w:color="auto" w:fill="DCE6F1"/>
          </w:tcPr>
          <w:p>
            <w:pPr>
              <w:spacing w:after="40" w:line="240" w:lineRule="auto"/>
              <w:jc w:val="left"/>
            </w:pPr>
            <w:r/>
            <w:r>
              <w:rPr>
                <w:rFonts w:ascii="Cambria" w:hAnsi="Cambria" w:eastAsia="Cambria"/>
                <w:b w:val="0"/>
                <w:i w:val="0"/>
                <w:sz w:val="22"/>
              </w:rPr>
              <w:t>4B</w:t>
            </w:r>
          </w:p>
        </w:tc>
        <w:tc>
          <w:tcPr>
            <w:tcW w:type="dxa" w:w="3572"/>
            <w:shd w:val="clear" w:color="auto" w:fill="DCE6F1"/>
          </w:tcPr>
          <w:p>
            <w:pPr>
              <w:spacing w:after="40" w:line="240" w:lineRule="auto"/>
              <w:jc w:val="center"/>
            </w:pPr>
            <w:r/>
            <w:r>
              <w:rPr>
                <w:rFonts w:ascii="Cambria" w:hAnsi="Cambria" w:eastAsia="Cambria"/>
                <w:b w:val="0"/>
                <w:i w:val="0"/>
                <w:sz w:val="22"/>
              </w:rPr>
              <w:t>Percentage of Women (Women Diversity – WD)</w:t>
            </w:r>
          </w:p>
        </w:tc>
        <w:tc>
          <w:tcPr>
            <w:tcW w:type="dxa" w:w="850"/>
            <w:shd w:val="clear" w:color="auto" w:fill="DCE6F1"/>
          </w:tcPr>
          <w:p>
            <w:pPr>
              <w:spacing w:after="40" w:line="240" w:lineRule="auto"/>
              <w:jc w:val="center"/>
            </w:pPr>
            <w:r/>
            <w:r>
              <w:rPr>
                <w:rFonts w:ascii="Cambria" w:hAnsi="Cambria" w:eastAsia="Cambria"/>
                <w:b w:val="0"/>
                <w:i w:val="0"/>
                <w:sz w:val="22"/>
              </w:rPr>
              <w:t>30</w:t>
            </w:r>
          </w:p>
        </w:tc>
        <w:tc>
          <w:tcPr>
            <w:tcW w:type="dxa" w:w="4252"/>
            <w:shd w:val="clear" w:color="auto" w:fill="DCE6F1"/>
          </w:tcPr>
          <w:p>
            <w:pPr>
              <w:spacing w:after="40" w:line="240" w:lineRule="auto"/>
              <w:jc w:val="center"/>
            </w:pPr>
            <w:r/>
            <w:r>
              <w:rPr>
                <w:rFonts w:ascii="Cambria" w:hAnsi="Cambria" w:eastAsia="Cambria"/>
                <w:b w:val="0"/>
                <w:i w:val="0"/>
                <w:sz w:val="22"/>
              </w:rPr>
              <w:t>Reflects gender diversity in enrollment, faculty, and leadership roles</w:t>
            </w:r>
          </w:p>
        </w:tc>
      </w:tr>
      <w:tr>
        <w:tc>
          <w:tcPr>
            <w:tcW w:type="dxa" w:w="737"/>
          </w:tcPr>
          <w:p>
            <w:pPr>
              <w:spacing w:after="40" w:line="240" w:lineRule="auto"/>
              <w:jc w:val="left"/>
            </w:pPr>
            <w:r/>
            <w:r>
              <w:rPr>
                <w:rFonts w:ascii="Cambria" w:hAnsi="Cambria" w:eastAsia="Cambria"/>
                <w:b w:val="0"/>
                <w:i w:val="0"/>
                <w:sz w:val="22"/>
              </w:rPr>
              <w:t>4C</w:t>
            </w:r>
          </w:p>
        </w:tc>
        <w:tc>
          <w:tcPr>
            <w:tcW w:type="dxa" w:w="3572"/>
          </w:tcPr>
          <w:p>
            <w:pPr>
              <w:spacing w:after="40" w:line="240" w:lineRule="auto"/>
              <w:jc w:val="center"/>
            </w:pPr>
            <w:r/>
            <w:r>
              <w:rPr>
                <w:rFonts w:ascii="Cambria" w:hAnsi="Cambria" w:eastAsia="Cambria"/>
                <w:b w:val="0"/>
                <w:i w:val="0"/>
                <w:sz w:val="22"/>
              </w:rPr>
              <w:t>Economically and Socially Challenged Students (ESCS)</w:t>
            </w:r>
          </w:p>
        </w:tc>
        <w:tc>
          <w:tcPr>
            <w:tcW w:type="dxa" w:w="850"/>
          </w:tcPr>
          <w:p>
            <w:pPr>
              <w:spacing w:after="40" w:line="240" w:lineRule="auto"/>
              <w:jc w:val="center"/>
            </w:pPr>
            <w:r/>
            <w:r>
              <w:rPr>
                <w:rFonts w:ascii="Cambria" w:hAnsi="Cambria" w:eastAsia="Cambria"/>
                <w:b w:val="0"/>
                <w:i w:val="0"/>
                <w:sz w:val="22"/>
              </w:rPr>
              <w:t>20</w:t>
            </w:r>
          </w:p>
        </w:tc>
        <w:tc>
          <w:tcPr>
            <w:tcW w:type="dxa" w:w="4252"/>
          </w:tcPr>
          <w:p>
            <w:pPr>
              <w:spacing w:after="40" w:line="240" w:lineRule="auto"/>
              <w:jc w:val="center"/>
            </w:pPr>
            <w:r/>
            <w:r>
              <w:rPr>
                <w:rFonts w:ascii="Cambria" w:hAnsi="Cambria" w:eastAsia="Cambria"/>
                <w:b w:val="0"/>
                <w:i w:val="0"/>
                <w:sz w:val="22"/>
              </w:rPr>
              <w:t>Measures access and support for disadvantaged groups (scholarships, fee waivers, reservations)</w:t>
            </w:r>
          </w:p>
        </w:tc>
      </w:tr>
      <w:tr>
        <w:tc>
          <w:tcPr>
            <w:tcW w:type="dxa" w:w="737"/>
            <w:shd w:val="clear" w:color="auto" w:fill="DCE6F1"/>
          </w:tcPr>
          <w:p>
            <w:pPr>
              <w:spacing w:after="40" w:line="240" w:lineRule="auto"/>
              <w:jc w:val="left"/>
            </w:pPr>
            <w:r/>
            <w:r>
              <w:rPr>
                <w:rFonts w:ascii="Cambria" w:hAnsi="Cambria" w:eastAsia="Cambria"/>
                <w:b w:val="0"/>
                <w:i w:val="0"/>
                <w:sz w:val="22"/>
              </w:rPr>
              <w:t>4D</w:t>
            </w:r>
          </w:p>
        </w:tc>
        <w:tc>
          <w:tcPr>
            <w:tcW w:type="dxa" w:w="3572"/>
            <w:shd w:val="clear" w:color="auto" w:fill="DCE6F1"/>
          </w:tcPr>
          <w:p>
            <w:pPr>
              <w:spacing w:after="40" w:line="240" w:lineRule="auto"/>
              <w:jc w:val="center"/>
            </w:pPr>
            <w:r/>
            <w:r>
              <w:rPr>
                <w:rFonts w:ascii="Cambria" w:hAnsi="Cambria" w:eastAsia="Cambria"/>
                <w:b w:val="0"/>
                <w:i w:val="0"/>
                <w:sz w:val="22"/>
              </w:rPr>
              <w:t>Facilities for Physically Challenged Students (PCS)</w:t>
            </w:r>
          </w:p>
        </w:tc>
        <w:tc>
          <w:tcPr>
            <w:tcW w:type="dxa" w:w="850"/>
            <w:shd w:val="clear" w:color="auto" w:fill="DCE6F1"/>
          </w:tcPr>
          <w:p>
            <w:pPr>
              <w:spacing w:after="40" w:line="240" w:lineRule="auto"/>
              <w:jc w:val="center"/>
            </w:pPr>
            <w:r/>
            <w:r>
              <w:rPr>
                <w:rFonts w:ascii="Cambria" w:hAnsi="Cambria" w:eastAsia="Cambria"/>
                <w:b w:val="0"/>
                <w:i w:val="0"/>
                <w:sz w:val="22"/>
              </w:rPr>
              <w:t>20</w:t>
            </w:r>
          </w:p>
        </w:tc>
        <w:tc>
          <w:tcPr>
            <w:tcW w:type="dxa" w:w="4252"/>
            <w:shd w:val="clear" w:color="auto" w:fill="DCE6F1"/>
          </w:tcPr>
          <w:p>
            <w:pPr>
              <w:spacing w:after="40" w:line="240" w:lineRule="auto"/>
              <w:jc w:val="center"/>
            </w:pPr>
            <w:r/>
            <w:r>
              <w:rPr>
                <w:rFonts w:ascii="Cambria" w:hAnsi="Cambria" w:eastAsia="Cambria"/>
                <w:b w:val="0"/>
                <w:i w:val="0"/>
                <w:sz w:val="22"/>
              </w:rPr>
              <w:t>Evaluates infrastructure, resources, and inclusivity measures for differently-abled students</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overall contribution = 10% of NIRF Score</w:t>
            </w:r>
          </w:p>
        </w:tc>
      </w:tr>
    </w:tbl>
    <w:p>
      <w:pPr>
        <w:spacing w:after="40" w:line="276" w:lineRule="auto"/>
      </w:pPr>
      <w:r>
        <w:rPr>
          <w:rFonts w:ascii="Cambria" w:hAnsi="Cambria" w:eastAsia="Cambria"/>
          <w:b/>
          <w:i/>
          <w:sz w:val="22"/>
        </w:rPr>
        <w:t>A. Regional Diversity (RD)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students enrolled from other states or foreign countries.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a nationally and globally diverse learning environment.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attracting students from across geographies demonstrate wider appeal and competitiveness.</w:t>
      </w:r>
    </w:p>
    <w:p>
      <w:pPr>
        <w:spacing w:after="40" w:line="276" w:lineRule="auto"/>
      </w:pPr>
      <w:r>
        <w:rPr>
          <w:rFonts w:ascii="Cambria" w:hAnsi="Cambria" w:eastAsia="Cambria"/>
          <w:b/>
          <w:i/>
          <w:sz w:val="22"/>
        </w:rPr>
        <w:t>B. Women Diversity (WD)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female students, faculty members, and leadership positions.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gender equity in higher education.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inclusivity in academic participation and opportunities.</w:t>
      </w:r>
    </w:p>
    <w:p>
      <w:pPr>
        <w:spacing w:after="40" w:line="276" w:lineRule="auto"/>
      </w:pPr>
      <w:r>
        <w:rPr>
          <w:rFonts w:ascii="Cambria" w:hAnsi="Cambria" w:eastAsia="Cambria"/>
          <w:b/>
          <w:i/>
          <w:sz w:val="22"/>
        </w:rPr>
        <w:t>C. Economically and Socially Challenged Students (ESCS)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Enrollment and support systems for students from disadvantaged categories (SC/ST/OBC, EWS, minority communities).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scholarships, fee waivers, hostel facilities, and targeted welfare schemes.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higher education is accessible and equitable.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social justice and compliance with constitutional provisions.</w:t>
      </w:r>
    </w:p>
    <w:p>
      <w:pPr>
        <w:spacing w:after="40" w:line="276" w:lineRule="auto"/>
      </w:pPr>
      <w:r>
        <w:rPr>
          <w:rFonts w:ascii="Cambria" w:hAnsi="Cambria" w:eastAsia="Cambria"/>
          <w:b/>
          <w:i/>
          <w:sz w:val="22"/>
        </w:rPr>
        <w:t>D. Physically Challenged Students (PCS)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Availability of infrastructure and resources for differently-abled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 ramps, lifts, tactile paths, accessible toilets, Braille books, sign language support.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a barrier-free environment in higher education.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participation and success of students with disabilities.</w:t>
      </w:r>
    </w:p>
    <w:p>
      <w:pPr>
        <w:spacing w:after="40" w:line="276" w:lineRule="auto"/>
      </w:pPr>
      <w:r>
        <w:rPr>
          <w:rFonts w:ascii="Cambria" w:hAnsi="Cambria" w:eastAsia="Cambria"/>
          <w:b/>
          <w:i w:val="0"/>
          <w:sz w:val="22"/>
        </w:rPr>
        <w:t>Overall Significance of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contributes 10% to the NIRF overall ranking.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ensures rankings reward institutions that go beyond academics to promote: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Diversity (regional &amp; gender)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Equity (supporting disadvantaged groups)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Accessibility (facilities for differently-abled)</w:t>
      </w:r>
    </w:p>
    <w:p>
      <w:r>
        <w:br w:type="page"/>
      </w:r>
    </w:p>
    <w:p>
      <w:pPr>
        <w:keepNext/>
        <w:spacing w:before="360" w:after="160"/>
      </w:pPr>
      <w:r>
        <w:rPr>
          <w:rFonts w:ascii="Cambria" w:hAnsi="Cambria" w:eastAsia="Cambria"/>
          <w:b/>
          <w:i w:val="0"/>
          <w:color w:val="1F3A5F"/>
          <w:sz w:val="36"/>
        </w:rPr>
        <w:t>24. Regional Diversity (RD)</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RD = (25 × fraction of total students enrolled from other states) + (5 × fraction of students from other countries)</w:t>
      </w:r>
    </w:p>
    <w:p>
      <w:pPr>
        <w:spacing w:after="40" w:line="276" w:lineRule="auto"/>
      </w:pPr>
      <w:r>
        <w:rPr>
          <w:rFonts w:ascii="Cambria" w:hAnsi="Cambria" w:eastAsia="Cambria"/>
          <w:b/>
          <w:i w:val="0"/>
          <w:sz w:val="22"/>
        </w:rPr>
        <w:t>Components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Students from Other States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Fraction of students enrolled from states other than where the institution is located.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cross-regional mobility and national inclusivity.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that attract diverse student populations score higher.</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Students from Other Countries –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Fraction of foreign students enrolled in UG, PG, and Ph.D.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internationalization of higher education.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Aligns with India's ambition to be a global education hub under NEP 2020.</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Students = 5,000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Students from other Indian states = 1,500 (30%)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Students from other countries = 250 (5%)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RD Score = (25 × 0.30) + (5 × 0.05) = 7.5 + 0.25 = 7.75 Marks (out of 30)</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State-wise &amp; country-wise student enrollment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Verified from admission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Admission registers, student ID records, nationality/residential proof.</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student diversity in institutions.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exposure to multiple cultures, languages, and perspectives.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attracting students across India &amp; globally.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with India's push towards international rankings and global visibility.</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State-wise Student Enrollment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the number of students enrolled state/UT-wise across India.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should cover all active UG, PG, and Ph.D.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evaluate the regional diversity of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w:t>
      </w:r>
    </w:p>
    <w:p>
      <w:pPr>
        <w:spacing w:after="40"/>
        <w:ind w:left="1644" w:hanging="357"/>
      </w:pPr>
      <w:r>
        <w:rPr>
          <w:rFonts w:ascii="Cambria" w:hAnsi="Cambria" w:eastAsia="Cambria"/>
          <w:b w:val="0"/>
          <w:i w:val="0"/>
          <w:sz w:val="22"/>
        </w:rPr>
        <w:t>▪</w:t>
        <w:tab/>
      </w:r>
      <w:r>
        <w:rPr>
          <w:rFonts w:ascii="Cambria" w:hAnsi="Cambria" w:eastAsia="Cambria"/>
          <w:b w:val="0"/>
          <w:i w:val="0"/>
          <w:sz w:val="22"/>
        </w:rPr>
        <w:t>Tamil Nadu – 320 students</w:t>
      </w:r>
    </w:p>
    <w:p>
      <w:pPr>
        <w:spacing w:after="40"/>
        <w:ind w:left="1644" w:hanging="357"/>
      </w:pPr>
      <w:r>
        <w:rPr>
          <w:rFonts w:ascii="Cambria" w:hAnsi="Cambria" w:eastAsia="Cambria"/>
          <w:b w:val="0"/>
          <w:i w:val="0"/>
          <w:sz w:val="22"/>
        </w:rPr>
        <w:t>▪</w:t>
        <w:tab/>
      </w:r>
      <w:r>
        <w:rPr>
          <w:rFonts w:ascii="Cambria" w:hAnsi="Cambria" w:eastAsia="Cambria"/>
          <w:b w:val="0"/>
          <w:i w:val="0"/>
          <w:sz w:val="22"/>
        </w:rPr>
        <w:t>Maharashtra – 210 students</w:t>
      </w:r>
    </w:p>
    <w:p>
      <w:pPr>
        <w:spacing w:after="40"/>
        <w:ind w:left="1644" w:hanging="357"/>
      </w:pPr>
      <w:r>
        <w:rPr>
          <w:rFonts w:ascii="Cambria" w:hAnsi="Cambria" w:eastAsia="Cambria"/>
          <w:b w:val="0"/>
          <w:i w:val="0"/>
          <w:sz w:val="22"/>
        </w:rPr>
        <w:t>▪</w:t>
        <w:tab/>
      </w:r>
      <w:r>
        <w:rPr>
          <w:rFonts w:ascii="Cambria" w:hAnsi="Cambria" w:eastAsia="Cambria"/>
          <w:b w:val="0"/>
          <w:i w:val="0"/>
          <w:sz w:val="22"/>
        </w:rPr>
        <w:t>Delhi – 150 students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Country-wise Student Enrollment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report the number of international students enrolled.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must be provided country-wise.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w:t>
      </w:r>
    </w:p>
    <w:p>
      <w:pPr>
        <w:spacing w:after="40"/>
        <w:ind w:left="1644" w:hanging="357"/>
      </w:pPr>
      <w:r>
        <w:rPr>
          <w:rFonts w:ascii="Cambria" w:hAnsi="Cambria" w:eastAsia="Cambria"/>
          <w:b w:val="0"/>
          <w:i w:val="0"/>
          <w:sz w:val="22"/>
        </w:rPr>
        <w:t>▪</w:t>
        <w:tab/>
      </w:r>
      <w:r>
        <w:rPr>
          <w:rFonts w:ascii="Cambria" w:hAnsi="Cambria" w:eastAsia="Cambria"/>
          <w:b w:val="0"/>
          <w:i w:val="0"/>
          <w:sz w:val="22"/>
        </w:rPr>
        <w:t>Nepal – 20 students</w:t>
      </w:r>
    </w:p>
    <w:p>
      <w:pPr>
        <w:spacing w:after="40"/>
        <w:ind w:left="1644" w:hanging="357"/>
      </w:pPr>
      <w:r>
        <w:rPr>
          <w:rFonts w:ascii="Cambria" w:hAnsi="Cambria" w:eastAsia="Cambria"/>
          <w:b w:val="0"/>
          <w:i w:val="0"/>
          <w:sz w:val="22"/>
        </w:rPr>
        <w:t>▪</w:t>
        <w:tab/>
      </w:r>
      <w:r>
        <w:rPr>
          <w:rFonts w:ascii="Cambria" w:hAnsi="Cambria" w:eastAsia="Cambria"/>
          <w:b w:val="0"/>
          <w:i w:val="0"/>
          <w:sz w:val="22"/>
        </w:rPr>
        <w:t>Nigeria – 12 students</w:t>
      </w:r>
    </w:p>
    <w:p>
      <w:pPr>
        <w:spacing w:after="40"/>
        <w:ind w:left="1644" w:hanging="357"/>
      </w:pPr>
      <w:r>
        <w:rPr>
          <w:rFonts w:ascii="Cambria" w:hAnsi="Cambria" w:eastAsia="Cambria"/>
          <w:b w:val="0"/>
          <w:i w:val="0"/>
          <w:sz w:val="22"/>
        </w:rPr>
        <w:t>▪</w:t>
        <w:tab/>
      </w:r>
      <w:r>
        <w:rPr>
          <w:rFonts w:ascii="Cambria" w:hAnsi="Cambria" w:eastAsia="Cambria"/>
          <w:b w:val="0"/>
          <w:i w:val="0"/>
          <w:sz w:val="22"/>
        </w:rPr>
        <w:t>Bangladesh – 8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assess internationalization of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Verification from Admission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must be consistent with actual admission office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student program details, enrollment numbers, and year of admission.</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Admission Registers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records maintained by the admission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student details (name, program, year of admission, domicile).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Student ID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Institution-issued student identity cards, enrollment numbers, or database entries.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the authenticity of enrolled students.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Nationality/Residential Proof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Indian students → Domicile certificate, Aadhaar, voter ID,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international students → Passport, student visa, FRRO registration.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correctness of state-wise/country-wise categorization.</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Supports the Outreach &amp; Inclusivity (OI)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geographical diversity of student intake.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International students increase global engagement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wider student diversity score higher.</w:t>
      </w:r>
    </w:p>
    <w:p>
      <w:r>
        <w:br w:type="page"/>
      </w:r>
    </w:p>
    <w:p>
      <w:pPr>
        <w:keepNext/>
        <w:spacing w:before="360" w:after="160"/>
      </w:pPr>
      <w:r>
        <w:rPr>
          <w:rFonts w:ascii="Cambria" w:hAnsi="Cambria" w:eastAsia="Cambria"/>
          <w:b/>
          <w:i w:val="0"/>
          <w:color w:val="1F3A5F"/>
          <w:sz w:val="36"/>
        </w:rPr>
        <w:t>25. Women Diversity (WD)</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WD = (15 × (NWS / 50)) + (15 × (NWF / 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NWS = % of Women Students (in total enrollment).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NWF = % of Women Faculty (including senior administrative positions such as HoDs, Deans, Directors, Institute Heads).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Benchmarks: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50% women students → full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20% women faculty → full 15 marks.</w:t>
      </w:r>
    </w:p>
    <w:p>
      <w:pPr>
        <w:spacing w:after="40" w:line="276" w:lineRule="auto"/>
      </w:pPr>
      <w:r>
        <w:rPr>
          <w:rFonts w:ascii="Cambria" w:hAnsi="Cambria" w:eastAsia="Cambria"/>
          <w:b/>
          <w:i w:val="0"/>
          <w:sz w:val="22"/>
        </w:rPr>
        <w:t>Components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Women Students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gender inclusivity in student enrollment.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 scores awarded when institutions approach gender balance (~50%).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universities to remove barriers to women's participation in higher education.</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Women Faculty &amp; Leadership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women's representation in faculty positions and decision-making roles.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gender equity in academic employment and leadership.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where women faculty exceed 20% benchmark.</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Students = 4,000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Women Students = 1,600 → NWS = 40%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Faculty = 400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Women Faculty = 120 → NWF = 30%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WD = (15 × (40/50)) + (15 × (30/20))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WD = (12) + (15) = 27 Marks (out of 30)</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 enrollment by gender (UG, PG, Ph.D.)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list with gender distribution.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Admission registers, HR/faculty database, annual reports.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Supports SDG 5: Gender Equality.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women's empowerment in higher education both as learners and leaders.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Enhances institutional reputation for inclusivity.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diversity in teaching, research, and administration.</w:t>
      </w:r>
    </w:p>
    <w:p>
      <w:pPr>
        <w:spacing w:after="40" w:line="276" w:lineRule="auto"/>
      </w:pPr>
      <w:r>
        <w:rPr>
          <w:rFonts w:ascii="Cambria" w:hAnsi="Cambria" w:eastAsia="Cambria"/>
          <w:b/>
          <w:i w:val="0"/>
          <w:sz w:val="22"/>
        </w:rPr>
        <w:t>Primary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Student Enrollment by Gender (UG, PG, Ph.D.)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the number of male, female, and other gender students enrolled.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must be reported program-wise (UG, PG, Ph.D.) and consolidated year-wise.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measure gender diversity among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w:t>
      </w:r>
    </w:p>
    <w:p>
      <w:pPr>
        <w:spacing w:after="40"/>
        <w:ind w:left="1644" w:hanging="357"/>
      </w:pPr>
      <w:r>
        <w:rPr>
          <w:rFonts w:ascii="Cambria" w:hAnsi="Cambria" w:eastAsia="Cambria"/>
          <w:b w:val="0"/>
          <w:i w:val="0"/>
          <w:sz w:val="22"/>
        </w:rPr>
        <w:t>▪</w:t>
        <w:tab/>
      </w:r>
      <w:r>
        <w:rPr>
          <w:rFonts w:ascii="Cambria" w:hAnsi="Cambria" w:eastAsia="Cambria"/>
          <w:b w:val="0"/>
          <w:i w:val="0"/>
          <w:sz w:val="22"/>
        </w:rPr>
        <w:t>UG: Male – 1,200 | Female – 800 | Others – 10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PG: Male – 400 | Female – 300 | Others – 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Ph.D.: Male – 150 | Female – 100 | Others – 2</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List with Gender Distribution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submit a complete faculty list with gender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Categories: Male, Female, Others.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regular, full-time faculty only (adjunct/visiting faculty not counted).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w:t>
      </w:r>
    </w:p>
    <w:p>
      <w:pPr>
        <w:spacing w:after="40"/>
        <w:ind w:left="1644" w:hanging="357"/>
      </w:pPr>
      <w:r>
        <w:rPr>
          <w:rFonts w:ascii="Cambria" w:hAnsi="Cambria" w:eastAsia="Cambria"/>
          <w:b w:val="0"/>
          <w:i w:val="0"/>
          <w:sz w:val="22"/>
        </w:rPr>
        <w:t>▪</w:t>
        <w:tab/>
      </w:r>
      <w:r>
        <w:rPr>
          <w:rFonts w:ascii="Cambria" w:hAnsi="Cambria" w:eastAsia="Cambria"/>
          <w:b w:val="0"/>
          <w:i w:val="0"/>
          <w:sz w:val="22"/>
        </w:rPr>
        <w:t>Male – 320</w:t>
      </w:r>
    </w:p>
    <w:p>
      <w:pPr>
        <w:spacing w:after="40"/>
        <w:ind w:left="1644" w:hanging="357"/>
      </w:pPr>
      <w:r>
        <w:rPr>
          <w:rFonts w:ascii="Cambria" w:hAnsi="Cambria" w:eastAsia="Cambria"/>
          <w:b w:val="0"/>
          <w:i w:val="0"/>
          <w:sz w:val="22"/>
        </w:rPr>
        <w:t>▪</w:t>
        <w:tab/>
      </w:r>
      <w:r>
        <w:rPr>
          <w:rFonts w:ascii="Cambria" w:hAnsi="Cambria" w:eastAsia="Cambria"/>
          <w:b w:val="0"/>
          <w:i w:val="0"/>
          <w:sz w:val="22"/>
        </w:rPr>
        <w:t>Female – 180</w:t>
      </w:r>
    </w:p>
    <w:p>
      <w:pPr>
        <w:spacing w:after="40"/>
        <w:ind w:left="1644" w:hanging="357"/>
      </w:pPr>
      <w:r>
        <w:rPr>
          <w:rFonts w:ascii="Cambria" w:hAnsi="Cambria" w:eastAsia="Cambria"/>
          <w:b w:val="0"/>
          <w:i w:val="0"/>
          <w:sz w:val="22"/>
        </w:rPr>
        <w:t>▪</w:t>
        <w:tab/>
      </w:r>
      <w:r>
        <w:rPr>
          <w:rFonts w:ascii="Cambria" w:hAnsi="Cambria" w:eastAsia="Cambria"/>
          <w:b w:val="0"/>
          <w:i w:val="0"/>
          <w:sz w:val="22"/>
        </w:rPr>
        <w:t>Others – 5</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Admission Registers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admission data containing student details, including gender.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Verified against student identity and enrollment records.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HR / Faculty Database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HR records containing faculty profiles with gender information.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Cross-checked with payroll and official appointments.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Annual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annual reports include gender-based statistics for both students and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Acts as consolidated evidence.</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Gender distribution contributes to Outreach &amp; Inclusivity (OI)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gender balance and inclusivity in higher education.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a healthy gender ratio (especially higher female participation) score better.</w:t>
      </w:r>
    </w:p>
    <w:p>
      <w:r>
        <w:br w:type="page"/>
      </w:r>
    </w:p>
    <w:p>
      <w:pPr>
        <w:keepNext/>
        <w:spacing w:before="360" w:after="160"/>
      </w:pPr>
      <w:r>
        <w:rPr>
          <w:rFonts w:ascii="Cambria" w:hAnsi="Cambria" w:eastAsia="Cambria"/>
          <w:b/>
          <w:i w:val="0"/>
          <w:color w:val="1F3A5F"/>
          <w:sz w:val="36"/>
        </w:rPr>
        <w:t>26. Economically and Socially Challenged Students (ESCS)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ESCS = 20 × f(Nesc)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Nesc = % of students receiving full tuition fee reimbursement by the institution (scholarships, fellowships, financial aid, fee waivers).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Function f(Nesc) scales marks according to proportion of supported students.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Equity in Access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support economically weaker sections (EWS) and socially disadvantaged groups (SC/ST/OBC, minorities).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social justice and inclusivity mandate of higher education.</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Financial Assistance Provided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tuition fee support (not partial) is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 may come from:</w:t>
      </w:r>
    </w:p>
    <w:p>
      <w:pPr>
        <w:spacing w:after="40"/>
        <w:ind w:left="1644" w:hanging="357"/>
      </w:pPr>
      <w:r>
        <w:rPr>
          <w:rFonts w:ascii="Cambria" w:hAnsi="Cambria" w:eastAsia="Cambria"/>
          <w:b w:val="0"/>
          <w:i w:val="0"/>
          <w:sz w:val="22"/>
        </w:rPr>
        <w:t>▪</w:t>
        <w:tab/>
      </w:r>
      <w:r>
        <w:rPr>
          <w:rFonts w:ascii="Cambria" w:hAnsi="Cambria" w:eastAsia="Cambria"/>
          <w:b w:val="0"/>
          <w:i w:val="0"/>
          <w:sz w:val="22"/>
        </w:rPr>
        <w:t>Government schemes (e.g., Post-Matric Scholarships, EWS fee waivers).</w:t>
      </w:r>
    </w:p>
    <w:p>
      <w:pPr>
        <w:spacing w:after="40"/>
        <w:ind w:left="1644" w:hanging="357"/>
      </w:pPr>
      <w:r>
        <w:rPr>
          <w:rFonts w:ascii="Cambria" w:hAnsi="Cambria" w:eastAsia="Cambria"/>
          <w:b w:val="0"/>
          <w:i w:val="0"/>
          <w:sz w:val="22"/>
        </w:rPr>
        <w:t>▪</w:t>
        <w:tab/>
      </w:r>
      <w:r>
        <w:rPr>
          <w:rFonts w:ascii="Cambria" w:hAnsi="Cambria" w:eastAsia="Cambria"/>
          <w:b w:val="0"/>
          <w:i w:val="0"/>
          <w:sz w:val="22"/>
        </w:rPr>
        <w:t>Institutional schemes (fee concessions, free-ships).</w:t>
      </w:r>
    </w:p>
    <w:p>
      <w:pPr>
        <w:spacing w:after="40"/>
        <w:ind w:left="1644" w:hanging="357"/>
      </w:pPr>
      <w:r>
        <w:rPr>
          <w:rFonts w:ascii="Cambria" w:hAnsi="Cambria" w:eastAsia="Cambria"/>
          <w:b w:val="0"/>
          <w:i w:val="0"/>
          <w:sz w:val="22"/>
        </w:rPr>
        <w:t>▪</w:t>
        <w:tab/>
      </w:r>
      <w:r>
        <w:rPr>
          <w:rFonts w:ascii="Cambria" w:hAnsi="Cambria" w:eastAsia="Cambria"/>
          <w:b w:val="0"/>
          <w:i w:val="0"/>
          <w:sz w:val="22"/>
        </w:rPr>
        <w:t>CSR/Philanthropic funding routed through the institution.</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Impact on Inclusivity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talented students are not denied education due to financial constraints.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Enhances diversity by including students from challenged socio-economic backgrounds.</w:t>
      </w:r>
    </w:p>
    <w:p>
      <w:pPr>
        <w:spacing w:after="40" w:line="276" w:lineRule="auto"/>
      </w:pPr>
      <w:r>
        <w:rPr>
          <w:rFonts w:ascii="Cambria" w:hAnsi="Cambria" w:eastAsia="Cambria"/>
          <w:b/>
          <w:i w:val="0"/>
          <w:sz w:val="22"/>
        </w:rPr>
        <w:t>Scoring Logic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Higher % of ESCS students = higher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Students = 5000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ESCS Students = 1000 (20%)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ESCS Score = 20 × 0.20 = 4 Marks (out of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Nesc = 100% (all students fully reimbursed) → full 20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count of total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students receiving full tuition reimbursement.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Scholarship registers.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Fee waiver records from accounts section.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Government funding utilization certificates.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NEP 2020 vision of equitable and inclusive access to higher education.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actively support marginalized and underprivileged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Helps build a socially diverse campus environment.</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count of total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the total number of students enrolled for each of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UG, PG, and Ph.D. students (full-time only).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as the denominator for calculating scholarship coverage percentage.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Number of students receiving full tuition reimbursement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Refers to students who receive 100% fee waiver or full scholarship.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Covers:</w:t>
      </w:r>
    </w:p>
    <w:p>
      <w:pPr>
        <w:spacing w:after="40"/>
        <w:ind w:left="1644" w:hanging="357"/>
      </w:pPr>
      <w:r>
        <w:rPr>
          <w:rFonts w:ascii="Cambria" w:hAnsi="Cambria" w:eastAsia="Cambria"/>
          <w:b w:val="0"/>
          <w:i w:val="0"/>
          <w:sz w:val="22"/>
        </w:rPr>
        <w:t>▪</w:t>
        <w:tab/>
      </w:r>
      <w:r>
        <w:rPr>
          <w:rFonts w:ascii="Cambria" w:hAnsi="Cambria" w:eastAsia="Cambria"/>
          <w:b w:val="0"/>
          <w:i w:val="0"/>
          <w:sz w:val="22"/>
        </w:rPr>
        <w:t>Government scholarships (Central/State schemes).</w:t>
      </w:r>
    </w:p>
    <w:p>
      <w:pPr>
        <w:spacing w:after="40"/>
        <w:ind w:left="1644" w:hanging="357"/>
      </w:pPr>
      <w:r>
        <w:rPr>
          <w:rFonts w:ascii="Cambria" w:hAnsi="Cambria" w:eastAsia="Cambria"/>
          <w:b w:val="0"/>
          <w:i w:val="0"/>
          <w:sz w:val="22"/>
        </w:rPr>
        <w:t>▪</w:t>
        <w:tab/>
      </w:r>
      <w:r>
        <w:rPr>
          <w:rFonts w:ascii="Cambria" w:hAnsi="Cambria" w:eastAsia="Cambria"/>
          <w:b w:val="0"/>
          <w:i w:val="0"/>
          <w:sz w:val="22"/>
        </w:rPr>
        <w:t>Institutional fee waivers (merit, need-based).</w:t>
      </w:r>
    </w:p>
    <w:p>
      <w:pPr>
        <w:spacing w:after="40"/>
        <w:ind w:left="1644" w:hanging="357"/>
      </w:pPr>
      <w:r>
        <w:rPr>
          <w:rFonts w:ascii="Cambria" w:hAnsi="Cambria" w:eastAsia="Cambria"/>
          <w:b w:val="0"/>
          <w:i w:val="0"/>
          <w:sz w:val="22"/>
        </w:rPr>
        <w:t>▪</w:t>
        <w:tab/>
      </w:r>
      <w:r>
        <w:rPr>
          <w:rFonts w:ascii="Cambria" w:hAnsi="Cambria" w:eastAsia="Cambria"/>
          <w:b w:val="0"/>
          <w:i w:val="0"/>
          <w:sz w:val="22"/>
        </w:rPr>
        <w:t>Industry-sponsored scholarships.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be reported year-wise.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students with full tuition reimbursement are counted (partial aid is excluded for this metric).</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Scholarship Registers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Maintained by the institution's scholarship/financial aid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Contains student name, program, scholarship scheme, and amount awarded.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Fee Waiver Records (Accounts Section)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accounts/finance records showing tuition waived for eligible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the actual amount waived, not just sanctioned.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Government Funding Utilization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Certificates issued by funding authorities confirming disbursement of scholarships.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for cross-verification with institutional records.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Forms part of Outreach &amp; Inclusivity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institution's efforts in equity and access by supporting students from weaker backgrounds.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higher % of students receiving full scholarships score better.</w:t>
      </w:r>
    </w:p>
    <w:p>
      <w:r>
        <w:br w:type="page"/>
      </w:r>
    </w:p>
    <w:p>
      <w:pPr>
        <w:keepNext/>
        <w:spacing w:before="360" w:after="160"/>
      </w:pPr>
      <w:r>
        <w:rPr>
          <w:rFonts w:ascii="Cambria" w:hAnsi="Cambria" w:eastAsia="Cambria"/>
          <w:b/>
          <w:i w:val="0"/>
          <w:color w:val="1F3A5F"/>
          <w:sz w:val="36"/>
        </w:rPr>
        <w:t>27. Physically Challenged Students (PCS)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PCS = 20 Marks if full facilities are provided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Partial marks if facilities are incomplete or limited.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Score is based on verifiable responses to NIRF's prescribed checklist.</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Accessibility of Campus Infrastructure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Ramps, lifts, tactile paths, accessible washrooms, transport facilities.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barrier-free mobility for differently abled students.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Learning Support Systems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Assistive technologies (screen readers, Braille printers, audiobooks).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Sign language interpreters for lectures.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Extra time and alternate exam formats.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Accommodation &amp; Social Inclusion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Reserved seats and scholarships.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Hostel facilities with accessible rooms.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Campus clubs, mentorship programs, and peer-support initiatives.</w:t>
      </w:r>
    </w:p>
    <w:p>
      <w:pPr>
        <w:spacing w:line="276" w:lineRule="auto" w:after="40"/>
        <w:ind w:left="357" w:hanging="357"/>
      </w:pPr>
      <w:r>
        <w:rPr>
          <w:rFonts w:ascii="Cambria" w:hAnsi="Cambria" w:eastAsia="Cambria"/>
          <w:b w:val="0"/>
          <w:i w:val="0"/>
          <w:sz w:val="22"/>
        </w:rPr>
        <w:t>4.</w:t>
        <w:tab/>
      </w:r>
      <w:r>
        <w:rPr>
          <w:rFonts w:ascii="Cambria" w:hAnsi="Cambria" w:eastAsia="Cambria"/>
          <w:b/>
          <w:i w:val="0"/>
          <w:sz w:val="22"/>
        </w:rPr>
        <w:t>Policy &amp; Compliance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Alignment with RPwD Act 2016 and UGC Accessibility Guidelines.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Proactive measures for equal opportunity.</w:t>
      </w:r>
    </w:p>
    <w:p>
      <w:pPr>
        <w:spacing w:after="40" w:line="276" w:lineRule="auto"/>
      </w:pPr>
      <w:r>
        <w:rPr>
          <w:rFonts w:ascii="Cambria" w:hAnsi="Cambria" w:eastAsia="Cambria"/>
          <w:b/>
          <w:i w:val="0"/>
          <w:sz w:val="22"/>
        </w:rPr>
        <w:t>Scoring Logic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Full 20 Marks if: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All key facilities (infrastructure + academic support + inclusivity measures) are provided.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Proportional Score if: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partial facilities exist (e.g., ramps without ICT assistive tools).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0 Marks if: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measures in place.</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physical &amp; learning support facilities.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photographs, policy documents, usage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Physical inspection, audited compliance reports, accessibility audits.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inclusive education by ensuring access for all learners.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social responsibility of institutions.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Enhances global ranking visibility, as inclusivity is a key metric in QS/Times rankings too.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Directly supports SDG 4 (Quality Education) and SDG 10 (Reduced Inequalities).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List of Physical &amp; Learning Support Facilities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a comprehensive list of facilities available for differently-abled students and inclusive learning.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 include:</w:t>
      </w:r>
    </w:p>
    <w:p>
      <w:pPr>
        <w:spacing w:after="40"/>
        <w:ind w:left="1644" w:hanging="357"/>
      </w:pPr>
      <w:r>
        <w:rPr>
          <w:rFonts w:ascii="Cambria" w:hAnsi="Cambria" w:eastAsia="Cambria"/>
          <w:b w:val="0"/>
          <w:i w:val="0"/>
          <w:sz w:val="22"/>
        </w:rPr>
        <w:t>▪</w:t>
        <w:tab/>
      </w:r>
      <w:r>
        <w:rPr>
          <w:rFonts w:ascii="Cambria" w:hAnsi="Cambria" w:eastAsia="Cambria"/>
          <w:b/>
          <w:i w:val="0"/>
          <w:sz w:val="22"/>
        </w:rPr>
        <w:t>Physical Access</w:t>
      </w:r>
      <w:r>
        <w:rPr>
          <w:rFonts w:ascii="Cambria" w:hAnsi="Cambria" w:eastAsia="Cambria"/>
          <w:b w:val="0"/>
          <w:i w:val="0"/>
          <w:sz w:val="22"/>
        </w:rPr>
        <w:t xml:space="preserve"> → ramps, lifts with Braille, wheelchair-accessible washrooms, tactile paths.</w:t>
      </w:r>
    </w:p>
    <w:p>
      <w:pPr>
        <w:spacing w:after="40"/>
        <w:ind w:left="1644" w:hanging="357"/>
      </w:pPr>
      <w:r>
        <w:rPr>
          <w:rFonts w:ascii="Cambria" w:hAnsi="Cambria" w:eastAsia="Cambria"/>
          <w:b w:val="0"/>
          <w:i w:val="0"/>
          <w:sz w:val="22"/>
        </w:rPr>
        <w:t>▪</w:t>
        <w:tab/>
      </w:r>
      <w:r>
        <w:rPr>
          <w:rFonts w:ascii="Cambria" w:hAnsi="Cambria" w:eastAsia="Cambria"/>
          <w:b/>
          <w:i w:val="0"/>
          <w:sz w:val="22"/>
        </w:rPr>
        <w:t>Assistive Technologies</w:t>
      </w:r>
      <w:r>
        <w:rPr>
          <w:rFonts w:ascii="Cambria" w:hAnsi="Cambria" w:eastAsia="Cambria"/>
          <w:b w:val="0"/>
          <w:i w:val="0"/>
          <w:sz w:val="22"/>
        </w:rPr>
        <w:t xml:space="preserve"> → screen readers, speech-to-text software, magnifiers.</w:t>
      </w:r>
    </w:p>
    <w:p>
      <w:pPr>
        <w:spacing w:after="40"/>
        <w:ind w:left="1644" w:hanging="357"/>
      </w:pPr>
      <w:r>
        <w:rPr>
          <w:rFonts w:ascii="Cambria" w:hAnsi="Cambria" w:eastAsia="Cambria"/>
          <w:b w:val="0"/>
          <w:i w:val="0"/>
          <w:sz w:val="22"/>
        </w:rPr>
        <w:t>▪</w:t>
        <w:tab/>
      </w:r>
      <w:r>
        <w:rPr>
          <w:rFonts w:ascii="Cambria" w:hAnsi="Cambria" w:eastAsia="Cambria"/>
          <w:b/>
          <w:i w:val="0"/>
          <w:sz w:val="22"/>
        </w:rPr>
        <w:t>Library Support</w:t>
      </w:r>
      <w:r>
        <w:rPr>
          <w:rFonts w:ascii="Cambria" w:hAnsi="Cambria" w:eastAsia="Cambria"/>
          <w:b w:val="0"/>
          <w:i w:val="0"/>
          <w:sz w:val="22"/>
        </w:rPr>
        <w:t xml:space="preserve"> → Braille books, audiobooks, e-resources with accessibility features.</w:t>
      </w:r>
    </w:p>
    <w:p>
      <w:pPr>
        <w:spacing w:after="40"/>
        <w:ind w:left="1644" w:hanging="357"/>
      </w:pPr>
      <w:r>
        <w:rPr>
          <w:rFonts w:ascii="Cambria" w:hAnsi="Cambria" w:eastAsia="Cambria"/>
          <w:b w:val="0"/>
          <w:i w:val="0"/>
          <w:sz w:val="22"/>
        </w:rPr>
        <w:t>▪</w:t>
        <w:tab/>
      </w:r>
      <w:r>
        <w:rPr>
          <w:rFonts w:ascii="Cambria" w:hAnsi="Cambria" w:eastAsia="Cambria"/>
          <w:b/>
          <w:i w:val="0"/>
          <w:sz w:val="22"/>
        </w:rPr>
        <w:t>Exam &amp; Classroom Support</w:t>
      </w:r>
      <w:r>
        <w:rPr>
          <w:rFonts w:ascii="Cambria" w:hAnsi="Cambria" w:eastAsia="Cambria"/>
          <w:b w:val="0"/>
          <w:i w:val="0"/>
          <w:sz w:val="22"/>
        </w:rPr>
        <w:t xml:space="preserve"> → extra time in exams, scribes, sign language interpreters, ergonomic seating.</w:t>
      </w:r>
    </w:p>
    <w:p>
      <w:pPr>
        <w:spacing w:after="40"/>
        <w:ind w:left="1644" w:hanging="357"/>
      </w:pPr>
      <w:r>
        <w:rPr>
          <w:rFonts w:ascii="Cambria" w:hAnsi="Cambria" w:eastAsia="Cambria"/>
          <w:b w:val="0"/>
          <w:i w:val="0"/>
          <w:sz w:val="22"/>
        </w:rPr>
        <w:t>▪</w:t>
        <w:tab/>
      </w:r>
      <w:r>
        <w:rPr>
          <w:rFonts w:ascii="Cambria" w:hAnsi="Cambria" w:eastAsia="Cambria"/>
          <w:b/>
          <w:i w:val="0"/>
          <w:sz w:val="22"/>
        </w:rPr>
        <w:t>Residential &amp; Campus Support</w:t>
      </w:r>
      <w:r>
        <w:rPr>
          <w:rFonts w:ascii="Cambria" w:hAnsi="Cambria" w:eastAsia="Cambria"/>
          <w:b w:val="0"/>
          <w:i w:val="0"/>
          <w:sz w:val="22"/>
        </w:rPr>
        <w:t xml:space="preserve"> → accessible hostels, medical facilities, dedicated help desks.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Evidence Required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Photographs of installed infrastructure (ramps, tactile paths, lifts).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Policy Documents (institutional policy on inclusivity, accessibility guidelines).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Usage Records (logs of facility usage, requests from differently-abled students, records of assistive devices issued).</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Physical Inspection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On-site inspection by accreditation agencies or government-appointed committees.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actual availability of reported facilities.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Audited Compliance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Third-party or internal audit reports confirming compliance with: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RPwD Act, 2016 (Rights of Persons with Disabilities 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UGC guidelines for barrier-free access.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authenticity for institutional claims.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Accessibility Audits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Independent accessibility audits conducted by certified agencies.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 facilities meet universal design standards.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Reports include compliance scores and recommendations.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Part of the Outreach &amp; Inclusivity (OI)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how institutions ensure equity, inclusivity, and support for differently-abled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stronger support systems score higher in NIRF.</w:t>
      </w:r>
    </w:p>
    <w:p>
      <w:r>
        <w:br w:type="page"/>
      </w:r>
    </w:p>
    <w:p>
      <w:pPr>
        <w:keepNext/>
        <w:spacing w:before="360" w:after="160"/>
      </w:pPr>
      <w:r>
        <w:rPr>
          <w:rFonts w:ascii="Cambria" w:hAnsi="Cambria" w:eastAsia="Cambria"/>
          <w:b/>
          <w:i w:val="0"/>
          <w:color w:val="1F3A5F"/>
          <w:sz w:val="36"/>
        </w:rPr>
        <w:t>28. Perception (PR)</w:t>
      </w:r>
    </w:p>
    <w:p>
      <w:pPr>
        <w:keepNext/>
        <w:spacing w:before="200" w:after="100"/>
      </w:pPr>
      <w:r>
        <w:rPr>
          <w:rFonts w:ascii="Cambria" w:hAnsi="Cambria" w:eastAsia="Cambria"/>
          <w:b/>
          <w:i w:val="0"/>
          <w:color w:val="1F3A5F"/>
          <w:sz w:val="26"/>
        </w:rPr>
        <w:t>NIRF 2024 – Perception (PR) Breakdown</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S. No.</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Remarks</w:t>
            </w:r>
          </w:p>
        </w:tc>
      </w:tr>
      <w:tr>
        <w:tc>
          <w:tcPr>
            <w:tcW w:type="dxa" w:w="737"/>
          </w:tcPr>
          <w:p>
            <w:pPr>
              <w:spacing w:after="40" w:line="240" w:lineRule="auto"/>
              <w:jc w:val="left"/>
            </w:pPr>
            <w:r/>
            <w:r>
              <w:rPr>
                <w:rFonts w:ascii="Cambria" w:hAnsi="Cambria" w:eastAsia="Cambria"/>
                <w:b w:val="0"/>
                <w:i w:val="0"/>
                <w:sz w:val="22"/>
              </w:rPr>
              <w:t>5A</w:t>
            </w:r>
          </w:p>
        </w:tc>
        <w:tc>
          <w:tcPr>
            <w:tcW w:type="dxa" w:w="3572"/>
          </w:tcPr>
          <w:p>
            <w:pPr>
              <w:spacing w:after="40" w:line="240" w:lineRule="auto"/>
              <w:jc w:val="center"/>
            </w:pPr>
            <w:r/>
            <w:r>
              <w:rPr>
                <w:rFonts w:ascii="Cambria" w:hAnsi="Cambria" w:eastAsia="Cambria"/>
                <w:b w:val="0"/>
                <w:i w:val="0"/>
                <w:sz w:val="22"/>
              </w:rPr>
              <w:t>Peer Perception: Academic Peers and Employers</w:t>
            </w:r>
          </w:p>
        </w:tc>
        <w:tc>
          <w:tcPr>
            <w:tcW w:type="dxa" w:w="850"/>
          </w:tcPr>
          <w:p>
            <w:pPr>
              <w:spacing w:after="40" w:line="240" w:lineRule="auto"/>
              <w:jc w:val="center"/>
            </w:pPr>
            <w:r/>
            <w:r>
              <w:rPr>
                <w:rFonts w:ascii="Cambria" w:hAnsi="Cambria" w:eastAsia="Cambria"/>
                <w:b w:val="0"/>
                <w:i w:val="0"/>
                <w:sz w:val="22"/>
              </w:rPr>
              <w:t>100</w:t>
            </w:r>
          </w:p>
        </w:tc>
        <w:tc>
          <w:tcPr>
            <w:tcW w:type="dxa" w:w="4252"/>
          </w:tcPr>
          <w:p>
            <w:pPr>
              <w:spacing w:after="40" w:line="240" w:lineRule="auto"/>
              <w:jc w:val="center"/>
            </w:pPr>
            <w:r/>
            <w:r>
              <w:rPr>
                <w:rFonts w:ascii="Cambria" w:hAnsi="Cambria" w:eastAsia="Cambria"/>
                <w:b w:val="0"/>
                <w:i w:val="0"/>
                <w:sz w:val="22"/>
              </w:rPr>
              <w:t>Captures reputation of the institution among academics, employers, research organizations, and the public</w:t>
            </w:r>
          </w:p>
        </w:tc>
      </w:tr>
      <w:tr>
        <w:tc>
          <w:tcPr>
            <w:tcW w:type="dxa" w:w="737"/>
            <w:shd w:val="clear" w:color="auto" w:fill="DCE6F1"/>
          </w:tcPr>
          <w:p>
            <w:pPr>
              <w:spacing w:after="40" w:line="240" w:lineRule="auto"/>
              <w:jc w:val="left"/>
            </w:pPr>
            <w:r/>
            <w:r>
              <w:rPr>
                <w:rFonts w:ascii="Cambria" w:hAnsi="Cambria" w:eastAsia="Cambria"/>
                <w:b w:val="0"/>
                <w:i w:val="0"/>
                <w:sz w:val="22"/>
              </w:rPr>
              <w:t>Special Note (Universities only)</w:t>
            </w:r>
          </w:p>
        </w:tc>
        <w:tc>
          <w:tcPr>
            <w:tcW w:type="dxa" w:w="3572"/>
            <w:shd w:val="clear" w:color="auto" w:fill="DCE6F1"/>
          </w:tcPr>
          <w:p>
            <w:pPr>
              <w:spacing w:after="40" w:line="240" w:lineRule="auto"/>
              <w:jc w:val="center"/>
            </w:pPr>
            <w:r/>
            <w:r>
              <w:rPr>
                <w:rFonts w:ascii="Cambria" w:hAnsi="Cambria" w:eastAsia="Cambria"/>
                <w:b w:val="0"/>
                <w:i w:val="0"/>
                <w:sz w:val="22"/>
              </w:rPr>
              <w:t>–</w:t>
            </w:r>
          </w:p>
        </w:tc>
        <w:tc>
          <w:tcPr>
            <w:tcW w:type="dxa" w:w="850"/>
            <w:shd w:val="clear" w:color="auto" w:fill="DCE6F1"/>
          </w:tcPr>
          <w:p>
            <w:pPr>
              <w:spacing w:after="40" w:line="240" w:lineRule="auto"/>
              <w:jc w:val="center"/>
            </w:pPr>
            <w:r/>
            <w:r>
              <w:rPr>
                <w:rFonts w:ascii="Cambria" w:hAnsi="Cambria" w:eastAsia="Cambria"/>
                <w:b w:val="0"/>
                <w:i w:val="0"/>
                <w:sz w:val="22"/>
              </w:rPr>
              <w:t>–</w:t>
            </w:r>
          </w:p>
        </w:tc>
        <w:tc>
          <w:tcPr>
            <w:tcW w:type="dxa" w:w="4252"/>
            <w:shd w:val="clear" w:color="auto" w:fill="DCE6F1"/>
          </w:tcPr>
          <w:p>
            <w:pPr>
              <w:spacing w:after="40" w:line="240" w:lineRule="auto"/>
              <w:jc w:val="center"/>
            </w:pPr>
            <w:r/>
            <w:r>
              <w:rPr>
                <w:rFonts w:ascii="Cambria" w:hAnsi="Cambria" w:eastAsia="Cambria"/>
                <w:b w:val="0"/>
                <w:i w:val="0"/>
                <w:sz w:val="22"/>
              </w:rPr>
              <w:t>For universities, PR is split as 70% Peer Perception + 30% Accreditation scores</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overall contribution = 10% of NIRF Score</w:t>
            </w:r>
          </w:p>
        </w:tc>
      </w:tr>
    </w:tbl>
    <w:p>
      <w:pPr>
        <w:spacing w:after="40" w:line="276" w:lineRule="auto"/>
      </w:pPr>
      <w:r>
        <w:rPr>
          <w:rFonts w:ascii="Cambria" w:hAnsi="Cambria" w:eastAsia="Cambria"/>
          <w:b/>
          <w:i/>
          <w:sz w:val="22"/>
        </w:rPr>
        <w:t>A. Peer Perception (PR) – 100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measures: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Reputation of the institution among academic peers, employers, research collaborators, and the public.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Survey-based metric capturing quality of graduates, employability, research strength, and academic standing.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How it is collected: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conducts surveys with employers, recruiters, academics, and experts.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peer recognition at national and international levels.</w:t>
      </w:r>
    </w:p>
    <w:p>
      <w:pPr>
        <w:spacing w:after="40" w:line="276" w:lineRule="auto"/>
      </w:pPr>
      <w:r>
        <w:rPr>
          <w:rFonts w:ascii="Cambria" w:hAnsi="Cambria" w:eastAsia="Cambria"/>
          <w:b/>
          <w:i/>
          <w:sz w:val="22"/>
        </w:rPr>
        <w:t>Special Rule for Universities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 the case of universities, PR is not solely based on peer surveys.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is divided into: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70% – Peer Perception (Academics &amp; Employers)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30% – Accreditation Scores (from NAAC/NBA or equivalent bodies).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this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Universities are often multidisciplinary with diverse outcomes, so accreditation provides an additional layer of quality assurance.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avoid over-reliance on subjective peer opinion.</w:t>
      </w:r>
    </w:p>
    <w:p>
      <w:pPr>
        <w:spacing w:after="40" w:line="276" w:lineRule="auto"/>
      </w:pPr>
      <w:r>
        <w:rPr>
          <w:rFonts w:ascii="Cambria" w:hAnsi="Cambria" w:eastAsia="Cambria"/>
          <w:b/>
          <w:i w:val="0"/>
          <w:sz w:val="22"/>
        </w:rPr>
        <w:t>Overall Significance of PR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contributes 10% to the NIRF overall ranking.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Although its weight is smaller compared to TLR or RP, PR can significantly impact the rank of reputed institutions.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Strong PR reflects: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Trust of employers in student employability.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Recognition by academic peers of research and teaching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Validation of accreditation, especially for universities.</w:t>
      </w:r>
    </w:p>
    <w:p>
      <w:pPr>
        <w:keepNext/>
        <w:spacing w:before="200" w:after="100"/>
      </w:pPr>
      <w:r>
        <w:rPr>
          <w:rFonts w:ascii="Cambria" w:hAnsi="Cambria" w:eastAsia="Cambria"/>
          <w:b/>
          <w:i w:val="0"/>
          <w:color w:val="1F3A5F"/>
          <w:sz w:val="26"/>
        </w:rPr>
        <w:t>NIRF 2024 – Consolidated Ranking Parameters</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3685"/>
            <w:shd w:val="clear" w:color="auto" w:fill="1F3A5F"/>
          </w:tcPr>
          <w:p>
            <w:pPr>
              <w:spacing w:after="40" w:line="240" w:lineRule="auto"/>
              <w:jc w:val="center"/>
            </w:pPr>
            <w:r/>
            <w:r>
              <w:rPr>
                <w:rFonts w:ascii="Cambria" w:hAnsi="Cambria" w:eastAsia="Cambria"/>
                <w:b/>
                <w:i w:val="0"/>
                <w:color w:val="FFFFFF"/>
                <w:sz w:val="22"/>
              </w:rPr>
              <w:t>Parameter</w:t>
            </w:r>
          </w:p>
        </w:tc>
        <w:tc>
          <w:tcPr>
            <w:tcW w:type="dxa" w:w="1417"/>
            <w:shd w:val="clear" w:color="auto" w:fill="1F3A5F"/>
          </w:tcPr>
          <w:p>
            <w:pPr>
              <w:spacing w:after="40" w:line="240" w:lineRule="auto"/>
              <w:jc w:val="center"/>
            </w:pPr>
            <w:r/>
            <w:r>
              <w:rPr>
                <w:rFonts w:ascii="Cambria" w:hAnsi="Cambria" w:eastAsia="Cambria"/>
                <w:b/>
                <w:i w:val="0"/>
                <w:color w:val="FFFFFF"/>
                <w:sz w:val="22"/>
              </w:rPr>
              <w:t>Marks</w:t>
            </w:r>
          </w:p>
        </w:tc>
        <w:tc>
          <w:tcPr>
            <w:tcW w:type="dxa" w:w="1417"/>
            <w:shd w:val="clear" w:color="auto" w:fill="1F3A5F"/>
          </w:tcPr>
          <w:p>
            <w:pPr>
              <w:spacing w:after="40" w:line="240" w:lineRule="auto"/>
              <w:jc w:val="center"/>
            </w:pPr>
            <w:r/>
            <w:r>
              <w:rPr>
                <w:rFonts w:ascii="Cambria" w:hAnsi="Cambria" w:eastAsia="Cambria"/>
                <w:b/>
                <w:i w:val="0"/>
                <w:color w:val="FFFFFF"/>
                <w:sz w:val="22"/>
              </w:rPr>
              <w:t>Weight</w:t>
            </w:r>
          </w:p>
        </w:tc>
        <w:tc>
          <w:tcPr>
            <w:tcW w:type="dxa" w:w="2891"/>
            <w:shd w:val="clear" w:color="auto" w:fill="1F3A5F"/>
          </w:tcPr>
          <w:p>
            <w:pPr>
              <w:spacing w:after="40" w:line="240" w:lineRule="auto"/>
              <w:jc w:val="center"/>
            </w:pPr>
            <w:r/>
            <w:r>
              <w:rPr>
                <w:rFonts w:ascii="Cambria" w:hAnsi="Cambria" w:eastAsia="Cambria"/>
                <w:b/>
                <w:i w:val="0"/>
                <w:color w:val="FFFFFF"/>
                <w:sz w:val="22"/>
              </w:rPr>
              <w:t>Contribution to Overall Score (Out of 100)</w:t>
            </w:r>
          </w:p>
        </w:tc>
      </w:tr>
      <w:tr>
        <w:tc>
          <w:tcPr>
            <w:tcW w:type="dxa" w:w="3685"/>
          </w:tcPr>
          <w:p>
            <w:pPr>
              <w:spacing w:after="40" w:line="240" w:lineRule="auto"/>
              <w:jc w:val="left"/>
            </w:pPr>
            <w:r/>
            <w:r>
              <w:rPr>
                <w:rFonts w:ascii="Cambria" w:hAnsi="Cambria" w:eastAsia="Cambria"/>
                <w:b w:val="0"/>
                <w:i w:val="0"/>
                <w:sz w:val="22"/>
              </w:rPr>
              <w:t>Teaching, Learning &amp; Resources (TLR)</w:t>
            </w:r>
          </w:p>
        </w:tc>
        <w:tc>
          <w:tcPr>
            <w:tcW w:type="dxa" w:w="1417"/>
          </w:tcPr>
          <w:p>
            <w:pPr>
              <w:spacing w:after="40" w:line="240" w:lineRule="auto"/>
              <w:jc w:val="center"/>
            </w:pPr>
            <w:r/>
            <w:r>
              <w:rPr>
                <w:rFonts w:ascii="Cambria" w:hAnsi="Cambria" w:eastAsia="Cambria"/>
                <w:b w:val="0"/>
                <w:i w:val="0"/>
                <w:sz w:val="22"/>
              </w:rPr>
              <w:t>100</w:t>
            </w:r>
          </w:p>
        </w:tc>
        <w:tc>
          <w:tcPr>
            <w:tcW w:type="dxa" w:w="1417"/>
          </w:tcPr>
          <w:p>
            <w:pPr>
              <w:spacing w:after="40" w:line="240" w:lineRule="auto"/>
              <w:jc w:val="center"/>
            </w:pPr>
            <w:r/>
            <w:r>
              <w:rPr>
                <w:rFonts w:ascii="Cambria" w:hAnsi="Cambria" w:eastAsia="Cambria"/>
                <w:b w:val="0"/>
                <w:i w:val="0"/>
                <w:sz w:val="22"/>
              </w:rPr>
              <w:t>0.30</w:t>
            </w:r>
          </w:p>
        </w:tc>
        <w:tc>
          <w:tcPr>
            <w:tcW w:type="dxa" w:w="2891"/>
          </w:tcPr>
          <w:p>
            <w:pPr>
              <w:spacing w:after="40" w:line="240" w:lineRule="auto"/>
              <w:jc w:val="center"/>
            </w:pPr>
            <w:r/>
            <w:r>
              <w:rPr>
                <w:rFonts w:ascii="Cambria" w:hAnsi="Cambria" w:eastAsia="Cambria"/>
                <w:b w:val="0"/>
                <w:i w:val="0"/>
                <w:sz w:val="22"/>
              </w:rPr>
              <w:t>30</w:t>
            </w:r>
          </w:p>
        </w:tc>
      </w:tr>
      <w:tr>
        <w:tc>
          <w:tcPr>
            <w:tcW w:type="dxa" w:w="3685"/>
            <w:shd w:val="clear" w:color="auto" w:fill="DCE6F1"/>
          </w:tcPr>
          <w:p>
            <w:pPr>
              <w:spacing w:after="40" w:line="240" w:lineRule="auto"/>
              <w:jc w:val="left"/>
            </w:pPr>
            <w:r/>
            <w:r>
              <w:rPr>
                <w:rFonts w:ascii="Cambria" w:hAnsi="Cambria" w:eastAsia="Cambria"/>
                <w:b w:val="0"/>
                <w:i w:val="0"/>
                <w:sz w:val="22"/>
              </w:rPr>
              <w:t>Research &amp; Professional Practices (RP)</w:t>
            </w:r>
          </w:p>
        </w:tc>
        <w:tc>
          <w:tcPr>
            <w:tcW w:type="dxa" w:w="1417"/>
            <w:shd w:val="clear" w:color="auto" w:fill="DCE6F1"/>
          </w:tcPr>
          <w:p>
            <w:pPr>
              <w:spacing w:after="40" w:line="240" w:lineRule="auto"/>
              <w:jc w:val="center"/>
            </w:pPr>
            <w:r/>
            <w:r>
              <w:rPr>
                <w:rFonts w:ascii="Cambria" w:hAnsi="Cambria" w:eastAsia="Cambria"/>
                <w:b w:val="0"/>
                <w:i w:val="0"/>
                <w:sz w:val="22"/>
              </w:rPr>
              <w:t>100</w:t>
            </w:r>
          </w:p>
        </w:tc>
        <w:tc>
          <w:tcPr>
            <w:tcW w:type="dxa" w:w="1417"/>
            <w:shd w:val="clear" w:color="auto" w:fill="DCE6F1"/>
          </w:tcPr>
          <w:p>
            <w:pPr>
              <w:spacing w:after="40" w:line="240" w:lineRule="auto"/>
              <w:jc w:val="center"/>
            </w:pPr>
            <w:r/>
            <w:r>
              <w:rPr>
                <w:rFonts w:ascii="Cambria" w:hAnsi="Cambria" w:eastAsia="Cambria"/>
                <w:b w:val="0"/>
                <w:i w:val="0"/>
                <w:sz w:val="22"/>
              </w:rPr>
              <w:t>0.30</w:t>
            </w:r>
          </w:p>
        </w:tc>
        <w:tc>
          <w:tcPr>
            <w:tcW w:type="dxa" w:w="2891"/>
            <w:shd w:val="clear" w:color="auto" w:fill="DCE6F1"/>
          </w:tcPr>
          <w:p>
            <w:pPr>
              <w:spacing w:after="40" w:line="240" w:lineRule="auto"/>
              <w:jc w:val="center"/>
            </w:pPr>
            <w:r/>
            <w:r>
              <w:rPr>
                <w:rFonts w:ascii="Cambria" w:hAnsi="Cambria" w:eastAsia="Cambria"/>
                <w:b w:val="0"/>
                <w:i w:val="0"/>
                <w:sz w:val="22"/>
              </w:rPr>
              <w:t>30</w:t>
            </w:r>
          </w:p>
        </w:tc>
      </w:tr>
      <w:tr>
        <w:tc>
          <w:tcPr>
            <w:tcW w:type="dxa" w:w="3685"/>
          </w:tcPr>
          <w:p>
            <w:pPr>
              <w:spacing w:after="40" w:line="240" w:lineRule="auto"/>
              <w:jc w:val="left"/>
            </w:pPr>
            <w:r/>
            <w:r>
              <w:rPr>
                <w:rFonts w:ascii="Cambria" w:hAnsi="Cambria" w:eastAsia="Cambria"/>
                <w:b w:val="0"/>
                <w:i w:val="0"/>
                <w:sz w:val="22"/>
              </w:rPr>
              <w:t>Graduation Outcomes (GO)</w:t>
            </w:r>
          </w:p>
        </w:tc>
        <w:tc>
          <w:tcPr>
            <w:tcW w:type="dxa" w:w="1417"/>
          </w:tcPr>
          <w:p>
            <w:pPr>
              <w:spacing w:after="40" w:line="240" w:lineRule="auto"/>
              <w:jc w:val="center"/>
            </w:pPr>
            <w:r/>
            <w:r>
              <w:rPr>
                <w:rFonts w:ascii="Cambria" w:hAnsi="Cambria" w:eastAsia="Cambria"/>
                <w:b w:val="0"/>
                <w:i w:val="0"/>
                <w:sz w:val="22"/>
              </w:rPr>
              <w:t>100</w:t>
            </w:r>
          </w:p>
        </w:tc>
        <w:tc>
          <w:tcPr>
            <w:tcW w:type="dxa" w:w="1417"/>
          </w:tcPr>
          <w:p>
            <w:pPr>
              <w:spacing w:after="40" w:line="240" w:lineRule="auto"/>
              <w:jc w:val="center"/>
            </w:pPr>
            <w:r/>
            <w:r>
              <w:rPr>
                <w:rFonts w:ascii="Cambria" w:hAnsi="Cambria" w:eastAsia="Cambria"/>
                <w:b w:val="0"/>
                <w:i w:val="0"/>
                <w:sz w:val="22"/>
              </w:rPr>
              <w:t>0.20</w:t>
            </w:r>
          </w:p>
        </w:tc>
        <w:tc>
          <w:tcPr>
            <w:tcW w:type="dxa" w:w="2891"/>
          </w:tcPr>
          <w:p>
            <w:pPr>
              <w:spacing w:after="40" w:line="240" w:lineRule="auto"/>
              <w:jc w:val="center"/>
            </w:pPr>
            <w:r/>
            <w:r>
              <w:rPr>
                <w:rFonts w:ascii="Cambria" w:hAnsi="Cambria" w:eastAsia="Cambria"/>
                <w:b w:val="0"/>
                <w:i w:val="0"/>
                <w:sz w:val="22"/>
              </w:rPr>
              <w:t>20</w:t>
            </w:r>
          </w:p>
        </w:tc>
      </w:tr>
      <w:tr>
        <w:tc>
          <w:tcPr>
            <w:tcW w:type="dxa" w:w="3685"/>
            <w:shd w:val="clear" w:color="auto" w:fill="DCE6F1"/>
          </w:tcPr>
          <w:p>
            <w:pPr>
              <w:spacing w:after="40" w:line="240" w:lineRule="auto"/>
              <w:jc w:val="left"/>
            </w:pPr>
            <w:r/>
            <w:r>
              <w:rPr>
                <w:rFonts w:ascii="Cambria" w:hAnsi="Cambria" w:eastAsia="Cambria"/>
                <w:b w:val="0"/>
                <w:i w:val="0"/>
                <w:sz w:val="22"/>
              </w:rPr>
              <w:t>Outreach &amp; Inclusivity (OI)</w:t>
            </w:r>
          </w:p>
        </w:tc>
        <w:tc>
          <w:tcPr>
            <w:tcW w:type="dxa" w:w="1417"/>
            <w:shd w:val="clear" w:color="auto" w:fill="DCE6F1"/>
          </w:tcPr>
          <w:p>
            <w:pPr>
              <w:spacing w:after="40" w:line="240" w:lineRule="auto"/>
              <w:jc w:val="center"/>
            </w:pPr>
            <w:r/>
            <w:r>
              <w:rPr>
                <w:rFonts w:ascii="Cambria" w:hAnsi="Cambria" w:eastAsia="Cambria"/>
                <w:b w:val="0"/>
                <w:i w:val="0"/>
                <w:sz w:val="22"/>
              </w:rPr>
              <w:t>100</w:t>
            </w:r>
          </w:p>
        </w:tc>
        <w:tc>
          <w:tcPr>
            <w:tcW w:type="dxa" w:w="1417"/>
            <w:shd w:val="clear" w:color="auto" w:fill="DCE6F1"/>
          </w:tcPr>
          <w:p>
            <w:pPr>
              <w:spacing w:after="40" w:line="240" w:lineRule="auto"/>
              <w:jc w:val="center"/>
            </w:pPr>
            <w:r/>
            <w:r>
              <w:rPr>
                <w:rFonts w:ascii="Cambria" w:hAnsi="Cambria" w:eastAsia="Cambria"/>
                <w:b w:val="0"/>
                <w:i w:val="0"/>
                <w:sz w:val="22"/>
              </w:rPr>
              <w:t>0.10</w:t>
            </w:r>
          </w:p>
        </w:tc>
        <w:tc>
          <w:tcPr>
            <w:tcW w:type="dxa" w:w="2891"/>
            <w:shd w:val="clear" w:color="auto" w:fill="DCE6F1"/>
          </w:tcPr>
          <w:p>
            <w:pPr>
              <w:spacing w:after="40" w:line="240" w:lineRule="auto"/>
              <w:jc w:val="center"/>
            </w:pPr>
            <w:r/>
            <w:r>
              <w:rPr>
                <w:rFonts w:ascii="Cambria" w:hAnsi="Cambria" w:eastAsia="Cambria"/>
                <w:b w:val="0"/>
                <w:i w:val="0"/>
                <w:sz w:val="22"/>
              </w:rPr>
              <w:t>10</w:t>
            </w:r>
          </w:p>
        </w:tc>
      </w:tr>
      <w:tr>
        <w:tc>
          <w:tcPr>
            <w:tcW w:type="dxa" w:w="3685"/>
          </w:tcPr>
          <w:p>
            <w:pPr>
              <w:spacing w:after="40" w:line="240" w:lineRule="auto"/>
              <w:jc w:val="left"/>
            </w:pPr>
            <w:r/>
            <w:r>
              <w:rPr>
                <w:rFonts w:ascii="Cambria" w:hAnsi="Cambria" w:eastAsia="Cambria"/>
                <w:b w:val="0"/>
                <w:i w:val="0"/>
                <w:sz w:val="22"/>
              </w:rPr>
              <w:t>Perception (PR)</w:t>
            </w:r>
          </w:p>
        </w:tc>
        <w:tc>
          <w:tcPr>
            <w:tcW w:type="dxa" w:w="1417"/>
          </w:tcPr>
          <w:p>
            <w:pPr>
              <w:spacing w:after="40" w:line="240" w:lineRule="auto"/>
              <w:jc w:val="center"/>
            </w:pPr>
            <w:r/>
            <w:r>
              <w:rPr>
                <w:rFonts w:ascii="Cambria" w:hAnsi="Cambria" w:eastAsia="Cambria"/>
                <w:b w:val="0"/>
                <w:i w:val="0"/>
                <w:sz w:val="22"/>
              </w:rPr>
              <w:t>100</w:t>
            </w:r>
          </w:p>
        </w:tc>
        <w:tc>
          <w:tcPr>
            <w:tcW w:type="dxa" w:w="1417"/>
          </w:tcPr>
          <w:p>
            <w:pPr>
              <w:spacing w:after="40" w:line="240" w:lineRule="auto"/>
              <w:jc w:val="center"/>
            </w:pPr>
            <w:r/>
            <w:r>
              <w:rPr>
                <w:rFonts w:ascii="Cambria" w:hAnsi="Cambria" w:eastAsia="Cambria"/>
                <w:b w:val="0"/>
                <w:i w:val="0"/>
                <w:sz w:val="22"/>
              </w:rPr>
              <w:t>0.10</w:t>
            </w:r>
          </w:p>
        </w:tc>
        <w:tc>
          <w:tcPr>
            <w:tcW w:type="dxa" w:w="2891"/>
          </w:tcPr>
          <w:p>
            <w:pPr>
              <w:spacing w:after="40" w:line="240" w:lineRule="auto"/>
              <w:jc w:val="center"/>
            </w:pPr>
            <w:r/>
            <w:r>
              <w:rPr>
                <w:rFonts w:ascii="Cambria" w:hAnsi="Cambria" w:eastAsia="Cambria"/>
                <w:b w:val="0"/>
                <w:i w:val="0"/>
                <w:sz w:val="22"/>
              </w:rPr>
              <w:t>10</w:t>
            </w:r>
          </w:p>
        </w:tc>
      </w:tr>
      <w:tr>
        <w:tc>
          <w:tcPr>
            <w:tcW w:type="dxa" w:w="3685"/>
            <w:shd w:val="clear" w:color="auto" w:fill="B9CDE5"/>
          </w:tcPr>
          <w:p>
            <w:pPr>
              <w:spacing w:after="40" w:line="240" w:lineRule="auto"/>
              <w:jc w:val="left"/>
            </w:pPr>
            <w:r/>
            <w:r>
              <w:rPr>
                <w:rFonts w:ascii="Cambria" w:hAnsi="Cambria" w:eastAsia="Cambria"/>
                <w:b/>
                <w:i w:val="0"/>
                <w:sz w:val="22"/>
              </w:rPr>
              <w:t>Total</w:t>
            </w:r>
          </w:p>
        </w:tc>
        <w:tc>
          <w:tcPr>
            <w:tcW w:type="dxa" w:w="1417"/>
            <w:shd w:val="clear" w:color="auto" w:fill="B9CDE5"/>
          </w:tcPr>
          <w:p>
            <w:pPr>
              <w:spacing w:after="40" w:line="240" w:lineRule="auto"/>
              <w:jc w:val="center"/>
            </w:pPr>
            <w:r/>
            <w:r>
              <w:rPr>
                <w:rFonts w:ascii="Cambria" w:hAnsi="Cambria" w:eastAsia="Cambria"/>
                <w:b/>
                <w:i w:val="0"/>
                <w:sz w:val="22"/>
              </w:rPr>
              <w:t>500</w:t>
            </w:r>
          </w:p>
        </w:tc>
        <w:tc>
          <w:tcPr>
            <w:tcW w:type="dxa" w:w="1417"/>
            <w:shd w:val="clear" w:color="auto" w:fill="B9CDE5"/>
          </w:tcPr>
          <w:p>
            <w:pPr>
              <w:spacing w:after="40" w:line="240" w:lineRule="auto"/>
              <w:jc w:val="center"/>
            </w:pPr>
            <w:r/>
            <w:r>
              <w:rPr>
                <w:rFonts w:ascii="Cambria" w:hAnsi="Cambria" w:eastAsia="Cambria"/>
                <w:b/>
                <w:i w:val="0"/>
                <w:sz w:val="22"/>
              </w:rPr>
              <w:t>–</w:t>
            </w:r>
          </w:p>
        </w:tc>
        <w:tc>
          <w:tcPr>
            <w:tcW w:type="dxa" w:w="2891"/>
            <w:shd w:val="clear" w:color="auto" w:fill="B9CDE5"/>
          </w:tcPr>
          <w:p>
            <w:pPr>
              <w:spacing w:after="40" w:line="240" w:lineRule="auto"/>
              <w:jc w:val="center"/>
            </w:pPr>
            <w:r/>
            <w:r>
              <w:rPr>
                <w:rFonts w:ascii="Cambria" w:hAnsi="Cambria" w:eastAsia="Cambria"/>
                <w:b/>
                <w:i w:val="0"/>
                <w:sz w:val="22"/>
              </w:rPr>
              <w:t>100</w:t>
            </w:r>
          </w:p>
        </w:tc>
      </w:tr>
    </w:tbl>
    <w:p>
      <w:r>
        <w:br w:type="page"/>
      </w:r>
    </w:p>
    <w:p>
      <w:pPr>
        <w:keepNext/>
        <w:spacing w:before="360" w:after="160"/>
      </w:pPr>
      <w:r>
        <w:rPr>
          <w:rFonts w:ascii="Cambria" w:hAnsi="Cambria" w:eastAsia="Cambria"/>
          <w:b/>
          <w:i w:val="0"/>
          <w:color w:val="1F3A5F"/>
          <w:sz w:val="36"/>
        </w:rPr>
        <w:t>29. Teaching, Learning &amp; Resources (TLR) – NIRF 2024</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Ranking Weight: 0.30 (30%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Formula:</w:t>
      </w:r>
    </w:p>
    <w:p>
      <w:pPr>
        <w:spacing w:after="120" w:line="276" w:lineRule="auto"/>
        <w:ind w:left="737"/>
      </w:pPr>
      <w:r>
        <w:rPr>
          <w:rFonts w:ascii="Cambria" w:hAnsi="Cambria" w:eastAsia="Cambria"/>
          <w:b w:val="0"/>
          <w:i w:val="0"/>
          <w:sz w:val="22"/>
        </w:rPr>
        <w:t>TLR = SS(20) + FSR(25) + FQE(20) + FRU(20) + OE(10) + MIR(5)</w:t>
      </w:r>
    </w:p>
    <w:p>
      <w:pPr>
        <w:spacing w:after="40" w:line="276" w:lineRule="auto"/>
      </w:pPr>
      <w:r>
        <w:rPr>
          <w:rFonts w:ascii="Cambria" w:hAnsi="Cambria" w:eastAsia="Cambria"/>
          <w:b/>
          <w:i w:val="0"/>
          <w:sz w:val="22"/>
        </w:rPr>
        <w:t>Component Metrics of TLR</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Code</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Explanation</w:t>
            </w:r>
          </w:p>
        </w:tc>
      </w:tr>
      <w:tr>
        <w:tc>
          <w:tcPr>
            <w:tcW w:type="dxa" w:w="737"/>
          </w:tcPr>
          <w:p>
            <w:pPr>
              <w:spacing w:after="40" w:line="240" w:lineRule="auto"/>
              <w:jc w:val="left"/>
            </w:pPr>
            <w:r/>
            <w:r>
              <w:rPr>
                <w:rFonts w:ascii="Cambria" w:hAnsi="Cambria" w:eastAsia="Cambria"/>
                <w:b w:val="0"/>
                <w:i w:val="0"/>
                <w:sz w:val="22"/>
              </w:rPr>
              <w:t>SS</w:t>
            </w:r>
          </w:p>
        </w:tc>
        <w:tc>
          <w:tcPr>
            <w:tcW w:type="dxa" w:w="3572"/>
          </w:tcPr>
          <w:p>
            <w:pPr>
              <w:spacing w:after="40" w:line="240" w:lineRule="auto"/>
              <w:jc w:val="center"/>
            </w:pPr>
            <w:r/>
            <w:r>
              <w:rPr>
                <w:rFonts w:ascii="Cambria" w:hAnsi="Cambria" w:eastAsia="Cambria"/>
                <w:b w:val="0"/>
                <w:i w:val="0"/>
                <w:sz w:val="22"/>
              </w:rPr>
              <w:t>Student Strength including Ph.D. Students</w:t>
            </w:r>
          </w:p>
        </w:tc>
        <w:tc>
          <w:tcPr>
            <w:tcW w:type="dxa" w:w="850"/>
          </w:tcPr>
          <w:p>
            <w:pPr>
              <w:spacing w:after="40" w:line="240" w:lineRule="auto"/>
              <w:jc w:val="center"/>
            </w:pPr>
            <w:r/>
            <w:r>
              <w:rPr>
                <w:rFonts w:ascii="Cambria" w:hAnsi="Cambria" w:eastAsia="Cambria"/>
                <w:b w:val="0"/>
                <w:i w:val="0"/>
                <w:sz w:val="22"/>
              </w:rPr>
              <w:t>20</w:t>
            </w:r>
          </w:p>
        </w:tc>
        <w:tc>
          <w:tcPr>
            <w:tcW w:type="dxa" w:w="4252"/>
          </w:tcPr>
          <w:p>
            <w:pPr>
              <w:spacing w:after="40" w:line="240" w:lineRule="auto"/>
              <w:jc w:val="center"/>
            </w:pPr>
            <w:r/>
            <w:r>
              <w:rPr>
                <w:rFonts w:ascii="Cambria" w:hAnsi="Cambria" w:eastAsia="Cambria"/>
                <w:b w:val="0"/>
                <w:i w:val="0"/>
                <w:sz w:val="22"/>
              </w:rPr>
              <w:t>Evaluates student intake across UG, PG, and Ph.D. levels; higher doctoral student strength reflects strong research orientation</w:t>
            </w:r>
          </w:p>
        </w:tc>
      </w:tr>
      <w:tr>
        <w:tc>
          <w:tcPr>
            <w:tcW w:type="dxa" w:w="737"/>
            <w:shd w:val="clear" w:color="auto" w:fill="DCE6F1"/>
          </w:tcPr>
          <w:p>
            <w:pPr>
              <w:spacing w:after="40" w:line="240" w:lineRule="auto"/>
              <w:jc w:val="left"/>
            </w:pPr>
            <w:r/>
            <w:r>
              <w:rPr>
                <w:rFonts w:ascii="Cambria" w:hAnsi="Cambria" w:eastAsia="Cambria"/>
                <w:b w:val="0"/>
                <w:i w:val="0"/>
                <w:sz w:val="22"/>
              </w:rPr>
              <w:t>FSR</w:t>
            </w:r>
          </w:p>
        </w:tc>
        <w:tc>
          <w:tcPr>
            <w:tcW w:type="dxa" w:w="3572"/>
            <w:shd w:val="clear" w:color="auto" w:fill="DCE6F1"/>
          </w:tcPr>
          <w:p>
            <w:pPr>
              <w:spacing w:after="40" w:line="240" w:lineRule="auto"/>
              <w:jc w:val="center"/>
            </w:pPr>
            <w:r/>
            <w:r>
              <w:rPr>
                <w:rFonts w:ascii="Cambria" w:hAnsi="Cambria" w:eastAsia="Cambria"/>
                <w:b w:val="0"/>
                <w:i w:val="0"/>
                <w:sz w:val="22"/>
              </w:rPr>
              <w:t>Faculty–Student Ratio with emphasis on permanent faculty</w:t>
            </w:r>
          </w:p>
        </w:tc>
        <w:tc>
          <w:tcPr>
            <w:tcW w:type="dxa" w:w="850"/>
            <w:shd w:val="clear" w:color="auto" w:fill="DCE6F1"/>
          </w:tcPr>
          <w:p>
            <w:pPr>
              <w:spacing w:after="40" w:line="240" w:lineRule="auto"/>
              <w:jc w:val="center"/>
            </w:pPr>
            <w:r/>
            <w:r>
              <w:rPr>
                <w:rFonts w:ascii="Cambria" w:hAnsi="Cambria" w:eastAsia="Cambria"/>
                <w:b w:val="0"/>
                <w:i w:val="0"/>
                <w:sz w:val="22"/>
              </w:rPr>
              <w:t>25</w:t>
            </w:r>
          </w:p>
        </w:tc>
        <w:tc>
          <w:tcPr>
            <w:tcW w:type="dxa" w:w="4252"/>
            <w:shd w:val="clear" w:color="auto" w:fill="DCE6F1"/>
          </w:tcPr>
          <w:p>
            <w:pPr>
              <w:spacing w:after="40" w:line="240" w:lineRule="auto"/>
              <w:jc w:val="center"/>
            </w:pPr>
            <w:r/>
            <w:r>
              <w:rPr>
                <w:rFonts w:ascii="Cambria" w:hAnsi="Cambria" w:eastAsia="Cambria"/>
                <w:b w:val="0"/>
                <w:i w:val="0"/>
                <w:sz w:val="22"/>
              </w:rPr>
              <w:t>Measures adequacy of teaching staff relative to student numbers, giving higher weight to permanent faculty for academic stability</w:t>
            </w:r>
          </w:p>
        </w:tc>
      </w:tr>
      <w:tr>
        <w:tc>
          <w:tcPr>
            <w:tcW w:type="dxa" w:w="737"/>
          </w:tcPr>
          <w:p>
            <w:pPr>
              <w:spacing w:after="40" w:line="240" w:lineRule="auto"/>
              <w:jc w:val="left"/>
            </w:pPr>
            <w:r/>
            <w:r>
              <w:rPr>
                <w:rFonts w:ascii="Cambria" w:hAnsi="Cambria" w:eastAsia="Cambria"/>
                <w:b w:val="0"/>
                <w:i w:val="0"/>
                <w:sz w:val="22"/>
              </w:rPr>
              <w:t>FQE</w:t>
            </w:r>
          </w:p>
        </w:tc>
        <w:tc>
          <w:tcPr>
            <w:tcW w:type="dxa" w:w="3572"/>
          </w:tcPr>
          <w:p>
            <w:pPr>
              <w:spacing w:after="40" w:line="240" w:lineRule="auto"/>
              <w:jc w:val="center"/>
            </w:pPr>
            <w:r/>
            <w:r>
              <w:rPr>
                <w:rFonts w:ascii="Cambria" w:hAnsi="Cambria" w:eastAsia="Cambria"/>
                <w:b w:val="0"/>
                <w:i w:val="0"/>
                <w:sz w:val="22"/>
              </w:rPr>
              <w:t>Combined metric for Faculty with PhD (or equivalent) and Experience</w:t>
            </w:r>
          </w:p>
        </w:tc>
        <w:tc>
          <w:tcPr>
            <w:tcW w:type="dxa" w:w="850"/>
          </w:tcPr>
          <w:p>
            <w:pPr>
              <w:spacing w:after="40" w:line="240" w:lineRule="auto"/>
              <w:jc w:val="center"/>
            </w:pPr>
            <w:r/>
            <w:r>
              <w:rPr>
                <w:rFonts w:ascii="Cambria" w:hAnsi="Cambria" w:eastAsia="Cambria"/>
                <w:b w:val="0"/>
                <w:i w:val="0"/>
                <w:sz w:val="22"/>
              </w:rPr>
              <w:t>20</w:t>
            </w:r>
          </w:p>
        </w:tc>
        <w:tc>
          <w:tcPr>
            <w:tcW w:type="dxa" w:w="4252"/>
          </w:tcPr>
          <w:p>
            <w:pPr>
              <w:spacing w:after="40" w:line="240" w:lineRule="auto"/>
              <w:jc w:val="center"/>
            </w:pPr>
            <w:r/>
            <w:r>
              <w:rPr>
                <w:rFonts w:ascii="Cambria" w:hAnsi="Cambria" w:eastAsia="Cambria"/>
                <w:b w:val="0"/>
                <w:i w:val="0"/>
                <w:sz w:val="22"/>
              </w:rPr>
              <w:t>Rewards institutions for employing highly qualified and experienced faculty members</w:t>
            </w:r>
          </w:p>
        </w:tc>
      </w:tr>
      <w:tr>
        <w:tc>
          <w:tcPr>
            <w:tcW w:type="dxa" w:w="737"/>
            <w:shd w:val="clear" w:color="auto" w:fill="DCE6F1"/>
          </w:tcPr>
          <w:p>
            <w:pPr>
              <w:spacing w:after="40" w:line="240" w:lineRule="auto"/>
              <w:jc w:val="left"/>
            </w:pPr>
            <w:r/>
            <w:r>
              <w:rPr>
                <w:rFonts w:ascii="Cambria" w:hAnsi="Cambria" w:eastAsia="Cambria"/>
                <w:b w:val="0"/>
                <w:i w:val="0"/>
                <w:sz w:val="22"/>
              </w:rPr>
              <w:t>FRU</w:t>
            </w:r>
          </w:p>
        </w:tc>
        <w:tc>
          <w:tcPr>
            <w:tcW w:type="dxa" w:w="3572"/>
            <w:shd w:val="clear" w:color="auto" w:fill="DCE6F1"/>
          </w:tcPr>
          <w:p>
            <w:pPr>
              <w:spacing w:after="40" w:line="240" w:lineRule="auto"/>
              <w:jc w:val="center"/>
            </w:pPr>
            <w:r/>
            <w:r>
              <w:rPr>
                <w:rFonts w:ascii="Cambria" w:hAnsi="Cambria" w:eastAsia="Cambria"/>
                <w:b w:val="0"/>
                <w:i w:val="0"/>
                <w:sz w:val="22"/>
              </w:rPr>
              <w:t>Financial Resources and Their Utilisation</w:t>
            </w:r>
          </w:p>
        </w:tc>
        <w:tc>
          <w:tcPr>
            <w:tcW w:type="dxa" w:w="850"/>
            <w:shd w:val="clear" w:color="auto" w:fill="DCE6F1"/>
          </w:tcPr>
          <w:p>
            <w:pPr>
              <w:spacing w:after="40" w:line="240" w:lineRule="auto"/>
              <w:jc w:val="center"/>
            </w:pPr>
            <w:r/>
            <w:r>
              <w:rPr>
                <w:rFonts w:ascii="Cambria" w:hAnsi="Cambria" w:eastAsia="Cambria"/>
                <w:b w:val="0"/>
                <w:i w:val="0"/>
                <w:sz w:val="22"/>
              </w:rPr>
              <w:t>20</w:t>
            </w:r>
          </w:p>
        </w:tc>
        <w:tc>
          <w:tcPr>
            <w:tcW w:type="dxa" w:w="4252"/>
            <w:shd w:val="clear" w:color="auto" w:fill="DCE6F1"/>
          </w:tcPr>
          <w:p>
            <w:pPr>
              <w:spacing w:after="40" w:line="240" w:lineRule="auto"/>
              <w:jc w:val="center"/>
            </w:pPr>
            <w:r/>
            <w:r>
              <w:rPr>
                <w:rFonts w:ascii="Cambria" w:hAnsi="Cambria" w:eastAsia="Cambria"/>
                <w:b w:val="0"/>
                <w:i w:val="0"/>
                <w:sz w:val="22"/>
              </w:rPr>
              <w:t>Considers total financial resources, effective utilization of funds for academics, infrastructure, and research</w:t>
            </w:r>
          </w:p>
        </w:tc>
      </w:tr>
      <w:tr>
        <w:tc>
          <w:tcPr>
            <w:tcW w:type="dxa" w:w="737"/>
          </w:tcPr>
          <w:p>
            <w:pPr>
              <w:spacing w:after="40" w:line="240" w:lineRule="auto"/>
              <w:jc w:val="left"/>
            </w:pPr>
            <w:r/>
            <w:r>
              <w:rPr>
                <w:rFonts w:ascii="Cambria" w:hAnsi="Cambria" w:eastAsia="Cambria"/>
                <w:b w:val="0"/>
                <w:i w:val="0"/>
                <w:sz w:val="22"/>
              </w:rPr>
              <w:t>OE</w:t>
            </w:r>
          </w:p>
        </w:tc>
        <w:tc>
          <w:tcPr>
            <w:tcW w:type="dxa" w:w="3572"/>
          </w:tcPr>
          <w:p>
            <w:pPr>
              <w:spacing w:after="40" w:line="240" w:lineRule="auto"/>
              <w:jc w:val="center"/>
            </w:pPr>
            <w:r/>
            <w:r>
              <w:rPr>
                <w:rFonts w:ascii="Cambria" w:hAnsi="Cambria" w:eastAsia="Cambria"/>
                <w:b w:val="0"/>
                <w:i w:val="0"/>
                <w:sz w:val="22"/>
              </w:rPr>
              <w:t>Online Education (Syllabus Completion, Exams, SWAYAM)</w:t>
            </w:r>
          </w:p>
        </w:tc>
        <w:tc>
          <w:tcPr>
            <w:tcW w:type="dxa" w:w="850"/>
          </w:tcPr>
          <w:p>
            <w:pPr>
              <w:spacing w:after="40" w:line="240" w:lineRule="auto"/>
              <w:jc w:val="center"/>
            </w:pPr>
            <w:r/>
            <w:r>
              <w:rPr>
                <w:rFonts w:ascii="Cambria" w:hAnsi="Cambria" w:eastAsia="Cambria"/>
                <w:b w:val="0"/>
                <w:i w:val="0"/>
                <w:sz w:val="22"/>
              </w:rPr>
              <w:t>10</w:t>
            </w:r>
          </w:p>
        </w:tc>
        <w:tc>
          <w:tcPr>
            <w:tcW w:type="dxa" w:w="4252"/>
          </w:tcPr>
          <w:p>
            <w:pPr>
              <w:spacing w:after="40" w:line="240" w:lineRule="auto"/>
              <w:jc w:val="center"/>
            </w:pPr>
            <w:r/>
            <w:r>
              <w:rPr>
                <w:rFonts w:ascii="Cambria" w:hAnsi="Cambria" w:eastAsia="Cambria"/>
                <w:b w:val="0"/>
                <w:i w:val="0"/>
                <w:sz w:val="22"/>
              </w:rPr>
              <w:t>Assesses integration of e-learning, MOOC participation, and digital exam completion</w:t>
            </w:r>
          </w:p>
        </w:tc>
      </w:tr>
      <w:tr>
        <w:tc>
          <w:tcPr>
            <w:tcW w:type="dxa" w:w="737"/>
            <w:shd w:val="clear" w:color="auto" w:fill="DCE6F1"/>
          </w:tcPr>
          <w:p>
            <w:pPr>
              <w:spacing w:after="40" w:line="240" w:lineRule="auto"/>
              <w:jc w:val="left"/>
            </w:pPr>
            <w:r/>
            <w:r>
              <w:rPr>
                <w:rFonts w:ascii="Cambria" w:hAnsi="Cambria" w:eastAsia="Cambria"/>
                <w:b w:val="0"/>
                <w:i w:val="0"/>
                <w:sz w:val="22"/>
              </w:rPr>
              <w:t>MIR</w:t>
            </w:r>
          </w:p>
        </w:tc>
        <w:tc>
          <w:tcPr>
            <w:tcW w:type="dxa" w:w="3572"/>
            <w:shd w:val="clear" w:color="auto" w:fill="DCE6F1"/>
          </w:tcPr>
          <w:p>
            <w:pPr>
              <w:spacing w:after="40" w:line="240" w:lineRule="auto"/>
              <w:jc w:val="center"/>
            </w:pPr>
            <w:r/>
            <w:r>
              <w:rPr>
                <w:rFonts w:ascii="Cambria" w:hAnsi="Cambria" w:eastAsia="Cambria"/>
                <w:b w:val="0"/>
                <w:i w:val="0"/>
                <w:sz w:val="22"/>
              </w:rPr>
              <w:t>Multiple Entry/Exit, Indian Knowledge System &amp; Regional Languages</w:t>
            </w:r>
          </w:p>
        </w:tc>
        <w:tc>
          <w:tcPr>
            <w:tcW w:type="dxa" w:w="850"/>
            <w:shd w:val="clear" w:color="auto" w:fill="DCE6F1"/>
          </w:tcPr>
          <w:p>
            <w:pPr>
              <w:spacing w:after="40" w:line="240" w:lineRule="auto"/>
              <w:jc w:val="center"/>
            </w:pPr>
            <w:r/>
            <w:r>
              <w:rPr>
                <w:rFonts w:ascii="Cambria" w:hAnsi="Cambria" w:eastAsia="Cambria"/>
                <w:b w:val="0"/>
                <w:i w:val="0"/>
                <w:sz w:val="22"/>
              </w:rPr>
              <w:t>5</w:t>
            </w:r>
          </w:p>
        </w:tc>
        <w:tc>
          <w:tcPr>
            <w:tcW w:type="dxa" w:w="4252"/>
            <w:shd w:val="clear" w:color="auto" w:fill="DCE6F1"/>
          </w:tcPr>
          <w:p>
            <w:pPr>
              <w:spacing w:after="40" w:line="240" w:lineRule="auto"/>
              <w:jc w:val="center"/>
            </w:pPr>
            <w:r/>
            <w:r>
              <w:rPr>
                <w:rFonts w:ascii="Cambria" w:hAnsi="Cambria" w:eastAsia="Cambria"/>
                <w:b w:val="0"/>
                <w:i w:val="0"/>
                <w:sz w:val="22"/>
              </w:rPr>
              <w:t>Captures adoption of NEP 2020 reforms, inclusion of IKS, and promotion of regional language education</w:t>
            </w:r>
          </w:p>
        </w:tc>
      </w:tr>
    </w:tbl>
    <w:p>
      <w:pPr>
        <w:spacing w:after="40" w:line="276" w:lineRule="auto"/>
      </w:pPr>
      <w:r>
        <w:rPr>
          <w:rFonts w:ascii="Cambria" w:hAnsi="Cambria" w:eastAsia="Cambria"/>
          <w:b/>
          <w:i w:val="0"/>
          <w:sz w:val="22"/>
        </w:rPr>
        <w:t>Significance of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is the largest single contributor (30%) to the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captures not only faculty strength and resources but also the institution's commitment to modernization and inclusivity: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Traditional metrics: faculty numbers, PhD qualifications, financial resources.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Modern reforms: online education, NEP-driven flexibility (MIR), cultural integration.</w:t>
      </w:r>
    </w:p>
    <w:p>
      <w:pPr>
        <w:keepNext/>
        <w:spacing w:before="200" w:after="100"/>
      </w:pPr>
      <w:r>
        <w:rPr>
          <w:rFonts w:ascii="Cambria" w:hAnsi="Cambria" w:eastAsia="Cambria"/>
          <w:b/>
          <w:i w:val="0"/>
          <w:color w:val="1F3A5F"/>
          <w:sz w:val="25"/>
        </w:rPr>
        <w:t>A. Student Strength including Ph.D. Students (SS)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SS = f(NT,NE) × 15 + f(NP) × 5</w:t>
      </w:r>
    </w:p>
    <w:p>
      <w:pPr>
        <w:spacing w:after="40" w:line="276" w:lineRule="auto"/>
      </w:pPr>
      <w:r>
        <w:rPr>
          <w:rFonts w:ascii="Cambria" w:hAnsi="Cambria" w:eastAsia="Cambria"/>
          <w:b/>
          <w:i w:val="0"/>
          <w:sz w:val="22"/>
        </w:rPr>
        <w:t>Breakdown of Formula Components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f(NT, NE) → Function of sanctioned intake and actual enrollment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NT: Total sanctioned approved intake for all UG and 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NE: Total number of students actually enrolled in UG and 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function is designed by NIRF to balance between: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capacity (NT)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Actual student enrollment (NE)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a high enrollment-to-sanctioned capacity ratio score better.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 in SS: 15 marks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f(NP) → Function of doctoral enrollment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NP: Total number of students enrolled in Ph.D. programs (till the previous academic year).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More Ph.D. enrollment indicates a research-oriented ecosystem.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designs this function to reward institutions with strong doctoral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 in SS: 5 marks</w:t>
      </w:r>
    </w:p>
    <w:p>
      <w:pPr>
        <w:spacing w:after="40" w:line="276" w:lineRule="auto"/>
      </w:pPr>
      <w:r>
        <w:rPr>
          <w:rFonts w:ascii="Cambria" w:hAnsi="Cambria" w:eastAsia="Cambria"/>
          <w:b/>
          <w:i w:val="0"/>
          <w:sz w:val="22"/>
        </w:rPr>
        <w:t>Data Sources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Institutions must provide NT, NE, and NP in the prescribed format on the NIRF portal.</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NT and NE are cross-verified with AISHE, UGC, and AICTE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NP (doctoral enrollment) is verified through institutional records and Ph.D. registration data.</w:t>
      </w:r>
    </w:p>
    <w:p>
      <w:pPr>
        <w:spacing w:after="40" w:line="276" w:lineRule="auto"/>
      </w:pPr>
      <w:r>
        <w:rPr>
          <w:rFonts w:ascii="Cambria" w:hAnsi="Cambria" w:eastAsia="Cambria"/>
          <w:b/>
          <w:i w:val="0"/>
          <w:sz w:val="22"/>
        </w:rPr>
        <w:t>Significance of SS in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Student strength contributes 20 marks out of 100 in TLR, and thus about 6% of the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 strong SS score reflects: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 utilization of sanctioned capacity.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Balanced mix of UG, PG, and Ph.D.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Healthy doctoral enrollment, strengthening research culture.</w:t>
      </w:r>
    </w:p>
    <w:p>
      <w:pPr>
        <w:keepNext/>
        <w:spacing w:before="200" w:after="100"/>
      </w:pPr>
      <w:r>
        <w:rPr>
          <w:rFonts w:ascii="Cambria" w:hAnsi="Cambria" w:eastAsia="Cambria"/>
          <w:b/>
          <w:i w:val="0"/>
          <w:color w:val="1F3A5F"/>
          <w:sz w:val="25"/>
        </w:rPr>
        <w:t>B. Faculty–Student Ratio with emphasis on permanent faculty (FSR)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25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FSR = 25 × [15 × F/N]</w:t>
      </w:r>
    </w:p>
    <w:p>
      <w:pPr>
        <w:spacing w:after="40" w:line="276" w:lineRule="auto"/>
      </w:pPr>
      <w:r>
        <w:rPr>
          <w:rFonts w:ascii="Cambria" w:hAnsi="Cambria" w:eastAsia="Cambria"/>
          <w:b/>
          <w:i w:val="0"/>
          <w:sz w:val="22"/>
        </w:rPr>
        <w:t>Breakdown of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 Number of full-time regular faculty members in the institution (previous academic year).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Faculty with Ph.D. or Master's degree.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Excludes: Faculty with only a Bachelor's degree.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Contract/Ad-hoc faculty: Counted only if they taught in both semesters of academic year 2022–23.</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 = NT + NP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NT: Total sanctioned approved intake for UG and 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NP: Total number of enrolled Ph.D.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Represents the student load that needs to be supported.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Expected Benchmark: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Ideal ratio = 1:15 (F/N = 1/15).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this benchmark is met, institutions score full 25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Penalty for Low Ratios: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F/N &lt; 1:50, the score is set to zero.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This prevents institutions with very high student loads and very low faculty strength from gaining any credit.</w:t>
      </w:r>
    </w:p>
    <w:p>
      <w:pPr>
        <w:spacing w:after="40" w:line="276" w:lineRule="auto"/>
      </w:pPr>
      <w:r>
        <w:rPr>
          <w:rFonts w:ascii="Cambria" w:hAnsi="Cambria" w:eastAsia="Cambria"/>
          <w:b/>
          <w:i w:val="0"/>
          <w:sz w:val="22"/>
        </w:rPr>
        <w:t>Interpretation of the Metric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FSR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lower student load per faculty improves academic quality, mentoring, and student engagement.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Permanent faculty ensures stability, continuity, and stronger research guidance.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Scoring Implications: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better than 1:15 ratio (e.g., 1:12 or 1:10) will still get the maximum 25 marks, as it caps at the ideal benchmark.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ratios worse than 1:15 (e.g., 1:20, 1:25) get proportionally lower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extremely poor ratios (worse than 1:50) score zero.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Requirements: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submit a faculty list in the prescribed format including: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name, qualification (Ph.D./Master's), designation.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Appointment type (permanent/contract/ad-hoc).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Confirmation of teaching in both semesters.</w:t>
      </w:r>
    </w:p>
    <w:p>
      <w:pPr>
        <w:spacing w:after="40" w:line="276" w:lineRule="auto"/>
      </w:pPr>
      <w:r>
        <w:rPr>
          <w:rFonts w:ascii="Cambria" w:hAnsi="Cambria" w:eastAsia="Cambria"/>
          <w:b/>
          <w:i w:val="0"/>
          <w:sz w:val="22"/>
        </w:rPr>
        <w:t>Significance of FSR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Weightage = 25% of TLR → about 7.5%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directly influences institutional rank because it reflects teaching quality and resource adequacy.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a culture of hiring sufficient permanent, qualified faculty.</w:t>
      </w:r>
    </w:p>
    <w:p>
      <w:pPr>
        <w:keepNext/>
        <w:spacing w:before="200" w:after="100"/>
      </w:pPr>
      <w:r>
        <w:rPr>
          <w:rFonts w:ascii="Cambria" w:hAnsi="Cambria" w:eastAsia="Cambria"/>
          <w:b/>
          <w:i w:val="0"/>
          <w:color w:val="1F3A5F"/>
          <w:sz w:val="25"/>
        </w:rPr>
        <w:t>C. Combined Metric for Faculty with Ph.D. and Experience (FQE)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FQE = FQ + FE</w:t>
      </w:r>
    </w:p>
    <w:p>
      <w:pPr>
        <w:keepNext/>
        <w:spacing w:before="200" w:after="100"/>
      </w:pPr>
      <w:r>
        <w:rPr>
          <w:rFonts w:ascii="Cambria" w:hAnsi="Cambria" w:eastAsia="Cambria"/>
          <w:b/>
          <w:i w:val="0"/>
          <w:color w:val="1F3A5F"/>
          <w:sz w:val="23"/>
        </w:rPr>
        <w:t>1. Faculty with Ph.D. (FQ) – 10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FQ = 10 × FRA/95, if FRA &lt; 95%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FQ = 10, if FRA ≥ 95%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Where: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FRA: Percentage of faculty with Ph.D. (or equivalent qualification) relative to the required faculty strength or actual faculty, whichever is higher.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Interpretation: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95% or more faculty hold Ph.D./equivalent → Full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less, marks are proportional to % of Ph.D.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institutions prioritize hiring research-qualified faculty.</w:t>
      </w:r>
    </w:p>
    <w:p>
      <w:pPr>
        <w:keepNext/>
        <w:spacing w:before="200" w:after="100"/>
      </w:pPr>
      <w:r>
        <w:rPr>
          <w:rFonts w:ascii="Cambria" w:hAnsi="Cambria" w:eastAsia="Cambria"/>
          <w:b/>
          <w:i w:val="0"/>
          <w:color w:val="1F3A5F"/>
          <w:sz w:val="23"/>
        </w:rPr>
        <w:t>2. Faculty Experience (FE) – 10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Defined as:</w:t>
      </w:r>
    </w:p>
    <w:p>
      <w:pPr>
        <w:spacing w:after="120" w:line="276" w:lineRule="auto"/>
        <w:ind w:left="737"/>
      </w:pPr>
      <w:r>
        <w:rPr>
          <w:rFonts w:ascii="Cambria" w:hAnsi="Cambria" w:eastAsia="Cambria"/>
          <w:b w:val="0"/>
          <w:i w:val="0"/>
          <w:sz w:val="22"/>
        </w:rPr>
        <w:t>FE = 3 × min(3×F1, 1) + 3 × min(3×F2, 1) + 4 × min(3×F3, 1)</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Where: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F1: Fraction of faculty with experience up to 8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F2: Fraction of faculty with experience between 8–15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F3: Fraction of faculty with experience &gt; 15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Rationale: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marks are awarded if the distribution of experience is balanced (1:1:1 ratio) across junior, mid-level, and senior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skew (e.g., all fresh recruits or all nearing retirement).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healthy faculty mix → mentorship, research leadership, and succession planning.</w:t>
      </w:r>
    </w:p>
    <w:p>
      <w:pPr>
        <w:keepNext/>
        <w:spacing w:before="200" w:after="100"/>
      </w:pPr>
      <w:r>
        <w:rPr>
          <w:rFonts w:ascii="Cambria" w:hAnsi="Cambria" w:eastAsia="Cambria"/>
          <w:b/>
          <w:i w:val="0"/>
          <w:color w:val="1F3A5F"/>
          <w:sz w:val="25"/>
        </w:rPr>
        <w:t>3. Combined Metric (FQE)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Final score is the sum of Ph.D. quality (FQ) and experience distribution (FE).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Contribution to TLR = 20% of 100 → 6% of overall NIRF score.</w:t>
      </w:r>
    </w:p>
    <w:p>
      <w:pPr>
        <w:spacing w:after="40" w:line="276" w:lineRule="auto"/>
      </w:pPr>
      <w:r>
        <w:rPr>
          <w:rFonts w:ascii="Cambria" w:hAnsi="Cambria" w:eastAsia="Cambria"/>
          <w:b/>
          <w:i w:val="0"/>
          <w:sz w:val="22"/>
        </w:rPr>
        <w:t>Primary Data Required (Prescribed Format)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List with: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Name, Qualification (Ph.D./Equivalent, Master's).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Appointment Type (Permanent/Contract/Ad-hoc).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Teaching Experience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Department &amp; Designation.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Used to compute both Ph.D. percentage (FRA) and experience fractions (F1, F2, F3).</w:t>
      </w:r>
    </w:p>
    <w:p>
      <w:pPr>
        <w:spacing w:after="40" w:line="276" w:lineRule="auto"/>
      </w:pPr>
      <w:r>
        <w:rPr>
          <w:rFonts w:ascii="Cambria" w:hAnsi="Cambria" w:eastAsia="Cambria"/>
          <w:b/>
          <w:i w:val="0"/>
          <w:sz w:val="22"/>
        </w:rPr>
        <w:t>Significance of FQE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Quality dimension: Rewards institutions with higher % of Ph.D.-qualified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Experience dimension: Rewards institutions maintaining balanced faculty mix.</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both academic qualification and teaching experience are valued in ranking.</w:t>
      </w:r>
    </w:p>
    <w:p>
      <w:pPr>
        <w:keepNext/>
        <w:spacing w:before="200" w:after="100"/>
      </w:pPr>
      <w:r>
        <w:rPr>
          <w:rFonts w:ascii="Cambria" w:hAnsi="Cambria" w:eastAsia="Cambria"/>
          <w:b/>
          <w:i w:val="0"/>
          <w:color w:val="1F3A5F"/>
          <w:sz w:val="25"/>
        </w:rPr>
        <w:t>D. Financial Resources and Their Utilisation (FRU)</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FRU = 5 × f(BC) + 15 × f(BO)</w:t>
      </w:r>
    </w:p>
    <w:p>
      <w:pPr>
        <w:spacing w:after="40" w:line="276" w:lineRule="auto"/>
      </w:pPr>
      <w:r>
        <w:rPr>
          <w:rFonts w:ascii="Cambria" w:hAnsi="Cambria" w:eastAsia="Cambria"/>
          <w:b/>
          <w:i w:val="0"/>
          <w:sz w:val="22"/>
        </w:rPr>
        <w:t>1. Components of FRU</w:t>
      </w:r>
    </w:p>
    <w:p>
      <w:pPr>
        <w:spacing w:after="40" w:line="276" w:lineRule="auto"/>
      </w:pPr>
      <w:r>
        <w:rPr>
          <w:rFonts w:ascii="Cambria" w:hAnsi="Cambria" w:eastAsia="Cambria"/>
          <w:b/>
          <w:i/>
          <w:sz w:val="22"/>
        </w:rPr>
        <w:t>A. BC – Capital Expenditure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Definition: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annual capital expenditure per student for the last three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Excludes construction of new buildings (to prevent one-time big investments skewing results).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Equipment purchases, laboratory upgrades, library resources, ICT investments.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Significance: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how much an institution invests in academic infrastructure.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regularly upgrade facilities.</w:t>
      </w:r>
    </w:p>
    <w:p>
      <w:pPr>
        <w:spacing w:after="40" w:line="276" w:lineRule="auto"/>
      </w:pPr>
      <w:r>
        <w:rPr>
          <w:rFonts w:ascii="Cambria" w:hAnsi="Cambria" w:eastAsia="Cambria"/>
          <w:b/>
          <w:i/>
          <w:sz w:val="22"/>
        </w:rPr>
        <w:t>B. BO – Operational (Recurring) Expenditure (15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Definition: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annual operational expenditure per student for the last three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Excludes hostel maintenance and allied services.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salaries, research support, lab consumables, library subscriptions, student services.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Significance: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the institution's ability to sustain day-to-day academic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Operational spending is weighted higher (15 marks) because it reflects continuous support to students and faculty.</w:t>
      </w:r>
    </w:p>
    <w:p>
      <w:pPr>
        <w:spacing w:after="40" w:line="276" w:lineRule="auto"/>
      </w:pPr>
      <w:r>
        <w:rPr>
          <w:rFonts w:ascii="Cambria" w:hAnsi="Cambria" w:eastAsia="Cambria"/>
          <w:b/>
          <w:i w:val="0"/>
          <w:sz w:val="22"/>
        </w:rPr>
        <w:t>2. Formula Application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f(BC) and f(BO): Functions designed by NIRF to normalize expenditure values.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per-student spending = higher score (up to full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benchmarked against peer spending levels.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 Distribution: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Capital Expenditure (BC) =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Operational Expenditure (BO) = 15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This ensures balance between infrastructure investment and sustainability of academic operations.</w:t>
      </w:r>
    </w:p>
    <w:p>
      <w:pPr>
        <w:spacing w:after="40" w:line="276" w:lineRule="auto"/>
      </w:pPr>
      <w:r>
        <w:rPr>
          <w:rFonts w:ascii="Cambria" w:hAnsi="Cambria" w:eastAsia="Cambria"/>
          <w:b/>
          <w:i w:val="0"/>
          <w:sz w:val="22"/>
        </w:rPr>
        <w:t>3. Primary Data Requirement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must submit audited figures in the prescribed NIRF format for each of the last three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capital expenditure (excluding building construction)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operational expenditure (excluding hostels)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student strength (to normalize per student)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NIRF uses these figures to compute average per-student values before applying the FRU formula.</w:t>
      </w:r>
    </w:p>
    <w:p>
      <w:pPr>
        <w:spacing w:after="40" w:line="276" w:lineRule="auto"/>
      </w:pPr>
      <w:r>
        <w:rPr>
          <w:rFonts w:ascii="Cambria" w:hAnsi="Cambria" w:eastAsia="Cambria"/>
          <w:b/>
          <w:i w:val="0"/>
          <w:sz w:val="22"/>
        </w:rPr>
        <w:t>4. Significance of FRU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FRU contributes 20 marks to TLR → about 6% of the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Invest consistently in academic resources.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 financial accountability and sustainability.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 long-term capital growth with short-term academic needs.</w:t>
      </w:r>
    </w:p>
    <w:p>
      <w:pPr>
        <w:keepNext/>
        <w:spacing w:before="200" w:after="100"/>
      </w:pPr>
      <w:r>
        <w:rPr>
          <w:rFonts w:ascii="Cambria" w:hAnsi="Cambria" w:eastAsia="Cambria"/>
          <w:b/>
          <w:i w:val="0"/>
          <w:color w:val="1F3A5F"/>
          <w:sz w:val="25"/>
        </w:rPr>
        <w:t>E. Online Education (OE): Online Completion of Syllabus &amp; Exams and SWAYAM</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10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OE = f(OE)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Here, f(OE) is a function designed by NIRF to normalize the score based on adoption and effectiveness of online education practices.</w:t>
      </w:r>
    </w:p>
    <w:p>
      <w:pPr>
        <w:spacing w:after="40" w:line="276" w:lineRule="auto"/>
      </w:pPr>
      <w:r>
        <w:rPr>
          <w:rFonts w:ascii="Cambria" w:hAnsi="Cambria" w:eastAsia="Cambria"/>
          <w:b/>
          <w:i w:val="0"/>
          <w:sz w:val="22"/>
        </w:rPr>
        <w:t>1. What OE Measures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Online Completion of Syllabus: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Extent to which institutions adopt online platforms for teaching-learning.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regular classroom teaching supported with LMS (Learning Management Systems), video lectures, and virtual classrooms.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Online Examinations: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Ability of institutions to conduct assessments and exams online.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proctored exams, digital evaluation, and secure online testing systems.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Adoption of SWAYAM &amp; MOOCs: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courses offered and completed by students through SWAYAM/NPTEL or other MOOCs.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faculty creating courses on SWAYAM is also considered.</w:t>
      </w:r>
    </w:p>
    <w:p>
      <w:pPr>
        <w:spacing w:after="40" w:line="276" w:lineRule="auto"/>
      </w:pPr>
      <w:r>
        <w:rPr>
          <w:rFonts w:ascii="Cambria" w:hAnsi="Cambria" w:eastAsia="Cambria"/>
          <w:b/>
          <w:i w:val="0"/>
          <w:sz w:val="22"/>
        </w:rPr>
        <w:t>2. Data Requirements (Prescribed Format)</w:t>
      </w:r>
    </w:p>
    <w:p>
      <w:pPr>
        <w:spacing w:after="40" w:line="276" w:lineRule="auto"/>
      </w:pPr>
      <w:r>
        <w:rPr>
          <w:rFonts w:ascii="Cambria" w:hAnsi="Cambria" w:eastAsia="Cambria"/>
          <w:b w:val="0"/>
          <w:i w:val="0"/>
          <w:sz w:val="22"/>
        </w:rPr>
        <w:t>Institutions must submit: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Number of courses completed online by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Percentage of syllabus delivered through online platforms.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Number of students registered and certified in SWAYAM/NPTEL MOOCs.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contributions to MOOCs/SWAYAM (course creators, instructors).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Online exams conducted (count, coverage, student participation).</w:t>
      </w:r>
    </w:p>
    <w:p>
      <w:pPr>
        <w:spacing w:after="40" w:line="276" w:lineRule="auto"/>
      </w:pPr>
      <w:r>
        <w:rPr>
          <w:rFonts w:ascii="Cambria" w:hAnsi="Cambria" w:eastAsia="Cambria"/>
          <w:b/>
          <w:i w:val="0"/>
          <w:sz w:val="22"/>
        </w:rPr>
        <w:t>3. Scoring Logic (f(OE))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NIRF assigns scores based on adoption level compared to benchmarks.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extensive online adoption (≥70% students using MOOCs, frequent online exams, faculty contributing to SWAYAM) approach full 10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minimal adoption receive proportionally lower scores.</w:t>
      </w:r>
    </w:p>
    <w:p>
      <w:pPr>
        <w:spacing w:after="40" w:line="276" w:lineRule="auto"/>
      </w:pPr>
      <w:r>
        <w:rPr>
          <w:rFonts w:ascii="Cambria" w:hAnsi="Cambria" w:eastAsia="Cambria"/>
          <w:b/>
          <w:i w:val="0"/>
          <w:sz w:val="22"/>
        </w:rPr>
        <w:t>4. Significance of OE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Weightage = 10 Marks (out of 100 TLR) → contributes about 3% of the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Blend traditional and digital teaching methods.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 flexible, technology-driven learning ecosystems.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 with Digital India and NEP 2020 reforms promoting MOOCs and blended learning.</w:t>
      </w:r>
    </w:p>
    <w:p>
      <w:pPr>
        <w:keepNext/>
        <w:spacing w:before="200" w:after="100"/>
      </w:pPr>
      <w:r>
        <w:rPr>
          <w:rFonts w:ascii="Cambria" w:hAnsi="Cambria" w:eastAsia="Cambria"/>
          <w:b/>
          <w:i w:val="0"/>
          <w:color w:val="1F3A5F"/>
          <w:sz w:val="25"/>
        </w:rPr>
        <w:t>F. Combined Metric for Multiple Entry/Exit, Indian Knowledge System, and Regional Languages (MIR)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MIR = 2 × MEE + 2 × IKS + 1 × RL</w:t>
      </w:r>
    </w:p>
    <w:p>
      <w:pPr>
        <w:spacing w:after="40" w:line="276" w:lineRule="auto"/>
      </w:pPr>
      <w:r>
        <w:rPr>
          <w:rFonts w:ascii="Cambria" w:hAnsi="Cambria" w:eastAsia="Cambria"/>
          <w:b/>
          <w:i w:val="0"/>
          <w:sz w:val="22"/>
        </w:rPr>
        <w:t>1. Components of MIR</w:t>
      </w:r>
    </w:p>
    <w:p>
      <w:pPr>
        <w:spacing w:after="40" w:line="276" w:lineRule="auto"/>
      </w:pPr>
      <w:r>
        <w:rPr>
          <w:rFonts w:ascii="Cambria" w:hAnsi="Cambria" w:eastAsia="Cambria"/>
          <w:b/>
          <w:i/>
          <w:sz w:val="22"/>
        </w:rPr>
        <w:t>A. Multiple Entry/Exit (MEE) – Weight 2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Implementation of Multiple Entry and Exit options as recommended in NEP 2020.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can exit after 1, 2, or 3 years with certificate, diploma, or degree respectively.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Re-entry possible using Academic Bank of Credits (ABC).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flexibility in higher education.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Allows students to learn at their own pace and rejoin without losing progress.</w:t>
      </w:r>
    </w:p>
    <w:p>
      <w:pPr>
        <w:spacing w:after="40" w:line="276" w:lineRule="auto"/>
      </w:pPr>
      <w:r>
        <w:rPr>
          <w:rFonts w:ascii="Cambria" w:hAnsi="Cambria" w:eastAsia="Cambria"/>
          <w:b/>
          <w:i/>
          <w:sz w:val="22"/>
        </w:rPr>
        <w:t>B. Indian Knowledge System (IKS) – Weight 2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Offering courses/programs related to Indian Knowledge Systems (e.g., Vedic mathematics, Yoga, Ayurveda, Sanskrit, Indian philosophy, traditional sciences).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Preserves and promotes cultural heritage.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Integrates ancient Indian knowledge with modern higher education.</w:t>
      </w:r>
    </w:p>
    <w:p>
      <w:pPr>
        <w:spacing w:after="40" w:line="276" w:lineRule="auto"/>
      </w:pPr>
      <w:r>
        <w:rPr>
          <w:rFonts w:ascii="Cambria" w:hAnsi="Cambria" w:eastAsia="Cambria"/>
          <w:b/>
          <w:i/>
          <w:sz w:val="22"/>
        </w:rPr>
        <w:t>C. Regional Languages (RL) – Weight 1 Mark</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means: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Offering courses in regional languages in line with NEP 2020.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 B.Tech courses in Hindi/Tamil, humanities subjects in Telugu/Bengali, etc.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Increases accessibility for students from diverse linguistic backgrounds.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inclusivity and reduces language barriers in higher education.</w:t>
      </w:r>
    </w:p>
    <w:p>
      <w:pPr>
        <w:spacing w:after="40" w:line="276" w:lineRule="auto"/>
      </w:pPr>
      <w:r>
        <w:rPr>
          <w:rFonts w:ascii="Cambria" w:hAnsi="Cambria" w:eastAsia="Cambria"/>
          <w:b/>
          <w:i w:val="0"/>
          <w:sz w:val="22"/>
        </w:rPr>
        <w:t>2. Scoring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implementing all three (MEE + IKS + RL) can score full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partially implemented, marks are awarded proportionally (e.g., only MEE + RL → 3 marks).</w:t>
      </w:r>
    </w:p>
    <w:p>
      <w:pPr>
        <w:spacing w:after="40" w:line="276" w:lineRule="auto"/>
      </w:pPr>
      <w:r>
        <w:rPr>
          <w:rFonts w:ascii="Cambria" w:hAnsi="Cambria" w:eastAsia="Cambria"/>
          <w:b/>
          <w:i w:val="0"/>
          <w:sz w:val="22"/>
        </w:rPr>
        <w:t>3. Data Requirements (Prescribed Format)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MEE: Policy documents, Academic Bank of Credits integration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IKS: List of courses/programs introduced under IKS.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RL: Course lists offered in regional languages with student enrollment data.</w:t>
      </w:r>
    </w:p>
    <w:p>
      <w:pPr>
        <w:spacing w:after="40" w:line="276" w:lineRule="auto"/>
      </w:pPr>
      <w:r>
        <w:rPr>
          <w:rFonts w:ascii="Cambria" w:hAnsi="Cambria" w:eastAsia="Cambria"/>
          <w:b/>
          <w:i w:val="0"/>
          <w:sz w:val="22"/>
        </w:rPr>
        <w:t>4. Significance of MIR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Though only 5 marks, MIR highlights alignment with NEP 2020 reforms.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Be flexible and student-friendly (MEE).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Preserve and promote Indian culture (IKS).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Embrace linguistic diversity (RL).</w:t>
      </w:r>
    </w:p>
    <w:p>
      <w:r>
        <w:br w:type="page"/>
      </w:r>
    </w:p>
    <w:p>
      <w:pPr>
        <w:keepNext/>
        <w:spacing w:before="360" w:after="160"/>
      </w:pPr>
      <w:r>
        <w:rPr>
          <w:rFonts w:ascii="Cambria" w:hAnsi="Cambria" w:eastAsia="Cambria"/>
          <w:b/>
          <w:i w:val="0"/>
          <w:color w:val="1F3A5F"/>
          <w:sz w:val="36"/>
        </w:rPr>
        <w:t>30. Research and Professional Practice (RP) – NIRF 2024</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Ranking Weight: 0.30 (30%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Formula:</w:t>
      </w:r>
    </w:p>
    <w:p>
      <w:pPr>
        <w:spacing w:after="120" w:line="276" w:lineRule="auto"/>
        <w:ind w:left="737"/>
      </w:pPr>
      <w:r>
        <w:rPr>
          <w:rFonts w:ascii="Cambria" w:hAnsi="Cambria" w:eastAsia="Cambria"/>
          <w:b w:val="0"/>
          <w:i w:val="0"/>
          <w:sz w:val="22"/>
        </w:rPr>
        <w:t>RP = PU(30) + QP(30) + IPR(15) + FPPP(15) + PSDG(10)</w:t>
      </w:r>
    </w:p>
    <w:p>
      <w:pPr>
        <w:spacing w:after="40" w:line="276" w:lineRule="auto"/>
      </w:pPr>
      <w:r>
        <w:rPr>
          <w:rFonts w:ascii="Cambria" w:hAnsi="Cambria" w:eastAsia="Cambria"/>
          <w:b/>
          <w:i w:val="0"/>
          <w:sz w:val="22"/>
        </w:rPr>
        <w:t>Component Metrics of RP</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Code</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Explanation</w:t>
            </w:r>
          </w:p>
        </w:tc>
      </w:tr>
      <w:tr>
        <w:tc>
          <w:tcPr>
            <w:tcW w:type="dxa" w:w="737"/>
          </w:tcPr>
          <w:p>
            <w:pPr>
              <w:spacing w:after="40" w:line="240" w:lineRule="auto"/>
              <w:jc w:val="left"/>
            </w:pPr>
            <w:r/>
            <w:r>
              <w:rPr>
                <w:rFonts w:ascii="Cambria" w:hAnsi="Cambria" w:eastAsia="Cambria"/>
                <w:b w:val="0"/>
                <w:i w:val="0"/>
                <w:sz w:val="22"/>
              </w:rPr>
              <w:t>PU</w:t>
            </w:r>
          </w:p>
        </w:tc>
        <w:tc>
          <w:tcPr>
            <w:tcW w:type="dxa" w:w="3572"/>
          </w:tcPr>
          <w:p>
            <w:pPr>
              <w:spacing w:after="40" w:line="240" w:lineRule="auto"/>
              <w:jc w:val="center"/>
            </w:pPr>
            <w:r/>
            <w:r>
              <w:rPr>
                <w:rFonts w:ascii="Cambria" w:hAnsi="Cambria" w:eastAsia="Cambria"/>
                <w:b w:val="0"/>
                <w:i w:val="0"/>
                <w:sz w:val="22"/>
              </w:rPr>
              <w:t>Combined Metric for Publications</w:t>
            </w:r>
          </w:p>
        </w:tc>
        <w:tc>
          <w:tcPr>
            <w:tcW w:type="dxa" w:w="850"/>
          </w:tcPr>
          <w:p>
            <w:pPr>
              <w:spacing w:after="40" w:line="240" w:lineRule="auto"/>
              <w:jc w:val="center"/>
            </w:pPr>
            <w:r/>
            <w:r>
              <w:rPr>
                <w:rFonts w:ascii="Cambria" w:hAnsi="Cambria" w:eastAsia="Cambria"/>
                <w:b w:val="0"/>
                <w:i w:val="0"/>
                <w:sz w:val="22"/>
              </w:rPr>
              <w:t>30</w:t>
            </w:r>
          </w:p>
        </w:tc>
        <w:tc>
          <w:tcPr>
            <w:tcW w:type="dxa" w:w="4252"/>
          </w:tcPr>
          <w:p>
            <w:pPr>
              <w:spacing w:after="40" w:line="240" w:lineRule="auto"/>
              <w:jc w:val="center"/>
            </w:pPr>
            <w:r/>
            <w:r>
              <w:rPr>
                <w:rFonts w:ascii="Cambria" w:hAnsi="Cambria" w:eastAsia="Cambria"/>
                <w:b w:val="0"/>
                <w:i w:val="0"/>
                <w:sz w:val="22"/>
              </w:rPr>
              <w:t>Measures research output volume, based on publications indexed in Scopus, Web of Science, and other global databases</w:t>
            </w:r>
          </w:p>
        </w:tc>
      </w:tr>
      <w:tr>
        <w:tc>
          <w:tcPr>
            <w:tcW w:type="dxa" w:w="737"/>
            <w:shd w:val="clear" w:color="auto" w:fill="DCE6F1"/>
          </w:tcPr>
          <w:p>
            <w:pPr>
              <w:spacing w:after="40" w:line="240" w:lineRule="auto"/>
              <w:jc w:val="left"/>
            </w:pPr>
            <w:r/>
            <w:r>
              <w:rPr>
                <w:rFonts w:ascii="Cambria" w:hAnsi="Cambria" w:eastAsia="Cambria"/>
                <w:b w:val="0"/>
                <w:i w:val="0"/>
                <w:sz w:val="22"/>
              </w:rPr>
              <w:t>QP</w:t>
            </w:r>
          </w:p>
        </w:tc>
        <w:tc>
          <w:tcPr>
            <w:tcW w:type="dxa" w:w="3572"/>
            <w:shd w:val="clear" w:color="auto" w:fill="DCE6F1"/>
          </w:tcPr>
          <w:p>
            <w:pPr>
              <w:spacing w:after="40" w:line="240" w:lineRule="auto"/>
              <w:jc w:val="center"/>
            </w:pPr>
            <w:r/>
            <w:r>
              <w:rPr>
                <w:rFonts w:ascii="Cambria" w:hAnsi="Cambria" w:eastAsia="Cambria"/>
                <w:b w:val="0"/>
                <w:i w:val="0"/>
                <w:sz w:val="22"/>
              </w:rPr>
              <w:t>Combined Metric for Quality of Publications</w:t>
            </w:r>
          </w:p>
        </w:tc>
        <w:tc>
          <w:tcPr>
            <w:tcW w:type="dxa" w:w="850"/>
            <w:shd w:val="clear" w:color="auto" w:fill="DCE6F1"/>
          </w:tcPr>
          <w:p>
            <w:pPr>
              <w:spacing w:after="40" w:line="240" w:lineRule="auto"/>
              <w:jc w:val="center"/>
            </w:pPr>
            <w:r/>
            <w:r>
              <w:rPr>
                <w:rFonts w:ascii="Cambria" w:hAnsi="Cambria" w:eastAsia="Cambria"/>
                <w:b w:val="0"/>
                <w:i w:val="0"/>
                <w:sz w:val="22"/>
              </w:rPr>
              <w:t>30</w:t>
            </w:r>
          </w:p>
        </w:tc>
        <w:tc>
          <w:tcPr>
            <w:tcW w:type="dxa" w:w="4252"/>
            <w:shd w:val="clear" w:color="auto" w:fill="DCE6F1"/>
          </w:tcPr>
          <w:p>
            <w:pPr>
              <w:spacing w:after="40" w:line="240" w:lineRule="auto"/>
              <w:jc w:val="center"/>
            </w:pPr>
            <w:r/>
            <w:r>
              <w:rPr>
                <w:rFonts w:ascii="Cambria" w:hAnsi="Cambria" w:eastAsia="Cambria"/>
                <w:b w:val="0"/>
                <w:i w:val="0"/>
                <w:sz w:val="22"/>
              </w:rPr>
              <w:t>Assesses impact through citations, field-weighted citation index, h-index, SJR, and SNIP values</w:t>
            </w:r>
          </w:p>
        </w:tc>
      </w:tr>
      <w:tr>
        <w:tc>
          <w:tcPr>
            <w:tcW w:type="dxa" w:w="737"/>
          </w:tcPr>
          <w:p>
            <w:pPr>
              <w:spacing w:after="40" w:line="240" w:lineRule="auto"/>
              <w:jc w:val="left"/>
            </w:pPr>
            <w:r/>
            <w:r>
              <w:rPr>
                <w:rFonts w:ascii="Cambria" w:hAnsi="Cambria" w:eastAsia="Cambria"/>
                <w:b w:val="0"/>
                <w:i w:val="0"/>
                <w:sz w:val="22"/>
              </w:rPr>
              <w:t>IPR</w:t>
            </w:r>
          </w:p>
        </w:tc>
        <w:tc>
          <w:tcPr>
            <w:tcW w:type="dxa" w:w="3572"/>
          </w:tcPr>
          <w:p>
            <w:pPr>
              <w:spacing w:after="40" w:line="240" w:lineRule="auto"/>
              <w:jc w:val="center"/>
            </w:pPr>
            <w:r/>
            <w:r>
              <w:rPr>
                <w:rFonts w:ascii="Cambria" w:hAnsi="Cambria" w:eastAsia="Cambria"/>
                <w:b w:val="0"/>
                <w:i w:val="0"/>
                <w:sz w:val="22"/>
              </w:rPr>
              <w:t>IPR and Patents: Published &amp; Granted</w:t>
            </w:r>
          </w:p>
        </w:tc>
        <w:tc>
          <w:tcPr>
            <w:tcW w:type="dxa" w:w="850"/>
          </w:tcPr>
          <w:p>
            <w:pPr>
              <w:spacing w:after="40" w:line="240" w:lineRule="auto"/>
              <w:jc w:val="center"/>
            </w:pPr>
            <w:r/>
            <w:r>
              <w:rPr>
                <w:rFonts w:ascii="Cambria" w:hAnsi="Cambria" w:eastAsia="Cambria"/>
                <w:b w:val="0"/>
                <w:i w:val="0"/>
                <w:sz w:val="22"/>
              </w:rPr>
              <w:t>15</w:t>
            </w:r>
          </w:p>
        </w:tc>
        <w:tc>
          <w:tcPr>
            <w:tcW w:type="dxa" w:w="4252"/>
          </w:tcPr>
          <w:p>
            <w:pPr>
              <w:spacing w:after="40" w:line="240" w:lineRule="auto"/>
              <w:jc w:val="center"/>
            </w:pPr>
            <w:r/>
            <w:r>
              <w:rPr>
                <w:rFonts w:ascii="Cambria" w:hAnsi="Cambria" w:eastAsia="Cambria"/>
                <w:b w:val="0"/>
                <w:i w:val="0"/>
                <w:sz w:val="22"/>
              </w:rPr>
              <w:t>Rewards institutions for patents filed, published, granted, and commercialized</w:t>
            </w:r>
          </w:p>
        </w:tc>
      </w:tr>
      <w:tr>
        <w:tc>
          <w:tcPr>
            <w:tcW w:type="dxa" w:w="737"/>
            <w:shd w:val="clear" w:color="auto" w:fill="DCE6F1"/>
          </w:tcPr>
          <w:p>
            <w:pPr>
              <w:spacing w:after="40" w:line="240" w:lineRule="auto"/>
              <w:jc w:val="left"/>
            </w:pPr>
            <w:r/>
            <w:r>
              <w:rPr>
                <w:rFonts w:ascii="Cambria" w:hAnsi="Cambria" w:eastAsia="Cambria"/>
                <w:b w:val="0"/>
                <w:i w:val="0"/>
                <w:sz w:val="22"/>
              </w:rPr>
              <w:t>FPPP</w:t>
            </w:r>
          </w:p>
        </w:tc>
        <w:tc>
          <w:tcPr>
            <w:tcW w:type="dxa" w:w="3572"/>
            <w:shd w:val="clear" w:color="auto" w:fill="DCE6F1"/>
          </w:tcPr>
          <w:p>
            <w:pPr>
              <w:spacing w:after="40" w:line="240" w:lineRule="auto"/>
              <w:jc w:val="center"/>
            </w:pPr>
            <w:r/>
            <w:r>
              <w:rPr>
                <w:rFonts w:ascii="Cambria" w:hAnsi="Cambria" w:eastAsia="Cambria"/>
                <w:b w:val="0"/>
                <w:i w:val="0"/>
                <w:sz w:val="22"/>
              </w:rPr>
              <w:t>Footprint of Projects, Professional Practice &amp; Executive Development Programs</w:t>
            </w:r>
          </w:p>
        </w:tc>
        <w:tc>
          <w:tcPr>
            <w:tcW w:type="dxa" w:w="850"/>
            <w:shd w:val="clear" w:color="auto" w:fill="DCE6F1"/>
          </w:tcPr>
          <w:p>
            <w:pPr>
              <w:spacing w:after="40" w:line="240" w:lineRule="auto"/>
              <w:jc w:val="center"/>
            </w:pPr>
            <w:r/>
            <w:r>
              <w:rPr>
                <w:rFonts w:ascii="Cambria" w:hAnsi="Cambria" w:eastAsia="Cambria"/>
                <w:b w:val="0"/>
                <w:i w:val="0"/>
                <w:sz w:val="22"/>
              </w:rPr>
              <w:t>15</w:t>
            </w:r>
          </w:p>
        </w:tc>
        <w:tc>
          <w:tcPr>
            <w:tcW w:type="dxa" w:w="4252"/>
            <w:shd w:val="clear" w:color="auto" w:fill="DCE6F1"/>
          </w:tcPr>
          <w:p>
            <w:pPr>
              <w:spacing w:after="40" w:line="240" w:lineRule="auto"/>
              <w:jc w:val="center"/>
            </w:pPr>
            <w:r/>
            <w:r>
              <w:rPr>
                <w:rFonts w:ascii="Cambria" w:hAnsi="Cambria" w:eastAsia="Cambria"/>
                <w:b w:val="0"/>
                <w:i w:val="0"/>
                <w:sz w:val="22"/>
              </w:rPr>
              <w:t>Evaluates sponsored projects, consultancy work, industry partnerships, and executive training programs</w:t>
            </w:r>
          </w:p>
        </w:tc>
      </w:tr>
      <w:tr>
        <w:tc>
          <w:tcPr>
            <w:tcW w:type="dxa" w:w="737"/>
          </w:tcPr>
          <w:p>
            <w:pPr>
              <w:spacing w:after="40" w:line="240" w:lineRule="auto"/>
              <w:jc w:val="left"/>
            </w:pPr>
            <w:r/>
            <w:r>
              <w:rPr>
                <w:rFonts w:ascii="Cambria" w:hAnsi="Cambria" w:eastAsia="Cambria"/>
                <w:b w:val="0"/>
                <w:i w:val="0"/>
                <w:sz w:val="22"/>
              </w:rPr>
              <w:t>PSDG</w:t>
            </w:r>
          </w:p>
        </w:tc>
        <w:tc>
          <w:tcPr>
            <w:tcW w:type="dxa" w:w="3572"/>
          </w:tcPr>
          <w:p>
            <w:pPr>
              <w:spacing w:after="40" w:line="240" w:lineRule="auto"/>
              <w:jc w:val="center"/>
            </w:pPr>
            <w:r/>
            <w:r>
              <w:rPr>
                <w:rFonts w:ascii="Cambria" w:hAnsi="Cambria" w:eastAsia="Cambria"/>
                <w:b w:val="0"/>
                <w:i w:val="0"/>
                <w:sz w:val="22"/>
              </w:rPr>
              <w:t>Combined Metric for Publications &amp; Citations in SDGs</w:t>
            </w:r>
          </w:p>
        </w:tc>
        <w:tc>
          <w:tcPr>
            <w:tcW w:type="dxa" w:w="850"/>
          </w:tcPr>
          <w:p>
            <w:pPr>
              <w:spacing w:after="40" w:line="240" w:lineRule="auto"/>
              <w:jc w:val="center"/>
            </w:pPr>
            <w:r/>
            <w:r>
              <w:rPr>
                <w:rFonts w:ascii="Cambria" w:hAnsi="Cambria" w:eastAsia="Cambria"/>
                <w:b w:val="0"/>
                <w:i w:val="0"/>
                <w:sz w:val="22"/>
              </w:rPr>
              <w:t>10</w:t>
            </w:r>
          </w:p>
        </w:tc>
        <w:tc>
          <w:tcPr>
            <w:tcW w:type="dxa" w:w="4252"/>
          </w:tcPr>
          <w:p>
            <w:pPr>
              <w:spacing w:after="40" w:line="240" w:lineRule="auto"/>
              <w:jc w:val="center"/>
            </w:pPr>
            <w:r/>
            <w:r>
              <w:rPr>
                <w:rFonts w:ascii="Cambria" w:hAnsi="Cambria" w:eastAsia="Cambria"/>
                <w:b w:val="0"/>
                <w:i w:val="0"/>
                <w:sz w:val="22"/>
              </w:rPr>
              <w:t>Captures contribution of institutional research aligned with UN Sustainable Development Goals (e.g., climate change, health, energy)</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contribution = 30% of NIRF Score</w:t>
            </w:r>
          </w:p>
        </w:tc>
      </w:tr>
    </w:tbl>
    <w:p>
      <w:pPr>
        <w:spacing w:after="40" w:line="276" w:lineRule="auto"/>
      </w:pPr>
      <w:r>
        <w:rPr>
          <w:rFonts w:ascii="Cambria" w:hAnsi="Cambria" w:eastAsia="Cambria"/>
          <w:b/>
          <w:i w:val="0"/>
          <w:sz w:val="22"/>
        </w:rPr>
        <w:t>Significance of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accounts for 30% of the NIRF ranking score, making it equally important as TLR.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 focuses on both quantity and quality of research, as well as innovation, patents, and societal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Sub-parameters encourage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Produce more globally recognized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Focus on quality over quantity.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 industry collaboration and consultancy.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 with sustainable development priorities.</w:t>
      </w:r>
    </w:p>
    <w:p>
      <w:pPr>
        <w:keepNext/>
        <w:spacing w:before="200" w:after="100"/>
      </w:pPr>
      <w:r>
        <w:rPr>
          <w:rFonts w:ascii="Cambria" w:hAnsi="Cambria" w:eastAsia="Cambria"/>
          <w:b/>
          <w:i w:val="0"/>
          <w:color w:val="1F3A5F"/>
          <w:sz w:val="25"/>
        </w:rPr>
        <w:t>A. Combined Metric for Publications (PU)</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30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PU = 30 × f(P/FRQ)</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number of research publications attributed to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Obtained from suitable third-party sources like Scopus, Web of Science (WoS), PubMed (for medical), or Indian Citation Index.</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means publications may be adjusted by type, quality, or co-authorship.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(Faculty Requirement Quantity):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Defined as the maximum of:</w:t>
      </w:r>
    </w:p>
    <w:p>
      <w:pPr>
        <w:spacing w:line="276" w:lineRule="auto" w:after="40"/>
        <w:ind w:left="357" w:hanging="357"/>
      </w:pPr>
      <w:r>
        <w:rPr>
          <w:rFonts w:ascii="Cambria" w:hAnsi="Cambria" w:eastAsia="Cambria"/>
          <w:b w:val="0"/>
          <w:i w:val="0"/>
          <w:sz w:val="22"/>
        </w:rPr>
        <w:t>1.</w:t>
        <w:tab/>
      </w:r>
      <w:r>
        <w:rPr>
          <w:rFonts w:ascii="Cambria" w:hAnsi="Cambria" w:eastAsia="Cambria"/>
          <w:b w:val="0"/>
          <w:i w:val="0"/>
          <w:sz w:val="22"/>
        </w:rPr>
        <w:t>The nominal number of faculty members required to maintain FSR = 1:15.</w:t>
      </w:r>
    </w:p>
    <w:p>
      <w:pPr>
        <w:spacing w:line="276" w:lineRule="auto" w:after="40"/>
        <w:ind w:left="357" w:hanging="357"/>
      </w:pPr>
      <w:r>
        <w:rPr>
          <w:rFonts w:ascii="Cambria" w:hAnsi="Cambria" w:eastAsia="Cambria"/>
          <w:b w:val="0"/>
          <w:i w:val="0"/>
          <w:sz w:val="22"/>
        </w:rPr>
        <w:t>2.</w:t>
        <w:tab/>
      </w:r>
      <w:r>
        <w:rPr>
          <w:rFonts w:ascii="Cambria" w:hAnsi="Cambria" w:eastAsia="Cambria"/>
          <w:b w:val="0"/>
          <w:i w:val="0"/>
          <w:sz w:val="22"/>
        </w:rPr>
        <w:t>The actual number of faculty available at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fair normalization: large institutions need proportionately more publications to score high.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f(P/FRQ):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scaling function designed by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Computes score relative to per-faculty publication productivity.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institutions with more faculty are expected to contribute proportionately more publications.</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 (Publications) is taken directly from third-party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Scopus, Web of Science (WoS), PubMed, Indian Citation Index.</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cannot self-report publication numbers (to prevent exaggeration).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Cross-checking ensures transparency and authenticity.</w:t>
      </w:r>
    </w:p>
    <w:p>
      <w:pPr>
        <w:spacing w:after="40" w:line="276" w:lineRule="auto"/>
      </w:pPr>
      <w:r>
        <w:rPr>
          <w:rFonts w:ascii="Cambria" w:hAnsi="Cambria" w:eastAsia="Cambria"/>
          <w:b/>
          <w:i w:val="0"/>
          <w:sz w:val="22"/>
        </w:rPr>
        <w:t>3. Rationale for PU</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with higher research productivity per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Prevents bias where a large institution inflates scores by sheer faculty numbers.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Benchmarks institutions against a normalized expectation (FSR = 1:15).</w:t>
      </w:r>
    </w:p>
    <w:p>
      <w:pPr>
        <w:spacing w:after="40" w:line="276" w:lineRule="auto"/>
      </w:pPr>
      <w:r>
        <w:rPr>
          <w:rFonts w:ascii="Cambria" w:hAnsi="Cambria" w:eastAsia="Cambria"/>
          <w:b/>
          <w:i w:val="0"/>
          <w:sz w:val="22"/>
        </w:rPr>
        <w:t>4. Significance in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 carries 30 marks → 9% of total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Forms the core of the Research &amp; Professional Practice (RP)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Publish consistently in indexed, peer-reviewed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 research culture across all departments.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 faculty productivity rather than raw numbers.</w:t>
      </w:r>
    </w:p>
    <w:p>
      <w:pPr>
        <w:keepNext/>
        <w:spacing w:before="200" w:after="100"/>
      </w:pPr>
      <w:r>
        <w:rPr>
          <w:rFonts w:ascii="Cambria" w:hAnsi="Cambria" w:eastAsia="Cambria"/>
          <w:b/>
          <w:i w:val="0"/>
          <w:color w:val="1F3A5F"/>
          <w:sz w:val="25"/>
        </w:rPr>
        <w:t>B. Combined Metric for Quality of Publications (QP)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30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QP = 15 × f(CC/FRQ) + 15 × f(TOP25P/P)</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CC (Citation Count):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number of citations received by the institution's publications over the previous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CC → greater impact and recognition of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number of publications, as computed for the PU metric.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Acts as the denominator in the second part of the 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TOP25P (Top 25% Citations):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citations belonging to the top 25 percentile globally, averaged over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Highlights high-quality, influential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(Faculty Requirement Quantity):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Same definition as in PU:</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Maximum of (faculty required at FSR = 1:15 OR actual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normalize citation count per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Normalization function applied by NIRF to scale values into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fairness across institutions of different sizes.</w:t>
      </w:r>
    </w:p>
    <w:p>
      <w:pPr>
        <w:spacing w:after="40" w:line="276" w:lineRule="auto"/>
      </w:pPr>
      <w:r>
        <w:rPr>
          <w:rFonts w:ascii="Cambria" w:hAnsi="Cambria" w:eastAsia="Cambria"/>
          <w:b/>
          <w:i w:val="0"/>
          <w:sz w:val="22"/>
        </w:rPr>
        <w:t>2. Interpretation of 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First Term (15 × f(CC/FRQ))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average citations per faculty strength (normalized).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focus on quality research output that attracts citations.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Second Term (15 × f(TOP25P/P))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the proportion of highly cited papers among total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institutions are rewarded for globally recognized impactful research rather than just volume.</w:t>
      </w:r>
    </w:p>
    <w:p>
      <w:pPr>
        <w:spacing w:after="40" w:line="276" w:lineRule="auto"/>
      </w:pPr>
      <w:r>
        <w:rPr>
          <w:rFonts w:ascii="Cambria" w:hAnsi="Cambria" w:eastAsia="Cambria"/>
          <w:b/>
          <w:i w:val="0"/>
          <w:sz w:val="22"/>
        </w:rPr>
        <w:t>3. Data Sources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Third-party citation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Scopus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Web of Science (WoS)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PubMed (for medical research)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Indian Citation Index</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cannot self-report citation data — it is directly extracted from trusted sources.</w:t>
      </w:r>
    </w:p>
    <w:p>
      <w:pPr>
        <w:spacing w:after="40" w:line="276" w:lineRule="auto"/>
      </w:pPr>
      <w:r>
        <w:rPr>
          <w:rFonts w:ascii="Cambria" w:hAnsi="Cambria" w:eastAsia="Cambria"/>
          <w:b/>
          <w:i w:val="0"/>
          <w:sz w:val="22"/>
        </w:rPr>
        <w:t>4. Significance of QP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Weight = 30 marks → 9%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Together with PU, QP makes up 60% of RP (Research &amp; Professional Practice).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Publish in high-quality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Collaborate internationally to improve citation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Target research areas of global visibility and relevance.</w:t>
      </w:r>
    </w:p>
    <w:p>
      <w:pPr>
        <w:keepNext/>
        <w:spacing w:before="200" w:after="100"/>
      </w:pPr>
      <w:r>
        <w:rPr>
          <w:rFonts w:ascii="Cambria" w:hAnsi="Cambria" w:eastAsia="Cambria"/>
          <w:b/>
          <w:i w:val="0"/>
          <w:color w:val="1F3A5F"/>
          <w:sz w:val="26"/>
        </w:rPr>
        <w:t>NIRF 2024 – PU &amp; QP Formula Table</w:t>
      </w:r>
    </w:p>
    <w:tbl>
      <w:tblPr>
        <w:tblW w:type="dxa" w:w="9242"/>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Pr>
          <w:p>
            <w:pPr>
              <w:spacing w:after="40" w:line="240" w:lineRule="auto"/>
              <w:jc w:val="center"/>
            </w:pPr>
            <w:r/>
            <w:r>
              <w:rPr>
                <w:rFonts w:ascii="Cambria" w:hAnsi="Cambria" w:eastAsia="Cambria"/>
                <w:b/>
                <w:i w:val="0"/>
                <w:color w:val="FFFFFF"/>
                <w:sz w:val="22"/>
              </w:rPr>
              <w:t>Metric</w:t>
            </w:r>
          </w:p>
        </w:tc>
        <w:tc>
          <w:tcPr>
            <w:tcW w:type="dxa" w:w="2211"/>
            <w:shd w:val="clear" w:color="auto" w:fill="1F3A5F"/>
          </w:tcPr>
          <w:p>
            <w:pPr>
              <w:spacing w:after="40" w:line="240" w:lineRule="auto"/>
              <w:jc w:val="center"/>
            </w:pPr>
            <w:r/>
            <w:r>
              <w:rPr>
                <w:rFonts w:ascii="Cambria" w:hAnsi="Cambria" w:eastAsia="Cambria"/>
                <w:b/>
                <w:i w:val="0"/>
                <w:color w:val="FFFFFF"/>
                <w:sz w:val="22"/>
              </w:rPr>
              <w:t>Formula</w:t>
            </w:r>
          </w:p>
        </w:tc>
        <w:tc>
          <w:tcPr>
            <w:tcW w:type="dxa" w:w="737"/>
            <w:shd w:val="clear" w:color="auto" w:fill="1F3A5F"/>
          </w:tcPr>
          <w:p>
            <w:pPr>
              <w:spacing w:after="40" w:line="240" w:lineRule="auto"/>
              <w:jc w:val="center"/>
            </w:pPr>
            <w:r/>
            <w:r>
              <w:rPr>
                <w:rFonts w:ascii="Cambria" w:hAnsi="Cambria" w:eastAsia="Cambria"/>
                <w:b/>
                <w:i w:val="0"/>
                <w:color w:val="FFFFFF"/>
                <w:sz w:val="22"/>
              </w:rPr>
              <w:t>Max Marks</w:t>
            </w:r>
          </w:p>
        </w:tc>
        <w:tc>
          <w:tcPr>
            <w:tcW w:type="dxa" w:w="2778"/>
            <w:shd w:val="clear" w:color="auto" w:fill="1F3A5F"/>
          </w:tcPr>
          <w:p>
            <w:pPr>
              <w:spacing w:after="40" w:line="240" w:lineRule="auto"/>
              <w:jc w:val="center"/>
            </w:pPr>
            <w:r/>
            <w:r>
              <w:rPr>
                <w:rFonts w:ascii="Cambria" w:hAnsi="Cambria" w:eastAsia="Cambria"/>
                <w:b/>
                <w:i w:val="0"/>
                <w:color w:val="FFFFFF"/>
                <w:sz w:val="22"/>
              </w:rPr>
              <w:t>What It Captures</w:t>
            </w:r>
          </w:p>
        </w:tc>
        <w:tc>
          <w:tcPr>
            <w:tcW w:type="dxa" w:w="2041"/>
            <w:shd w:val="clear" w:color="auto" w:fill="1F3A5F"/>
          </w:tcPr>
          <w:p>
            <w:pPr>
              <w:spacing w:after="40" w:line="240" w:lineRule="auto"/>
              <w:jc w:val="center"/>
            </w:pPr>
            <w:r/>
            <w:r>
              <w:rPr>
                <w:rFonts w:ascii="Cambria" w:hAnsi="Cambria" w:eastAsia="Cambria"/>
                <w:b/>
                <w:i w:val="0"/>
                <w:color w:val="FFFFFF"/>
                <w:sz w:val="22"/>
              </w:rPr>
              <w:t>Data Source</w:t>
            </w:r>
          </w:p>
        </w:tc>
      </w:tr>
      <w:tr>
        <w:tc>
          <w:tcPr>
            <w:tcW w:type="dxa" w:w="1474"/>
          </w:tcPr>
          <w:p>
            <w:pPr>
              <w:spacing w:after="40" w:line="240" w:lineRule="auto"/>
              <w:jc w:val="left"/>
            </w:pPr>
            <w:r/>
            <w:r>
              <w:rPr>
                <w:rFonts w:ascii="Cambria" w:hAnsi="Cambria" w:eastAsia="Cambria"/>
                <w:b w:val="0"/>
                <w:i w:val="0"/>
                <w:sz w:val="22"/>
              </w:rPr>
              <w:t>PU (Publications)</w:t>
            </w:r>
          </w:p>
        </w:tc>
        <w:tc>
          <w:tcPr>
            <w:tcW w:type="dxa" w:w="2211"/>
          </w:tcPr>
          <w:p>
            <w:pPr>
              <w:spacing w:after="40" w:line="240" w:lineRule="auto"/>
              <w:jc w:val="center"/>
            </w:pPr>
            <w:r/>
            <w:r>
              <w:rPr>
                <w:rFonts w:ascii="Cambria" w:hAnsi="Cambria" w:eastAsia="Cambria"/>
                <w:b w:val="0"/>
                <w:i w:val="0"/>
                <w:sz w:val="22"/>
              </w:rPr>
              <w:t>PU = 30 × f(P/FRQ)</w:t>
            </w:r>
          </w:p>
        </w:tc>
        <w:tc>
          <w:tcPr>
            <w:tcW w:type="dxa" w:w="737"/>
          </w:tcPr>
          <w:p>
            <w:pPr>
              <w:spacing w:after="40" w:line="240" w:lineRule="auto"/>
              <w:jc w:val="center"/>
            </w:pPr>
            <w:r/>
            <w:r>
              <w:rPr>
                <w:rFonts w:ascii="Cambria" w:hAnsi="Cambria" w:eastAsia="Cambria"/>
                <w:b w:val="0"/>
                <w:i w:val="0"/>
                <w:sz w:val="22"/>
              </w:rPr>
              <w:t>30</w:t>
            </w:r>
          </w:p>
        </w:tc>
        <w:tc>
          <w:tcPr>
            <w:tcW w:type="dxa" w:w="2778"/>
          </w:tcPr>
          <w:p>
            <w:pPr>
              <w:spacing w:after="40" w:line="240" w:lineRule="auto"/>
              <w:jc w:val="center"/>
            </w:pPr>
            <w:r/>
            <w:r>
              <w:rPr>
                <w:rFonts w:ascii="Cambria" w:hAnsi="Cambria" w:eastAsia="Cambria"/>
                <w:b w:val="0"/>
                <w:i w:val="0"/>
                <w:sz w:val="22"/>
              </w:rPr>
              <w:t>Volume of research publications normalized per faculty strength (ensures fairness between small and large institutions)</w:t>
            </w:r>
          </w:p>
        </w:tc>
        <w:tc>
          <w:tcPr>
            <w:tcW w:type="dxa" w:w="2041"/>
          </w:tcPr>
          <w:p>
            <w:pPr>
              <w:spacing w:after="40" w:line="240" w:lineRule="auto"/>
              <w:jc w:val="center"/>
            </w:pPr>
            <w:r/>
            <w:r>
              <w:rPr>
                <w:rFonts w:ascii="Cambria" w:hAnsi="Cambria" w:eastAsia="Cambria"/>
                <w:b w:val="0"/>
                <w:i w:val="0"/>
                <w:sz w:val="22"/>
              </w:rPr>
              <w:t>Third-party sources (Scopus, Web of Science, PubMed, Indian Citation Index)</w:t>
            </w:r>
          </w:p>
        </w:tc>
      </w:tr>
      <w:tr>
        <w:tc>
          <w:tcPr>
            <w:tcW w:type="dxa" w:w="1474"/>
            <w:shd w:val="clear" w:color="auto" w:fill="DCE6F1"/>
          </w:tcPr>
          <w:p>
            <w:pPr>
              <w:spacing w:after="40" w:line="240" w:lineRule="auto"/>
              <w:jc w:val="left"/>
            </w:pPr>
            <w:r/>
            <w:r>
              <w:rPr>
                <w:rFonts w:ascii="Cambria" w:hAnsi="Cambria" w:eastAsia="Cambria"/>
                <w:b w:val="0"/>
                <w:i w:val="0"/>
                <w:sz w:val="22"/>
              </w:rPr>
              <w:t>QP (Quality of Publications)</w:t>
            </w:r>
          </w:p>
        </w:tc>
        <w:tc>
          <w:tcPr>
            <w:tcW w:type="dxa" w:w="2211"/>
            <w:shd w:val="clear" w:color="auto" w:fill="DCE6F1"/>
          </w:tcPr>
          <w:p>
            <w:pPr>
              <w:spacing w:after="40" w:line="240" w:lineRule="auto"/>
              <w:jc w:val="center"/>
            </w:pPr>
            <w:r/>
            <w:r>
              <w:rPr>
                <w:rFonts w:ascii="Cambria" w:hAnsi="Cambria" w:eastAsia="Cambria"/>
                <w:b w:val="0"/>
                <w:i w:val="0"/>
                <w:sz w:val="22"/>
              </w:rPr>
              <w:t>QP = 15 × f(CC/FRQ) + 15 × f(TOP25P/P)</w:t>
            </w:r>
          </w:p>
        </w:tc>
        <w:tc>
          <w:tcPr>
            <w:tcW w:type="dxa" w:w="737"/>
            <w:shd w:val="clear" w:color="auto" w:fill="DCE6F1"/>
          </w:tcPr>
          <w:p>
            <w:pPr>
              <w:spacing w:after="40" w:line="240" w:lineRule="auto"/>
              <w:jc w:val="center"/>
            </w:pPr>
            <w:r/>
            <w:r>
              <w:rPr>
                <w:rFonts w:ascii="Cambria" w:hAnsi="Cambria" w:eastAsia="Cambria"/>
                <w:b w:val="0"/>
                <w:i w:val="0"/>
                <w:sz w:val="22"/>
              </w:rPr>
              <w:t>30</w:t>
            </w:r>
          </w:p>
        </w:tc>
        <w:tc>
          <w:tcPr>
            <w:tcW w:type="dxa" w:w="2778"/>
            <w:shd w:val="clear" w:color="auto" w:fill="DCE6F1"/>
          </w:tcPr>
          <w:p>
            <w:pPr>
              <w:spacing w:after="40" w:line="240" w:lineRule="auto"/>
              <w:jc w:val="center"/>
            </w:pPr>
            <w:r/>
            <w:r>
              <w:rPr>
                <w:rFonts w:ascii="Cambria" w:hAnsi="Cambria" w:eastAsia="Cambria"/>
                <w:b w:val="0"/>
                <w:i w:val="0"/>
                <w:sz w:val="22"/>
              </w:rPr>
              <w:t>Research quality: (a) citation count per faculty, (b) proportion of highly cited papers (top 25%)</w:t>
            </w:r>
          </w:p>
        </w:tc>
        <w:tc>
          <w:tcPr>
            <w:tcW w:type="dxa" w:w="2041"/>
            <w:shd w:val="clear" w:color="auto" w:fill="DCE6F1"/>
          </w:tcPr>
          <w:p>
            <w:pPr>
              <w:spacing w:after="40" w:line="240" w:lineRule="auto"/>
              <w:jc w:val="center"/>
            </w:pPr>
            <w:r/>
            <w:r>
              <w:rPr>
                <w:rFonts w:ascii="Cambria" w:hAnsi="Cambria" w:eastAsia="Cambria"/>
                <w:b w:val="0"/>
                <w:i w:val="0"/>
                <w:sz w:val="22"/>
              </w:rPr>
              <w:t>Third-party citation databases (Scopus, Web of Science, PubMed, Indian Citation Index)</w:t>
            </w:r>
          </w:p>
        </w:tc>
      </w:tr>
    </w:tbl>
    <w:p>
      <w:pPr>
        <w:spacing w:after="40" w:line="276" w:lineRule="auto"/>
      </w:pPr>
      <w:r>
        <w:rPr>
          <w:rFonts w:ascii="Cambria" w:hAnsi="Cambria" w:eastAsia="Cambria"/>
          <w:b/>
          <w:i w:val="0"/>
          <w:sz w:val="22"/>
        </w:rPr>
        <w:t>Quick Insights: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 = Quantity focus (how many publications per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QP = Quality focus (citations and high-impact recognition).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Together, they account for 60 marks out of RP's 100, i.e., 18% of the overall NIRF score.</w:t>
      </w:r>
    </w:p>
    <w:p>
      <w:pPr>
        <w:keepNext/>
        <w:spacing w:before="200" w:after="100"/>
      </w:pPr>
      <w:r>
        <w:rPr>
          <w:rFonts w:ascii="Cambria" w:hAnsi="Cambria" w:eastAsia="Cambria"/>
          <w:b/>
          <w:i w:val="0"/>
          <w:color w:val="1F3A5F"/>
          <w:sz w:val="25"/>
        </w:rPr>
        <w:t>C. IPR and Patents: Published &amp; Granted (IPR)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15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IPR = IPG + IPP</w:t>
      </w:r>
    </w:p>
    <w:p>
      <w:pPr>
        <w:spacing w:after="40" w:line="276" w:lineRule="auto"/>
      </w:pPr>
      <w:r>
        <w:rPr>
          <w:rFonts w:ascii="Cambria" w:hAnsi="Cambria" w:eastAsia="Cambria"/>
          <w:b/>
          <w:i w:val="0"/>
          <w:sz w:val="22"/>
        </w:rPr>
        <w:t>1. Sub-components of IPR</w:t>
      </w:r>
    </w:p>
    <w:p>
      <w:pPr>
        <w:spacing w:after="40" w:line="276" w:lineRule="auto"/>
      </w:pPr>
      <w:r>
        <w:rPr>
          <w:rFonts w:ascii="Cambria" w:hAnsi="Cambria" w:eastAsia="Cambria"/>
          <w:b/>
          <w:i/>
          <w:sz w:val="22"/>
        </w:rPr>
        <w:t>A. Patents Granted (IPG) – 10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80" w:line="276" w:lineRule="auto"/>
        <w:ind w:left="737"/>
      </w:pPr>
      <w:r>
        <w:rPr>
          <w:rFonts w:ascii="Cambria" w:hAnsi="Cambria" w:eastAsia="Cambria"/>
          <w:b w:val="0"/>
          <w:i w:val="0"/>
          <w:sz w:val="22"/>
        </w:rPr>
        <w:t>IPG = 10 × f(PG)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PG: Number of patents granted in the last three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Significance: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Granted patents represent validated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weight (10 marks) given since patents granted are more valuable than just filed or published ones.</w:t>
      </w:r>
    </w:p>
    <w:p>
      <w:pPr>
        <w:spacing w:after="40" w:line="276" w:lineRule="auto"/>
      </w:pPr>
      <w:r>
        <w:rPr>
          <w:rFonts w:ascii="Cambria" w:hAnsi="Cambria" w:eastAsia="Cambria"/>
          <w:b/>
          <w:i/>
          <w:sz w:val="22"/>
        </w:rPr>
        <w:t>B. Patents Published (IPP) –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80" w:line="276" w:lineRule="auto"/>
        <w:ind w:left="737"/>
      </w:pPr>
      <w:r>
        <w:rPr>
          <w:rFonts w:ascii="Cambria" w:hAnsi="Cambria" w:eastAsia="Cambria"/>
          <w:b w:val="0"/>
          <w:i w:val="0"/>
          <w:sz w:val="22"/>
        </w:rPr>
        <w:t>IPP = 5 × f(PP)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PP: Number of patents published in the last three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Significance: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 applications published are an early indicator of innovation activity.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Lower weight (5 marks) since not all published patents lead to grants.</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Third-party patent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Indian Patent Office (IPO)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WIPO (World Intellectual Property Organization)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USPTO (United States Patent &amp; Trademark Office)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EPO (European Patent Office)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cannot self-report → ensures transparency.</w:t>
      </w:r>
    </w:p>
    <w:p>
      <w:pPr>
        <w:spacing w:after="40" w:line="276" w:lineRule="auto"/>
      </w:pPr>
      <w:r>
        <w:rPr>
          <w:rFonts w:ascii="Cambria" w:hAnsi="Cambria" w:eastAsia="Cambria"/>
          <w:b/>
          <w:i w:val="0"/>
          <w:sz w:val="22"/>
        </w:rPr>
        <w:t>3. Rationale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File and publish patents → fosters a culture of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Secure patent grants → indicates practical applicability and recognition of intellectual property.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Balances innovation pipeline (publications) with successful outcomes (grants).</w:t>
      </w:r>
    </w:p>
    <w:p>
      <w:pPr>
        <w:spacing w:after="40" w:line="276" w:lineRule="auto"/>
      </w:pPr>
      <w:r>
        <w:rPr>
          <w:rFonts w:ascii="Cambria" w:hAnsi="Cambria" w:eastAsia="Cambria"/>
          <w:b/>
          <w:i w:val="0"/>
          <w:sz w:val="22"/>
        </w:rPr>
        <w:t>4. Significance in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IPR = 15 marks → 4.5%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Supports India's research-to-innovation ecosystem.</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Incentivizes institutions to move beyond publications into applied, industry-relevant research outputs.</w:t>
      </w:r>
    </w:p>
    <w:p>
      <w:pPr>
        <w:keepNext/>
        <w:spacing w:before="200" w:after="100"/>
      </w:pPr>
      <w:r>
        <w:rPr>
          <w:rFonts w:ascii="Cambria" w:hAnsi="Cambria" w:eastAsia="Cambria"/>
          <w:b/>
          <w:i w:val="0"/>
          <w:color w:val="1F3A5F"/>
          <w:sz w:val="26"/>
        </w:rPr>
        <w:t>NIRF 2024 – IPR Formula Table</w:t>
      </w:r>
    </w:p>
    <w:tbl>
      <w:tblPr>
        <w:tblW w:type="dxa" w:w="9242"/>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Pr>
          <w:p>
            <w:pPr>
              <w:spacing w:after="40" w:line="240" w:lineRule="auto"/>
              <w:jc w:val="center"/>
            </w:pPr>
            <w:r/>
            <w:r>
              <w:rPr>
                <w:rFonts w:ascii="Cambria" w:hAnsi="Cambria" w:eastAsia="Cambria"/>
                <w:b/>
                <w:i w:val="0"/>
                <w:color w:val="FFFFFF"/>
                <w:sz w:val="22"/>
              </w:rPr>
              <w:t>Metric</w:t>
            </w:r>
          </w:p>
        </w:tc>
        <w:tc>
          <w:tcPr>
            <w:tcW w:type="dxa" w:w="2211"/>
            <w:shd w:val="clear" w:color="auto" w:fill="1F3A5F"/>
          </w:tcPr>
          <w:p>
            <w:pPr>
              <w:spacing w:after="40" w:line="240" w:lineRule="auto"/>
              <w:jc w:val="center"/>
            </w:pPr>
            <w:r/>
            <w:r>
              <w:rPr>
                <w:rFonts w:ascii="Cambria" w:hAnsi="Cambria" w:eastAsia="Cambria"/>
                <w:b/>
                <w:i w:val="0"/>
                <w:color w:val="FFFFFF"/>
                <w:sz w:val="22"/>
              </w:rPr>
              <w:t>Formula</w:t>
            </w:r>
          </w:p>
        </w:tc>
        <w:tc>
          <w:tcPr>
            <w:tcW w:type="dxa" w:w="737"/>
            <w:shd w:val="clear" w:color="auto" w:fill="1F3A5F"/>
          </w:tcPr>
          <w:p>
            <w:pPr>
              <w:spacing w:after="40" w:line="240" w:lineRule="auto"/>
              <w:jc w:val="center"/>
            </w:pPr>
            <w:r/>
            <w:r>
              <w:rPr>
                <w:rFonts w:ascii="Cambria" w:hAnsi="Cambria" w:eastAsia="Cambria"/>
                <w:b/>
                <w:i w:val="0"/>
                <w:color w:val="FFFFFF"/>
                <w:sz w:val="22"/>
              </w:rPr>
              <w:t>Max Marks</w:t>
            </w:r>
          </w:p>
        </w:tc>
        <w:tc>
          <w:tcPr>
            <w:tcW w:type="dxa" w:w="2778"/>
            <w:shd w:val="clear" w:color="auto" w:fill="1F3A5F"/>
          </w:tcPr>
          <w:p>
            <w:pPr>
              <w:spacing w:after="40" w:line="240" w:lineRule="auto"/>
              <w:jc w:val="center"/>
            </w:pPr>
            <w:r/>
            <w:r>
              <w:rPr>
                <w:rFonts w:ascii="Cambria" w:hAnsi="Cambria" w:eastAsia="Cambria"/>
                <w:b/>
                <w:i w:val="0"/>
                <w:color w:val="FFFFFF"/>
                <w:sz w:val="22"/>
              </w:rPr>
              <w:t>What It Captures</w:t>
            </w:r>
          </w:p>
        </w:tc>
        <w:tc>
          <w:tcPr>
            <w:tcW w:type="dxa" w:w="2041"/>
            <w:shd w:val="clear" w:color="auto" w:fill="1F3A5F"/>
          </w:tcPr>
          <w:p>
            <w:pPr>
              <w:spacing w:after="40" w:line="240" w:lineRule="auto"/>
              <w:jc w:val="center"/>
            </w:pPr>
            <w:r/>
            <w:r>
              <w:rPr>
                <w:rFonts w:ascii="Cambria" w:hAnsi="Cambria" w:eastAsia="Cambria"/>
                <w:b/>
                <w:i w:val="0"/>
                <w:color w:val="FFFFFF"/>
                <w:sz w:val="22"/>
              </w:rPr>
              <w:t>Data Source</w:t>
            </w:r>
          </w:p>
        </w:tc>
      </w:tr>
      <w:tr>
        <w:tc>
          <w:tcPr>
            <w:tcW w:type="dxa" w:w="1474"/>
          </w:tcPr>
          <w:p>
            <w:pPr>
              <w:spacing w:after="40" w:line="240" w:lineRule="auto"/>
              <w:jc w:val="left"/>
            </w:pPr>
            <w:r/>
            <w:r>
              <w:rPr>
                <w:rFonts w:ascii="Cambria" w:hAnsi="Cambria" w:eastAsia="Cambria"/>
                <w:b w:val="0"/>
                <w:i w:val="0"/>
                <w:sz w:val="22"/>
              </w:rPr>
              <w:t>IPG (Patents Granted)</w:t>
            </w:r>
          </w:p>
        </w:tc>
        <w:tc>
          <w:tcPr>
            <w:tcW w:type="dxa" w:w="2211"/>
          </w:tcPr>
          <w:p>
            <w:pPr>
              <w:spacing w:after="40" w:line="240" w:lineRule="auto"/>
              <w:jc w:val="center"/>
            </w:pPr>
            <w:r/>
            <w:r>
              <w:rPr>
                <w:rFonts w:ascii="Cambria" w:hAnsi="Cambria" w:eastAsia="Cambria"/>
                <w:b w:val="0"/>
                <w:i w:val="0"/>
                <w:sz w:val="22"/>
              </w:rPr>
              <w:t>IPG = 10 × f(PG)</w:t>
            </w:r>
          </w:p>
        </w:tc>
        <w:tc>
          <w:tcPr>
            <w:tcW w:type="dxa" w:w="737"/>
          </w:tcPr>
          <w:p>
            <w:pPr>
              <w:spacing w:after="40" w:line="240" w:lineRule="auto"/>
              <w:jc w:val="center"/>
            </w:pPr>
            <w:r/>
            <w:r>
              <w:rPr>
                <w:rFonts w:ascii="Cambria" w:hAnsi="Cambria" w:eastAsia="Cambria"/>
                <w:b w:val="0"/>
                <w:i w:val="0"/>
                <w:sz w:val="22"/>
              </w:rPr>
              <w:t>10</w:t>
            </w:r>
          </w:p>
        </w:tc>
        <w:tc>
          <w:tcPr>
            <w:tcW w:type="dxa" w:w="2778"/>
          </w:tcPr>
          <w:p>
            <w:pPr>
              <w:spacing w:after="40" w:line="240" w:lineRule="auto"/>
              <w:jc w:val="center"/>
            </w:pPr>
            <w:r/>
            <w:r>
              <w:rPr>
                <w:rFonts w:ascii="Cambria" w:hAnsi="Cambria" w:eastAsia="Cambria"/>
                <w:b w:val="0"/>
                <w:i w:val="0"/>
                <w:sz w:val="22"/>
              </w:rPr>
              <w:t>Recognizes number of patents granted in the last 3 years; validated innovation with real-world applicability</w:t>
            </w:r>
          </w:p>
        </w:tc>
        <w:tc>
          <w:tcPr>
            <w:tcW w:type="dxa" w:w="2041"/>
          </w:tcPr>
          <w:p>
            <w:pPr>
              <w:spacing w:after="40" w:line="240" w:lineRule="auto"/>
              <w:jc w:val="center"/>
            </w:pPr>
            <w:r/>
            <w:r>
              <w:rPr>
                <w:rFonts w:ascii="Cambria" w:hAnsi="Cambria" w:eastAsia="Cambria"/>
                <w:b w:val="0"/>
                <w:i w:val="0"/>
                <w:sz w:val="22"/>
              </w:rPr>
              <w:t>Third-party patent databases (IPO, WIPO, USPTO, EPO)</w:t>
            </w:r>
          </w:p>
        </w:tc>
      </w:tr>
      <w:tr>
        <w:tc>
          <w:tcPr>
            <w:tcW w:type="dxa" w:w="1474"/>
            <w:shd w:val="clear" w:color="auto" w:fill="DCE6F1"/>
          </w:tcPr>
          <w:p>
            <w:pPr>
              <w:spacing w:after="40" w:line="240" w:lineRule="auto"/>
              <w:jc w:val="left"/>
            </w:pPr>
            <w:r/>
            <w:r>
              <w:rPr>
                <w:rFonts w:ascii="Cambria" w:hAnsi="Cambria" w:eastAsia="Cambria"/>
                <w:b w:val="0"/>
                <w:i w:val="0"/>
                <w:sz w:val="22"/>
              </w:rPr>
              <w:t>IPP (Patents Published)</w:t>
            </w:r>
          </w:p>
        </w:tc>
        <w:tc>
          <w:tcPr>
            <w:tcW w:type="dxa" w:w="2211"/>
            <w:shd w:val="clear" w:color="auto" w:fill="DCE6F1"/>
          </w:tcPr>
          <w:p>
            <w:pPr>
              <w:spacing w:after="40" w:line="240" w:lineRule="auto"/>
              <w:jc w:val="center"/>
            </w:pPr>
            <w:r/>
            <w:r>
              <w:rPr>
                <w:rFonts w:ascii="Cambria" w:hAnsi="Cambria" w:eastAsia="Cambria"/>
                <w:b w:val="0"/>
                <w:i w:val="0"/>
                <w:sz w:val="22"/>
              </w:rPr>
              <w:t>IPP = 5 × f(PP)</w:t>
            </w:r>
          </w:p>
        </w:tc>
        <w:tc>
          <w:tcPr>
            <w:tcW w:type="dxa" w:w="737"/>
            <w:shd w:val="clear" w:color="auto" w:fill="DCE6F1"/>
          </w:tcPr>
          <w:p>
            <w:pPr>
              <w:spacing w:after="40" w:line="240" w:lineRule="auto"/>
              <w:jc w:val="center"/>
            </w:pPr>
            <w:r/>
            <w:r>
              <w:rPr>
                <w:rFonts w:ascii="Cambria" w:hAnsi="Cambria" w:eastAsia="Cambria"/>
                <w:b w:val="0"/>
                <w:i w:val="0"/>
                <w:sz w:val="22"/>
              </w:rPr>
              <w:t>5</w:t>
            </w:r>
          </w:p>
        </w:tc>
        <w:tc>
          <w:tcPr>
            <w:tcW w:type="dxa" w:w="2778"/>
            <w:shd w:val="clear" w:color="auto" w:fill="DCE6F1"/>
          </w:tcPr>
          <w:p>
            <w:pPr>
              <w:spacing w:after="40" w:line="240" w:lineRule="auto"/>
              <w:jc w:val="center"/>
            </w:pPr>
            <w:r/>
            <w:r>
              <w:rPr>
                <w:rFonts w:ascii="Cambria" w:hAnsi="Cambria" w:eastAsia="Cambria"/>
                <w:b w:val="0"/>
                <w:i w:val="0"/>
                <w:sz w:val="22"/>
              </w:rPr>
              <w:t>Counts number of patents published in the last 3 years; early-stage indicator of innovation activity</w:t>
            </w:r>
          </w:p>
        </w:tc>
        <w:tc>
          <w:tcPr>
            <w:tcW w:type="dxa" w:w="2041"/>
            <w:shd w:val="clear" w:color="auto" w:fill="DCE6F1"/>
          </w:tcPr>
          <w:p>
            <w:pPr>
              <w:spacing w:after="40" w:line="240" w:lineRule="auto"/>
              <w:jc w:val="center"/>
            </w:pPr>
            <w:r/>
            <w:r>
              <w:rPr>
                <w:rFonts w:ascii="Cambria" w:hAnsi="Cambria" w:eastAsia="Cambria"/>
                <w:b w:val="0"/>
                <w:i w:val="0"/>
                <w:sz w:val="22"/>
              </w:rPr>
              <w:t>Third-party patent databases (IPO, WIPO, USPTO, EPO)</w:t>
            </w:r>
          </w:p>
        </w:tc>
      </w:tr>
      <w:tr>
        <w:tc>
          <w:tcPr>
            <w:tcW w:type="dxa" w:w="1474"/>
          </w:tcPr>
          <w:p>
            <w:pPr>
              <w:spacing w:after="40" w:line="240" w:lineRule="auto"/>
              <w:jc w:val="left"/>
            </w:pPr>
            <w:r/>
            <w:r>
              <w:rPr>
                <w:rFonts w:ascii="Cambria" w:hAnsi="Cambria" w:eastAsia="Cambria"/>
                <w:b w:val="0"/>
                <w:i w:val="0"/>
                <w:sz w:val="22"/>
              </w:rPr>
              <w:t>IPR (Total)</w:t>
            </w:r>
          </w:p>
        </w:tc>
        <w:tc>
          <w:tcPr>
            <w:tcW w:type="dxa" w:w="2211"/>
          </w:tcPr>
          <w:p>
            <w:pPr>
              <w:spacing w:after="40" w:line="240" w:lineRule="auto"/>
              <w:jc w:val="center"/>
            </w:pPr>
            <w:r/>
            <w:r>
              <w:rPr>
                <w:rFonts w:ascii="Cambria" w:hAnsi="Cambria" w:eastAsia="Cambria"/>
                <w:b w:val="0"/>
                <w:i w:val="0"/>
                <w:sz w:val="22"/>
              </w:rPr>
              <w:t>IPR = IPG + IPP</w:t>
            </w:r>
          </w:p>
        </w:tc>
        <w:tc>
          <w:tcPr>
            <w:tcW w:type="dxa" w:w="737"/>
          </w:tcPr>
          <w:p>
            <w:pPr>
              <w:spacing w:after="40" w:line="240" w:lineRule="auto"/>
              <w:jc w:val="center"/>
            </w:pPr>
            <w:r/>
            <w:r>
              <w:rPr>
                <w:rFonts w:ascii="Cambria" w:hAnsi="Cambria" w:eastAsia="Cambria"/>
                <w:b w:val="0"/>
                <w:i w:val="0"/>
                <w:sz w:val="22"/>
              </w:rPr>
              <w:t>15</w:t>
            </w:r>
          </w:p>
        </w:tc>
        <w:tc>
          <w:tcPr>
            <w:tcW w:type="dxa" w:w="2778"/>
          </w:tcPr>
          <w:p>
            <w:pPr>
              <w:spacing w:after="40" w:line="240" w:lineRule="auto"/>
              <w:jc w:val="center"/>
            </w:pPr>
            <w:r/>
            <w:r>
              <w:rPr>
                <w:rFonts w:ascii="Cambria" w:hAnsi="Cambria" w:eastAsia="Cambria"/>
                <w:b w:val="0"/>
                <w:i w:val="0"/>
                <w:sz w:val="22"/>
              </w:rPr>
              <w:t>Combined metric rewarding institutions for both innovation pipeline (published) and successful outcomes (granted)</w:t>
            </w:r>
          </w:p>
        </w:tc>
        <w:tc>
          <w:tcPr>
            <w:tcW w:type="dxa" w:w="2041"/>
          </w:tcPr>
          <w:p>
            <w:pPr>
              <w:spacing w:after="40" w:line="240" w:lineRule="auto"/>
              <w:jc w:val="center"/>
            </w:pPr>
            <w:r/>
            <w:r>
              <w:rPr>
                <w:rFonts w:ascii="Cambria" w:hAnsi="Cambria" w:eastAsia="Cambria"/>
                <w:b w:val="0"/>
                <w:i w:val="0"/>
                <w:sz w:val="22"/>
              </w:rPr>
              <w:t>Verified through national &amp; international patent offices</w:t>
            </w:r>
          </w:p>
        </w:tc>
      </w:tr>
    </w:tbl>
    <w:p>
      <w:pPr>
        <w:spacing w:after="40" w:line="276" w:lineRule="auto"/>
      </w:pPr>
      <w:r>
        <w:rPr>
          <w:rFonts w:ascii="Cambria" w:hAnsi="Cambria" w:eastAsia="Cambria"/>
          <w:b/>
          <w:i w:val="0"/>
          <w:sz w:val="22"/>
        </w:rPr>
        <w:t>Quick Insights: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Patents Granted (10 marks) carry more weight than Patents Published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is sourced externally, preventing manipulation.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move from filing to securing patents, strengthening technology transfer.</w:t>
      </w:r>
    </w:p>
    <w:p>
      <w:pPr>
        <w:keepNext/>
        <w:spacing w:before="200" w:after="100"/>
      </w:pPr>
      <w:r>
        <w:rPr>
          <w:rFonts w:ascii="Cambria" w:hAnsi="Cambria" w:eastAsia="Cambria"/>
          <w:b/>
          <w:i w:val="0"/>
          <w:color w:val="1F3A5F"/>
          <w:sz w:val="25"/>
        </w:rPr>
        <w:t>D. Footprint of Projects, Professional Practice &amp; Executive Development Programs (FPPP)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15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FPPP = FPR + FPC + EDP/MDP</w:t>
      </w:r>
    </w:p>
    <w:p>
      <w:pPr>
        <w:spacing w:after="40" w:line="276" w:lineRule="auto"/>
      </w:pPr>
      <w:r>
        <w:rPr>
          <w:rFonts w:ascii="Cambria" w:hAnsi="Cambria" w:eastAsia="Cambria"/>
          <w:b/>
          <w:i w:val="0"/>
          <w:sz w:val="22"/>
        </w:rPr>
        <w:t>1. Sub-components of FPPP</w:t>
      </w:r>
    </w:p>
    <w:p>
      <w:pPr>
        <w:spacing w:after="40" w:line="276" w:lineRule="auto"/>
      </w:pPr>
      <w:r>
        <w:rPr>
          <w:rFonts w:ascii="Cambria" w:hAnsi="Cambria" w:eastAsia="Cambria"/>
          <w:b/>
          <w:i/>
          <w:sz w:val="22"/>
        </w:rPr>
        <w:t>A. Research Funding (FPR) –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80" w:line="276" w:lineRule="auto"/>
        <w:ind w:left="737"/>
      </w:pPr>
      <w:r>
        <w:rPr>
          <w:rFonts w:ascii="Cambria" w:hAnsi="Cambria" w:eastAsia="Cambria"/>
          <w:b w:val="0"/>
          <w:i w:val="0"/>
          <w:sz w:val="22"/>
        </w:rPr>
        <w:t>FPR = 5 × f(RF)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RF (Research Funding):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annual research funding earnings at the institution level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funding from government agencies (DST, DBT, ICSSR, UGC, AICTE, etc.) and international agencies.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Significance: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institution's ability to attract competitive research grants.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research capability and recognition.</w:t>
      </w:r>
    </w:p>
    <w:p>
      <w:pPr>
        <w:spacing w:after="40" w:line="276" w:lineRule="auto"/>
      </w:pPr>
      <w:r>
        <w:rPr>
          <w:rFonts w:ascii="Cambria" w:hAnsi="Cambria" w:eastAsia="Cambria"/>
          <w:b/>
          <w:i/>
          <w:sz w:val="22"/>
        </w:rPr>
        <w:t>B. Consultancy (FPC) –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80" w:line="276" w:lineRule="auto"/>
        <w:ind w:left="737"/>
      </w:pPr>
      <w:r>
        <w:rPr>
          <w:rFonts w:ascii="Cambria" w:hAnsi="Cambria" w:eastAsia="Cambria"/>
          <w:b w:val="0"/>
          <w:i w:val="0"/>
          <w:sz w:val="22"/>
        </w:rPr>
        <w:t>FPC = 5 × f(CF)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CF (Consultancy Funding):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annual consultancy earnings (actual receipts)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Typically from industry partnerships and problem-solving projects.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Significance: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institution's strength in industry linkages and applied research.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knowledge transfer to industry and society.</w:t>
      </w:r>
    </w:p>
    <w:p>
      <w:pPr>
        <w:spacing w:after="40" w:line="276" w:lineRule="auto"/>
      </w:pPr>
      <w:r>
        <w:rPr>
          <w:rFonts w:ascii="Cambria" w:hAnsi="Cambria" w:eastAsia="Cambria"/>
          <w:b/>
          <w:i/>
          <w:sz w:val="22"/>
        </w:rPr>
        <w:t>C. Executive Development / Management Development Programs (EDP/MDP) –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80" w:line="276" w:lineRule="auto"/>
        <w:ind w:left="737"/>
      </w:pPr>
      <w:r>
        <w:rPr>
          <w:rFonts w:ascii="Cambria" w:hAnsi="Cambria" w:eastAsia="Cambria"/>
          <w:b w:val="0"/>
          <w:i w:val="0"/>
          <w:sz w:val="22"/>
        </w:rPr>
        <w:t>EDP/MDP = 5 × f(EP)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EP (Executive/Management Program Earnings):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annual income generated from executive development or management development programs (short-term, skill-based training) in the last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Significance: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institutional engagement in lifelong learning and professional training.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direct contribution to capacity building for professionals.</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Institutions must provide audited financial figures for RF, CF, and EP in the prescribed format.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NIRF may cross-verify with funding agencies, consultancy agreements, and audited accounts.</w:t>
      </w:r>
    </w:p>
    <w:p>
      <w:pPr>
        <w:spacing w:after="40" w:line="276" w:lineRule="auto"/>
      </w:pPr>
      <w:r>
        <w:rPr>
          <w:rFonts w:ascii="Cambria" w:hAnsi="Cambria" w:eastAsia="Cambria"/>
          <w:b/>
          <w:i w:val="0"/>
          <w:sz w:val="22"/>
        </w:rPr>
        <w:t>3. Significance of FPPP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FPPP contributes 15 marks (4.5%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the research-to-industry and academia-to-profession pipeline.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that: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Secure research grants (FPR).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Deliver consultancy to industries (FPC).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Conduct executive/management training (EDP/MDP).</w:t>
      </w:r>
    </w:p>
    <w:p>
      <w:pPr>
        <w:keepNext/>
        <w:spacing w:before="200" w:after="100"/>
      </w:pPr>
      <w:r>
        <w:rPr>
          <w:rFonts w:ascii="Cambria" w:hAnsi="Cambria" w:eastAsia="Cambria"/>
          <w:b/>
          <w:i w:val="0"/>
          <w:color w:val="1F3A5F"/>
          <w:sz w:val="25"/>
        </w:rPr>
        <w:t>E. Combined Metric for Publications &amp; Citations in SDGs (PSDGs)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10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PSDGs = 5 × f(PUSDG/FRQ) + 5 × f(CISDG/FRQ)</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PUSDG (Publications in SDGs):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number of research publications aligned with UN Sustainable Development Goals (SDGs).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SDG 3 (Health): Public health, vaccines, epidemiology.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SDG 4 (Education): Pedagogical innovation, digital learning.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SDG 7 (Energy): Renewable energy, clean technologies.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SDG 13 (Climate Action): Climate change, sustainability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CISDG (Citations in SDGs):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citation count of SDG-related publications over the previous three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influence and impact of sustainability-related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(Faculty Requirement Quantity):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Maximum of: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Nominal faculty required at FSR = 1:15, or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Actual faculty available.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for normalization, ensuring per-faculty productivity comparison.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Normalization function designed by NIRF to scale values fairly.</w:t>
      </w:r>
    </w:p>
    <w:p>
      <w:pPr>
        <w:spacing w:after="40" w:line="276" w:lineRule="auto"/>
      </w:pPr>
      <w:r>
        <w:rPr>
          <w:rFonts w:ascii="Cambria" w:hAnsi="Cambria" w:eastAsia="Cambria"/>
          <w:b/>
          <w:i w:val="0"/>
          <w:sz w:val="22"/>
        </w:rPr>
        <w:t>2. Interpretation of the Metric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First Term (5 × f(PUSDG/FRQ))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per-faculty research output specifically aligned with SDGs.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Second Term (5 × f(CISDG/FRQ))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per-faculty citation impact of SDG-related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Both volume (publications) and impact (citations) are rewarded equally (5 marks each).</w:t>
      </w:r>
    </w:p>
    <w:p>
      <w:pPr>
        <w:spacing w:after="40" w:line="276" w:lineRule="auto"/>
      </w:pPr>
      <w:r>
        <w:rPr>
          <w:rFonts w:ascii="Cambria" w:hAnsi="Cambria" w:eastAsia="Cambria"/>
          <w:b/>
          <w:i w:val="0"/>
          <w:sz w:val="22"/>
        </w:rPr>
        <w:t>3.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Directly collected from third-party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Scopus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Web of Science (WoS)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PubMed (for health-related SDGs)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Other citation databases used globally.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cannot self-report these figures.</w:t>
      </w:r>
    </w:p>
    <w:p>
      <w:pPr>
        <w:spacing w:after="40" w:line="276" w:lineRule="auto"/>
      </w:pPr>
      <w:r>
        <w:rPr>
          <w:rFonts w:ascii="Cambria" w:hAnsi="Cambria" w:eastAsia="Cambria"/>
          <w:b/>
          <w:i w:val="0"/>
          <w:sz w:val="22"/>
        </w:rPr>
        <w:t>4. Significance of PSDGs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weight = 10 marks → contributes 3% of the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alignment of higher education research with global sustainable development priorities.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Publish in areas with social and environmental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 interdisciplinary research (health, energy, climate, education).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Gain international visibility in addressing grand global challenges.</w:t>
      </w:r>
    </w:p>
    <w:p>
      <w:r>
        <w:br w:type="page"/>
      </w:r>
    </w:p>
    <w:p>
      <w:pPr>
        <w:keepNext/>
        <w:spacing w:before="360" w:after="160"/>
      </w:pPr>
      <w:r>
        <w:rPr>
          <w:rFonts w:ascii="Cambria" w:hAnsi="Cambria" w:eastAsia="Cambria"/>
          <w:b/>
          <w:i w:val="0"/>
          <w:color w:val="1F3A5F"/>
          <w:sz w:val="36"/>
        </w:rPr>
        <w:t>31. Graduation Outcomes (GO) – NIRF 2024</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Ranking Weight: 0.20 (20%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Formula:</w:t>
      </w:r>
    </w:p>
    <w:p>
      <w:pPr>
        <w:spacing w:after="120" w:line="276" w:lineRule="auto"/>
        <w:ind w:left="737"/>
      </w:pPr>
      <w:r>
        <w:rPr>
          <w:rFonts w:ascii="Cambria" w:hAnsi="Cambria" w:eastAsia="Cambria"/>
          <w:b w:val="0"/>
          <w:i w:val="0"/>
          <w:sz w:val="22"/>
        </w:rPr>
        <w:t>GO = GUE(60) + GPHD(40)</w:t>
      </w:r>
    </w:p>
    <w:p>
      <w:pPr>
        <w:spacing w:after="40" w:line="276" w:lineRule="auto"/>
      </w:pPr>
      <w:r>
        <w:rPr>
          <w:rFonts w:ascii="Cambria" w:hAnsi="Cambria" w:eastAsia="Cambria"/>
          <w:b/>
          <w:i w:val="0"/>
          <w:sz w:val="22"/>
        </w:rPr>
        <w:t>Component Metrics of GO</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Code</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Explanation</w:t>
            </w:r>
          </w:p>
        </w:tc>
      </w:tr>
      <w:tr>
        <w:tc>
          <w:tcPr>
            <w:tcW w:type="dxa" w:w="737"/>
          </w:tcPr>
          <w:p>
            <w:pPr>
              <w:spacing w:after="40" w:line="240" w:lineRule="auto"/>
              <w:jc w:val="left"/>
            </w:pPr>
            <w:r/>
            <w:r>
              <w:rPr>
                <w:rFonts w:ascii="Cambria" w:hAnsi="Cambria" w:eastAsia="Cambria"/>
                <w:b w:val="0"/>
                <w:i w:val="0"/>
                <w:sz w:val="22"/>
              </w:rPr>
              <w:t>GUE</w:t>
            </w:r>
          </w:p>
        </w:tc>
        <w:tc>
          <w:tcPr>
            <w:tcW w:type="dxa" w:w="3572"/>
          </w:tcPr>
          <w:p>
            <w:pPr>
              <w:spacing w:after="40" w:line="240" w:lineRule="auto"/>
              <w:jc w:val="center"/>
            </w:pPr>
            <w:r/>
            <w:r>
              <w:rPr>
                <w:rFonts w:ascii="Cambria" w:hAnsi="Cambria" w:eastAsia="Cambria"/>
                <w:b w:val="0"/>
                <w:i w:val="0"/>
                <w:sz w:val="22"/>
              </w:rPr>
              <w:t>Metric for University Examinations</w:t>
            </w:r>
          </w:p>
        </w:tc>
        <w:tc>
          <w:tcPr>
            <w:tcW w:type="dxa" w:w="850"/>
          </w:tcPr>
          <w:p>
            <w:pPr>
              <w:spacing w:after="40" w:line="240" w:lineRule="auto"/>
              <w:jc w:val="center"/>
            </w:pPr>
            <w:r/>
            <w:r>
              <w:rPr>
                <w:rFonts w:ascii="Cambria" w:hAnsi="Cambria" w:eastAsia="Cambria"/>
                <w:b w:val="0"/>
                <w:i w:val="0"/>
                <w:sz w:val="22"/>
              </w:rPr>
              <w:t>60</w:t>
            </w:r>
          </w:p>
        </w:tc>
        <w:tc>
          <w:tcPr>
            <w:tcW w:type="dxa" w:w="4252"/>
          </w:tcPr>
          <w:p>
            <w:pPr>
              <w:spacing w:after="40" w:line="240" w:lineRule="auto"/>
              <w:jc w:val="center"/>
            </w:pPr>
            <w:r/>
            <w:r>
              <w:rPr>
                <w:rFonts w:ascii="Cambria" w:hAnsi="Cambria" w:eastAsia="Cambria"/>
                <w:b w:val="0"/>
                <w:i w:val="0"/>
                <w:sz w:val="22"/>
              </w:rPr>
              <w:t>Measures success of students in university-level examinations, including pass percentages, timely graduations, and progression rates</w:t>
            </w:r>
          </w:p>
        </w:tc>
      </w:tr>
      <w:tr>
        <w:tc>
          <w:tcPr>
            <w:tcW w:type="dxa" w:w="737"/>
            <w:shd w:val="clear" w:color="auto" w:fill="DCE6F1"/>
          </w:tcPr>
          <w:p>
            <w:pPr>
              <w:spacing w:after="40" w:line="240" w:lineRule="auto"/>
              <w:jc w:val="left"/>
            </w:pPr>
            <w:r/>
            <w:r>
              <w:rPr>
                <w:rFonts w:ascii="Cambria" w:hAnsi="Cambria" w:eastAsia="Cambria"/>
                <w:b w:val="0"/>
                <w:i w:val="0"/>
                <w:sz w:val="22"/>
              </w:rPr>
              <w:t>GPHD</w:t>
            </w:r>
          </w:p>
        </w:tc>
        <w:tc>
          <w:tcPr>
            <w:tcW w:type="dxa" w:w="3572"/>
            <w:shd w:val="clear" w:color="auto" w:fill="DCE6F1"/>
          </w:tcPr>
          <w:p>
            <w:pPr>
              <w:spacing w:after="40" w:line="240" w:lineRule="auto"/>
              <w:jc w:val="center"/>
            </w:pPr>
            <w:r/>
            <w:r>
              <w:rPr>
                <w:rFonts w:ascii="Cambria" w:hAnsi="Cambria" w:eastAsia="Cambria"/>
                <w:b w:val="0"/>
                <w:i w:val="0"/>
                <w:sz w:val="22"/>
              </w:rPr>
              <w:t>Metric for Number of Ph.D. Students Graduated</w:t>
            </w:r>
          </w:p>
        </w:tc>
        <w:tc>
          <w:tcPr>
            <w:tcW w:type="dxa" w:w="850"/>
            <w:shd w:val="clear" w:color="auto" w:fill="DCE6F1"/>
          </w:tcPr>
          <w:p>
            <w:pPr>
              <w:spacing w:after="40" w:line="240" w:lineRule="auto"/>
              <w:jc w:val="center"/>
            </w:pPr>
            <w:r/>
            <w:r>
              <w:rPr>
                <w:rFonts w:ascii="Cambria" w:hAnsi="Cambria" w:eastAsia="Cambria"/>
                <w:b w:val="0"/>
                <w:i w:val="0"/>
                <w:sz w:val="22"/>
              </w:rPr>
              <w:t>40</w:t>
            </w:r>
          </w:p>
        </w:tc>
        <w:tc>
          <w:tcPr>
            <w:tcW w:type="dxa" w:w="4252"/>
            <w:shd w:val="clear" w:color="auto" w:fill="DCE6F1"/>
          </w:tcPr>
          <w:p>
            <w:pPr>
              <w:spacing w:after="40" w:line="240" w:lineRule="auto"/>
              <w:jc w:val="center"/>
            </w:pPr>
            <w:r/>
            <w:r>
              <w:rPr>
                <w:rFonts w:ascii="Cambria" w:hAnsi="Cambria" w:eastAsia="Cambria"/>
                <w:b w:val="0"/>
                <w:i w:val="0"/>
                <w:sz w:val="22"/>
              </w:rPr>
              <w:t>Captures the research strength of the institution by measuring the number of doctoral students successfully graduating in the last 3 years</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contribution = 20% of NIRF Score</w:t>
            </w:r>
          </w:p>
        </w:tc>
      </w:tr>
    </w:tbl>
    <w:p>
      <w:pPr>
        <w:spacing w:after="40" w:line="276" w:lineRule="auto"/>
      </w:pPr>
      <w:r>
        <w:rPr>
          <w:rFonts w:ascii="Cambria" w:hAnsi="Cambria" w:eastAsia="Cambria"/>
          <w:b/>
          <w:i w:val="0"/>
          <w:sz w:val="22"/>
        </w:rPr>
        <w:t>Significance of GO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Weightage = 20% of total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are evaluated based on student success outcomes at both: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General academic level → GUE (60%)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Advanced research level → GPHD (40%)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accountability 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Ensuring high pass rates and timely graduations.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Supporting strong doctoral research programs.</w:t>
      </w:r>
    </w:p>
    <w:p>
      <w:pPr>
        <w:keepNext/>
        <w:spacing w:before="200" w:after="100"/>
      </w:pPr>
      <w:r>
        <w:rPr>
          <w:rFonts w:ascii="Cambria" w:hAnsi="Cambria" w:eastAsia="Cambria"/>
          <w:b/>
          <w:i w:val="0"/>
          <w:color w:val="1F3A5F"/>
          <w:sz w:val="25"/>
        </w:rPr>
        <w:t>A. Metric for University Examinations (GUE)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60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GUE = 60 × min(Ng/80, 1)</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Ng (Graduation Success Rate):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Defined as the percentage of students (relative to approved intake) who successfully pass the university examinations in the stipulated time for their enrolled program.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Averaged over the previous three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 If approved intake = 100 and 85 students graduate on time, Ng = 85%.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Scaling Function: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Ng &lt; 80%, score = proportional fraction of 60.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Ng ≥ 80%, the institution gets full 60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institutions cannot claim additional benefit beyond the 80% benchmark.</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must be provided by the institution in prescribed format, including: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Approved intake for each program (UG/PG).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students graduating on time in each of the last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NIRF cross-checks data with university records and examination results.</w:t>
      </w:r>
    </w:p>
    <w:p>
      <w:pPr>
        <w:spacing w:after="40" w:line="276" w:lineRule="auto"/>
      </w:pPr>
      <w:r>
        <w:rPr>
          <w:rFonts w:ascii="Cambria" w:hAnsi="Cambria" w:eastAsia="Cambria"/>
          <w:b/>
          <w:i w:val="0"/>
          <w:sz w:val="22"/>
        </w:rPr>
        <w:t>3. Interpretation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strong academic processes (teaching, support, mentoring) will have high on-time graduation rates.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is set at 80% pass rate → considered a good indicator of quality.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performing below this benchmark lose marks proportionally.</w:t>
      </w:r>
    </w:p>
    <w:p>
      <w:pPr>
        <w:spacing w:after="40" w:line="276" w:lineRule="auto"/>
      </w:pPr>
      <w:r>
        <w:rPr>
          <w:rFonts w:ascii="Cambria" w:hAnsi="Cambria" w:eastAsia="Cambria"/>
          <w:b/>
          <w:i w:val="0"/>
          <w:sz w:val="22"/>
        </w:rPr>
        <w:t>4. Significance in GO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GUE contributes 60 marks out of 100 in GO → 12%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 timely completion of academic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Focus on student retention, success, and progression.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 academic support systems to minimize dropouts.</w:t>
      </w:r>
    </w:p>
    <w:p>
      <w:pPr>
        <w:keepNext/>
        <w:spacing w:before="200" w:after="100"/>
      </w:pPr>
      <w:r>
        <w:rPr>
          <w:rFonts w:ascii="Cambria" w:hAnsi="Cambria" w:eastAsia="Cambria"/>
          <w:b/>
          <w:i w:val="0"/>
          <w:color w:val="1F3A5F"/>
          <w:sz w:val="25"/>
        </w:rPr>
        <w:t>B. Metric for Number of Ph.D. Students Graduated (GPHD)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40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GPHD = 40 × f(Nphd)</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Nphd (Ph.D. Graduates):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number of Ph.D. students successfully awarded degrees over the previous 3 academic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to be reported in absolute numbers, then normalized through NIRF's scaling function f(Nphd).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f(Nphd):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normalization function applied by NIRF to map the average number of Ph.D. graduates into a score out of 40.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fairness by benchmarking against national distributions of doctoral outputs.</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must provide primary data in prescribed format: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Ph.D. degrees awarded per year.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Certified via Annual Reports / Convocation Reports.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NIRF may cross-check with: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UGC, AIU, institutional convocation records, or other official documentation.</w:t>
      </w:r>
    </w:p>
    <w:p>
      <w:pPr>
        <w:spacing w:after="40" w:line="276" w:lineRule="auto"/>
      </w:pPr>
      <w:r>
        <w:rPr>
          <w:rFonts w:ascii="Cambria" w:hAnsi="Cambria" w:eastAsia="Cambria"/>
          <w:b/>
          <w:i w:val="0"/>
          <w:sz w:val="22"/>
        </w:rPr>
        <w:t>3. Interpretation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 higher average number of Ph.D. graduates → stronger institutional capacity for research, supervision, and innovation.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with: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Robust doctoral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Active research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Strong infrastructure for advanced research training.</w:t>
      </w:r>
    </w:p>
    <w:p>
      <w:pPr>
        <w:spacing w:after="40" w:line="276" w:lineRule="auto"/>
      </w:pPr>
      <w:r>
        <w:rPr>
          <w:rFonts w:ascii="Cambria" w:hAnsi="Cambria" w:eastAsia="Cambria"/>
          <w:b/>
          <w:i w:val="0"/>
          <w:sz w:val="22"/>
        </w:rPr>
        <w:t>4. Significance in GO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GPHD contributes 40 marks out of 100 in GO → 8%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Balances GUE (student graduation success at UG/PG level) with research-oriented outputs (Ph.D. completions).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Supports India's research ecosystem by recognizing institutions producing highly trained researchers.</w:t>
      </w:r>
    </w:p>
    <w:p>
      <w:r>
        <w:br w:type="page"/>
      </w:r>
    </w:p>
    <w:p>
      <w:pPr>
        <w:keepNext/>
        <w:spacing w:before="360" w:after="160"/>
      </w:pPr>
      <w:r>
        <w:rPr>
          <w:rFonts w:ascii="Cambria" w:hAnsi="Cambria" w:eastAsia="Cambria"/>
          <w:b/>
          <w:i w:val="0"/>
          <w:color w:val="1F3A5F"/>
          <w:sz w:val="36"/>
        </w:rPr>
        <w:t>32. Outreach &amp; Inclusivity (OI) – NIRF 2024</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Ranking Weight: 0.10 (10%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Formula:</w:t>
      </w:r>
    </w:p>
    <w:p>
      <w:pPr>
        <w:spacing w:after="120" w:line="276" w:lineRule="auto"/>
        <w:ind w:left="737"/>
      </w:pPr>
      <w:r>
        <w:rPr>
          <w:rFonts w:ascii="Cambria" w:hAnsi="Cambria" w:eastAsia="Cambria"/>
          <w:b w:val="0"/>
          <w:i w:val="0"/>
          <w:sz w:val="22"/>
        </w:rPr>
        <w:t>OI = RD(30) + WD(30) + ESCS(20) + PCS(20)</w:t>
      </w:r>
    </w:p>
    <w:p>
      <w:pPr>
        <w:spacing w:after="40" w:line="276" w:lineRule="auto"/>
      </w:pPr>
      <w:r>
        <w:rPr>
          <w:rFonts w:ascii="Cambria" w:hAnsi="Cambria" w:eastAsia="Cambria"/>
          <w:b/>
          <w:i w:val="0"/>
          <w:sz w:val="22"/>
        </w:rPr>
        <w:t>Component Metrics of OI</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Code</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Explanation</w:t>
            </w:r>
          </w:p>
        </w:tc>
      </w:tr>
      <w:tr>
        <w:tc>
          <w:tcPr>
            <w:tcW w:type="dxa" w:w="737"/>
          </w:tcPr>
          <w:p>
            <w:pPr>
              <w:spacing w:after="40" w:line="240" w:lineRule="auto"/>
              <w:jc w:val="left"/>
            </w:pPr>
            <w:r/>
            <w:r>
              <w:rPr>
                <w:rFonts w:ascii="Cambria" w:hAnsi="Cambria" w:eastAsia="Cambria"/>
                <w:b w:val="0"/>
                <w:i w:val="0"/>
                <w:sz w:val="22"/>
              </w:rPr>
              <w:t>RD</w:t>
            </w:r>
          </w:p>
        </w:tc>
        <w:tc>
          <w:tcPr>
            <w:tcW w:type="dxa" w:w="3572"/>
          </w:tcPr>
          <w:p>
            <w:pPr>
              <w:spacing w:after="40" w:line="240" w:lineRule="auto"/>
              <w:jc w:val="center"/>
            </w:pPr>
            <w:r/>
            <w:r>
              <w:rPr>
                <w:rFonts w:ascii="Cambria" w:hAnsi="Cambria" w:eastAsia="Cambria"/>
                <w:b w:val="0"/>
                <w:i w:val="0"/>
                <w:sz w:val="22"/>
              </w:rPr>
              <w:t>Percentage of Students from Other States / Countries (Regional Diversity)</w:t>
            </w:r>
          </w:p>
        </w:tc>
        <w:tc>
          <w:tcPr>
            <w:tcW w:type="dxa" w:w="850"/>
          </w:tcPr>
          <w:p>
            <w:pPr>
              <w:spacing w:after="40" w:line="240" w:lineRule="auto"/>
              <w:jc w:val="center"/>
            </w:pPr>
            <w:r/>
            <w:r>
              <w:rPr>
                <w:rFonts w:ascii="Cambria" w:hAnsi="Cambria" w:eastAsia="Cambria"/>
                <w:b w:val="0"/>
                <w:i w:val="0"/>
                <w:sz w:val="22"/>
              </w:rPr>
              <w:t>30</w:t>
            </w:r>
          </w:p>
        </w:tc>
        <w:tc>
          <w:tcPr>
            <w:tcW w:type="dxa" w:w="4252"/>
          </w:tcPr>
          <w:p>
            <w:pPr>
              <w:spacing w:after="40" w:line="240" w:lineRule="auto"/>
              <w:jc w:val="center"/>
            </w:pPr>
            <w:r/>
            <w:r>
              <w:rPr>
                <w:rFonts w:ascii="Cambria" w:hAnsi="Cambria" w:eastAsia="Cambria"/>
                <w:b w:val="0"/>
                <w:i w:val="0"/>
                <w:sz w:val="22"/>
              </w:rPr>
              <w:t>Captures geographic diversity by measuring the proportion of students enrolled from outside the home state or from abroad</w:t>
            </w:r>
          </w:p>
        </w:tc>
      </w:tr>
      <w:tr>
        <w:tc>
          <w:tcPr>
            <w:tcW w:type="dxa" w:w="737"/>
            <w:shd w:val="clear" w:color="auto" w:fill="DCE6F1"/>
          </w:tcPr>
          <w:p>
            <w:pPr>
              <w:spacing w:after="40" w:line="240" w:lineRule="auto"/>
              <w:jc w:val="left"/>
            </w:pPr>
            <w:r/>
            <w:r>
              <w:rPr>
                <w:rFonts w:ascii="Cambria" w:hAnsi="Cambria" w:eastAsia="Cambria"/>
                <w:b w:val="0"/>
                <w:i w:val="0"/>
                <w:sz w:val="22"/>
              </w:rPr>
              <w:t>WD</w:t>
            </w:r>
          </w:p>
        </w:tc>
        <w:tc>
          <w:tcPr>
            <w:tcW w:type="dxa" w:w="3572"/>
            <w:shd w:val="clear" w:color="auto" w:fill="DCE6F1"/>
          </w:tcPr>
          <w:p>
            <w:pPr>
              <w:spacing w:after="40" w:line="240" w:lineRule="auto"/>
              <w:jc w:val="center"/>
            </w:pPr>
            <w:r/>
            <w:r>
              <w:rPr>
                <w:rFonts w:ascii="Cambria" w:hAnsi="Cambria" w:eastAsia="Cambria"/>
                <w:b w:val="0"/>
                <w:i w:val="0"/>
                <w:sz w:val="22"/>
              </w:rPr>
              <w:t>Percentage of Women (Women Diversity)</w:t>
            </w:r>
          </w:p>
        </w:tc>
        <w:tc>
          <w:tcPr>
            <w:tcW w:type="dxa" w:w="850"/>
            <w:shd w:val="clear" w:color="auto" w:fill="DCE6F1"/>
          </w:tcPr>
          <w:p>
            <w:pPr>
              <w:spacing w:after="40" w:line="240" w:lineRule="auto"/>
              <w:jc w:val="center"/>
            </w:pPr>
            <w:r/>
            <w:r>
              <w:rPr>
                <w:rFonts w:ascii="Cambria" w:hAnsi="Cambria" w:eastAsia="Cambria"/>
                <w:b w:val="0"/>
                <w:i w:val="0"/>
                <w:sz w:val="22"/>
              </w:rPr>
              <w:t>30</w:t>
            </w:r>
          </w:p>
        </w:tc>
        <w:tc>
          <w:tcPr>
            <w:tcW w:type="dxa" w:w="4252"/>
            <w:shd w:val="clear" w:color="auto" w:fill="DCE6F1"/>
          </w:tcPr>
          <w:p>
            <w:pPr>
              <w:spacing w:after="40" w:line="240" w:lineRule="auto"/>
              <w:jc w:val="center"/>
            </w:pPr>
            <w:r/>
            <w:r>
              <w:rPr>
                <w:rFonts w:ascii="Cambria" w:hAnsi="Cambria" w:eastAsia="Cambria"/>
                <w:b w:val="0"/>
                <w:i w:val="0"/>
                <w:sz w:val="22"/>
              </w:rPr>
              <w:t>Reflects gender diversity across students, faculty, and leadership roles</w:t>
            </w:r>
          </w:p>
        </w:tc>
      </w:tr>
      <w:tr>
        <w:tc>
          <w:tcPr>
            <w:tcW w:type="dxa" w:w="737"/>
          </w:tcPr>
          <w:p>
            <w:pPr>
              <w:spacing w:after="40" w:line="240" w:lineRule="auto"/>
              <w:jc w:val="left"/>
            </w:pPr>
            <w:r/>
            <w:r>
              <w:rPr>
                <w:rFonts w:ascii="Cambria" w:hAnsi="Cambria" w:eastAsia="Cambria"/>
                <w:b w:val="0"/>
                <w:i w:val="0"/>
                <w:sz w:val="22"/>
              </w:rPr>
              <w:t>ESCS</w:t>
            </w:r>
          </w:p>
        </w:tc>
        <w:tc>
          <w:tcPr>
            <w:tcW w:type="dxa" w:w="3572"/>
          </w:tcPr>
          <w:p>
            <w:pPr>
              <w:spacing w:after="40" w:line="240" w:lineRule="auto"/>
              <w:jc w:val="center"/>
            </w:pPr>
            <w:r/>
            <w:r>
              <w:rPr>
                <w:rFonts w:ascii="Cambria" w:hAnsi="Cambria" w:eastAsia="Cambria"/>
                <w:b w:val="0"/>
                <w:i w:val="0"/>
                <w:sz w:val="22"/>
              </w:rPr>
              <w:t>Economically &amp; Socially Challenged Students</w:t>
            </w:r>
          </w:p>
        </w:tc>
        <w:tc>
          <w:tcPr>
            <w:tcW w:type="dxa" w:w="850"/>
          </w:tcPr>
          <w:p>
            <w:pPr>
              <w:spacing w:after="40" w:line="240" w:lineRule="auto"/>
              <w:jc w:val="center"/>
            </w:pPr>
            <w:r/>
            <w:r>
              <w:rPr>
                <w:rFonts w:ascii="Cambria" w:hAnsi="Cambria" w:eastAsia="Cambria"/>
                <w:b w:val="0"/>
                <w:i w:val="0"/>
                <w:sz w:val="22"/>
              </w:rPr>
              <w:t>20</w:t>
            </w:r>
          </w:p>
        </w:tc>
        <w:tc>
          <w:tcPr>
            <w:tcW w:type="dxa" w:w="4252"/>
          </w:tcPr>
          <w:p>
            <w:pPr>
              <w:spacing w:after="40" w:line="240" w:lineRule="auto"/>
              <w:jc w:val="center"/>
            </w:pPr>
            <w:r/>
            <w:r>
              <w:rPr>
                <w:rFonts w:ascii="Cambria" w:hAnsi="Cambria" w:eastAsia="Cambria"/>
                <w:b w:val="0"/>
                <w:i w:val="0"/>
                <w:sz w:val="22"/>
              </w:rPr>
              <w:t>Measures access, enrollment, and institutional support (scholarships, fee waivers) for disadvantaged groups</w:t>
            </w:r>
          </w:p>
        </w:tc>
      </w:tr>
      <w:tr>
        <w:tc>
          <w:tcPr>
            <w:tcW w:type="dxa" w:w="737"/>
            <w:shd w:val="clear" w:color="auto" w:fill="DCE6F1"/>
          </w:tcPr>
          <w:p>
            <w:pPr>
              <w:spacing w:after="40" w:line="240" w:lineRule="auto"/>
              <w:jc w:val="left"/>
            </w:pPr>
            <w:r/>
            <w:r>
              <w:rPr>
                <w:rFonts w:ascii="Cambria" w:hAnsi="Cambria" w:eastAsia="Cambria"/>
                <w:b w:val="0"/>
                <w:i w:val="0"/>
                <w:sz w:val="22"/>
              </w:rPr>
              <w:t>PCS</w:t>
            </w:r>
          </w:p>
        </w:tc>
        <w:tc>
          <w:tcPr>
            <w:tcW w:type="dxa" w:w="3572"/>
            <w:shd w:val="clear" w:color="auto" w:fill="DCE6F1"/>
          </w:tcPr>
          <w:p>
            <w:pPr>
              <w:spacing w:after="40" w:line="240" w:lineRule="auto"/>
              <w:jc w:val="center"/>
            </w:pPr>
            <w:r/>
            <w:r>
              <w:rPr>
                <w:rFonts w:ascii="Cambria" w:hAnsi="Cambria" w:eastAsia="Cambria"/>
                <w:b w:val="0"/>
                <w:i w:val="0"/>
                <w:sz w:val="22"/>
              </w:rPr>
              <w:t>Facilities for Physically Challenged Students</w:t>
            </w:r>
          </w:p>
        </w:tc>
        <w:tc>
          <w:tcPr>
            <w:tcW w:type="dxa" w:w="850"/>
            <w:shd w:val="clear" w:color="auto" w:fill="DCE6F1"/>
          </w:tcPr>
          <w:p>
            <w:pPr>
              <w:spacing w:after="40" w:line="240" w:lineRule="auto"/>
              <w:jc w:val="center"/>
            </w:pPr>
            <w:r/>
            <w:r>
              <w:rPr>
                <w:rFonts w:ascii="Cambria" w:hAnsi="Cambria" w:eastAsia="Cambria"/>
                <w:b w:val="0"/>
                <w:i w:val="0"/>
                <w:sz w:val="22"/>
              </w:rPr>
              <w:t>20</w:t>
            </w:r>
          </w:p>
        </w:tc>
        <w:tc>
          <w:tcPr>
            <w:tcW w:type="dxa" w:w="4252"/>
            <w:shd w:val="clear" w:color="auto" w:fill="DCE6F1"/>
          </w:tcPr>
          <w:p>
            <w:pPr>
              <w:spacing w:after="40" w:line="240" w:lineRule="auto"/>
              <w:jc w:val="center"/>
            </w:pPr>
            <w:r/>
            <w:r>
              <w:rPr>
                <w:rFonts w:ascii="Cambria" w:hAnsi="Cambria" w:eastAsia="Cambria"/>
                <w:b w:val="0"/>
                <w:i w:val="0"/>
                <w:sz w:val="22"/>
              </w:rPr>
              <w:t>Evaluates infrastructure, learning support, and accessibility for differently-abled students</w:t>
            </w:r>
          </w:p>
        </w:tc>
      </w:tr>
      <w:tr>
        <w:tc>
          <w:tcPr>
            <w:tcW w:type="dxa" w:w="737"/>
            <w:shd w:val="clear" w:color="auto" w:fill="B9CDE5"/>
          </w:tcPr>
          <w:p>
            <w:pPr>
              <w:spacing w:after="40" w:line="240" w:lineRule="auto"/>
              <w:jc w:val="left"/>
            </w:pPr>
            <w:r/>
            <w:r>
              <w:rPr>
                <w:rFonts w:ascii="Cambria" w:hAnsi="Cambria" w:eastAsia="Cambria"/>
                <w:b/>
                <w:i w:val="0"/>
                <w:sz w:val="22"/>
              </w:rPr>
              <w:t>Total</w:t>
            </w:r>
          </w:p>
        </w:tc>
        <w:tc>
          <w:tcPr>
            <w:tcW w:type="dxa" w:w="3572"/>
            <w:shd w:val="clear" w:color="auto" w:fill="B9CDE5"/>
          </w:tcPr>
          <w:p>
            <w:pPr>
              <w:spacing w:after="40" w:line="240" w:lineRule="auto"/>
              <w:jc w:val="center"/>
            </w:pPr>
            <w:r/>
            <w:r>
              <w:rPr>
                <w:rFonts w:ascii="Cambria" w:hAnsi="Cambria" w:eastAsia="Cambria"/>
                <w:b/>
                <w:i w:val="0"/>
                <w:sz w:val="22"/>
              </w:rPr>
              <w:t>–</w:t>
            </w:r>
          </w:p>
        </w:tc>
        <w:tc>
          <w:tcPr>
            <w:tcW w:type="dxa" w:w="850"/>
            <w:shd w:val="clear" w:color="auto" w:fill="B9CDE5"/>
          </w:tcPr>
          <w:p>
            <w:pPr>
              <w:spacing w:after="40" w:line="240" w:lineRule="auto"/>
              <w:jc w:val="left"/>
            </w:pPr>
            <w:r/>
            <w:r>
              <w:rPr>
                <w:rFonts w:ascii="Cambria" w:hAnsi="Cambria" w:eastAsia="Cambria"/>
                <w:b/>
                <w:i w:val="0"/>
                <w:sz w:val="22"/>
              </w:rPr>
              <w:t>100</w:t>
            </w:r>
          </w:p>
        </w:tc>
        <w:tc>
          <w:tcPr>
            <w:tcW w:type="dxa" w:w="4252"/>
            <w:shd w:val="clear" w:color="auto" w:fill="B9CDE5"/>
          </w:tcPr>
          <w:p>
            <w:pPr>
              <w:spacing w:after="40" w:line="240" w:lineRule="auto"/>
              <w:jc w:val="left"/>
            </w:pPr>
            <w:r/>
            <w:r>
              <w:rPr>
                <w:rFonts w:ascii="Cambria" w:hAnsi="Cambria" w:eastAsia="Cambria"/>
                <w:b/>
                <w:i w:val="0"/>
                <w:sz w:val="22"/>
              </w:rPr>
              <w:t>Weighted contribution = 10% of NIRF Score</w:t>
            </w:r>
          </w:p>
        </w:tc>
      </w:tr>
    </w:tbl>
    <w:p>
      <w:pPr>
        <w:spacing w:after="40" w:line="276" w:lineRule="auto"/>
      </w:pPr>
      <w:r>
        <w:rPr>
          <w:rFonts w:ascii="Cambria" w:hAnsi="Cambria" w:eastAsia="Cambria"/>
          <w:b/>
          <w:i w:val="0"/>
          <w:sz w:val="22"/>
        </w:rPr>
        <w:t>Significance of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rankings capture not just academic and research excellence, but also an institution's social responsibility.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higher education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Build a geographically diverse student body (RD).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 gender balance (WD).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equitable opportunities to marginalized groups (ESCS).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Develop inclusive infrastructure for differently-abled students (PCS).</w:t>
      </w:r>
    </w:p>
    <w:p>
      <w:pPr>
        <w:keepNext/>
        <w:spacing w:before="200" w:after="100"/>
      </w:pPr>
      <w:r>
        <w:rPr>
          <w:rFonts w:ascii="Cambria" w:hAnsi="Cambria" w:eastAsia="Cambria"/>
          <w:b/>
          <w:i w:val="0"/>
          <w:color w:val="1F3A5F"/>
          <w:sz w:val="25"/>
        </w:rPr>
        <w:t>A. Percentage of Students from Other States / Countries (Regional Diversity – RD)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30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RD = 25 × (fraction of students from other states) + 5 × (fraction of students from other countries)</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Fraction of Students from Other States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total enrolled students whose domicile / qualifying examination is from a state other than where the institution is located.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at 25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Fraction of Students from Other Countries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international students enrolled in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at 5 marks.</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to be provided in the prescribed format, including: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student enrollment (UG, PG, Ph.D.).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students from other Indian states.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students from foreign countries.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may be cross-verified with: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Admission records, passport/nationality data (for international students), and enrollment registers.</w:t>
      </w:r>
    </w:p>
    <w:p>
      <w:pPr>
        <w:spacing w:after="40" w:line="276" w:lineRule="auto"/>
      </w:pPr>
      <w:r>
        <w:rPr>
          <w:rFonts w:ascii="Cambria" w:hAnsi="Cambria" w:eastAsia="Cambria"/>
          <w:b/>
          <w:i w:val="0"/>
          <w:sz w:val="22"/>
        </w:rPr>
        <w:t>3. Interpretation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higher geographic diversity get higher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30% of students are from outside the home state and 10% are foreign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RD = 25 × 0.30 + 5 × 0.10 = 7.5 + 0.5 = 8.0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Full marks require a strong mix of national and international students.</w:t>
      </w:r>
    </w:p>
    <w:p>
      <w:pPr>
        <w:spacing w:after="40" w:line="276" w:lineRule="auto"/>
      </w:pPr>
      <w:r>
        <w:rPr>
          <w:rFonts w:ascii="Cambria" w:hAnsi="Cambria" w:eastAsia="Cambria"/>
          <w:b/>
          <w:i w:val="0"/>
          <w:sz w:val="22"/>
        </w:rPr>
        <w:t>4. Significance in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RD contributes 30% of the OI score, i.e., 3% of the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Attract students beyond their immediate region.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Build a pan-India and global reputation.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Create a culturally diverse learning environment.</w:t>
      </w:r>
    </w:p>
    <w:p>
      <w:pPr>
        <w:keepNext/>
        <w:spacing w:before="200" w:after="100"/>
      </w:pPr>
      <w:r>
        <w:rPr>
          <w:rFonts w:ascii="Cambria" w:hAnsi="Cambria" w:eastAsia="Cambria"/>
          <w:b/>
          <w:i w:val="0"/>
          <w:color w:val="1F3A5F"/>
          <w:sz w:val="25"/>
        </w:rPr>
        <w:t>B. Percentage of Women (Women Diversity – WD)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30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WD = 15 × (NWS/50) + 15 × (NWF/20)</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NWS (Women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female students enrolled in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15 marks awarded when 50% enrollment is female.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NWS &lt; 50%, score is proportional.</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NWF (Women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female faculty members, including women in senior administrative roles (e.g., HoDs, Deans, Directors).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15 marks awarded when 20% or more faculty are women.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NWF &lt; 20%, score is proportional.</w:t>
      </w:r>
    </w:p>
    <w:p>
      <w:pPr>
        <w:spacing w:after="40" w:line="276" w:lineRule="auto"/>
      </w:pPr>
      <w:r>
        <w:rPr>
          <w:rFonts w:ascii="Cambria" w:hAnsi="Cambria" w:eastAsia="Cambria"/>
          <w:b/>
          <w:i w:val="0"/>
          <w:sz w:val="22"/>
        </w:rPr>
        <w:t>2. Expectations &amp; Benchmarks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50% women students → gender balance in the student body.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20% women faculty → adequate gender representation among academic and leadership staff.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reaching these thresholds get maximum score.</w:t>
      </w:r>
    </w:p>
    <w:p>
      <w:pPr>
        <w:spacing w:after="40" w:line="276" w:lineRule="auto"/>
      </w:pPr>
      <w:r>
        <w:rPr>
          <w:rFonts w:ascii="Cambria" w:hAnsi="Cambria" w:eastAsia="Cambria"/>
          <w:b/>
          <w:i w:val="0"/>
          <w:sz w:val="22"/>
        </w:rPr>
        <w:t>3.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must be reported in prescribed format, including: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student enrollment (male/female split).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faculty count (male/female split).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women in leadership roles.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via admission records, faculty HR lists, and administrative rosters.</w:t>
      </w:r>
    </w:p>
    <w:p>
      <w:pPr>
        <w:spacing w:after="40" w:line="276" w:lineRule="auto"/>
      </w:pPr>
      <w:r>
        <w:rPr>
          <w:rFonts w:ascii="Cambria" w:hAnsi="Cambria" w:eastAsia="Cambria"/>
          <w:b/>
          <w:i w:val="0"/>
          <w:sz w:val="22"/>
        </w:rPr>
        <w:t>4. Interpretation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gender diversity in both classrooms and faculty positions.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institutions that actively promote women in leadership roles.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 Calculation: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40% students are women (NWS = 40) and 15% faculty are women (NWF = 15):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WD = 15 × (40/50) + 15 × (15/20) = 12 + 11.25 = 23.25</w:t>
      </w:r>
    </w:p>
    <w:p>
      <w:pPr>
        <w:spacing w:after="40" w:line="276" w:lineRule="auto"/>
      </w:pPr>
      <w:r>
        <w:rPr>
          <w:rFonts w:ascii="Cambria" w:hAnsi="Cambria" w:eastAsia="Cambria"/>
          <w:b/>
          <w:i w:val="0"/>
          <w:sz w:val="22"/>
        </w:rPr>
        <w:t>5. Significance in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WD contributes 30 marks out of 100 in OI → 3%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gender equity in higher education, in line with national and global commitments.</w:t>
      </w:r>
    </w:p>
    <w:p>
      <w:pPr>
        <w:keepNext/>
        <w:spacing w:before="200" w:after="100"/>
      </w:pPr>
      <w:r>
        <w:rPr>
          <w:rFonts w:ascii="Cambria" w:hAnsi="Cambria" w:eastAsia="Cambria"/>
          <w:b/>
          <w:i w:val="0"/>
          <w:color w:val="1F3A5F"/>
          <w:sz w:val="25"/>
        </w:rPr>
        <w:t>C. Economically and Socially Challenged Students (ESCS)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after="120" w:line="276" w:lineRule="auto"/>
        <w:ind w:left="737"/>
      </w:pPr>
      <w:r>
        <w:rPr>
          <w:rFonts w:ascii="Cambria" w:hAnsi="Cambria" w:eastAsia="Cambria"/>
          <w:b w:val="0"/>
          <w:i w:val="0"/>
          <w:sz w:val="22"/>
        </w:rPr>
        <w:t>ESCS = 20 × f(Nesc)</w:t>
      </w:r>
    </w:p>
    <w:p>
      <w:pPr>
        <w:spacing w:after="40" w:line="276" w:lineRule="auto"/>
      </w:pPr>
      <w:r>
        <w:rPr>
          <w:rFonts w:ascii="Cambria" w:hAnsi="Cambria" w:eastAsia="Cambria"/>
          <w:b/>
          <w:i w:val="0"/>
          <w:sz w:val="22"/>
        </w:rPr>
        <w:t>1. Formula Components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Nesc (Economically &amp; Socially Challenged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students receiving full tuition fee reimbursement from the institution (or via scholarships routed through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students supported through: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scholarships.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State/Central Government fee reimbursement schemes.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Endowments or private trust scholarships administered by the institution.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f(Nesc):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Normalization function designed by NIRF to map % of beneficiaries into a score out of 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higher percentage of ESCS students score closer to the maximum.</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must be provided in the prescribed format: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number of enrolled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ESCS students receiving full tuition fee reimbursement.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Verified using: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scholarship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State/Central government reimbursement scheme documents.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Audit reports of financial assistance distribution.</w:t>
      </w:r>
    </w:p>
    <w:p>
      <w:pPr>
        <w:spacing w:after="40" w:line="276" w:lineRule="auto"/>
      </w:pPr>
      <w:r>
        <w:rPr>
          <w:rFonts w:ascii="Cambria" w:hAnsi="Cambria" w:eastAsia="Cambria"/>
          <w:b/>
          <w:i w:val="0"/>
          <w:sz w:val="22"/>
        </w:rPr>
        <w:t>3. Interpretation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 ESCS scores reflect institutional commitment to equity and social responsibility.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Admission of students from economically weaker sections.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Robust scholarship and financial aid mechanisms.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15% of students receive full reimbursement →</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ESCS = 20 × f(0.15)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Where f(0.15) is scaled relative to benchmarks defined by NIRF.</w:t>
      </w:r>
    </w:p>
    <w:p>
      <w:pPr>
        <w:spacing w:after="40" w:line="276" w:lineRule="auto"/>
      </w:pPr>
      <w:r>
        <w:rPr>
          <w:rFonts w:ascii="Cambria" w:hAnsi="Cambria" w:eastAsia="Cambria"/>
          <w:b/>
          <w:i w:val="0"/>
          <w:sz w:val="22"/>
        </w:rPr>
        <w:t>4. Significance in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ESCS contributes 20 marks out of 100 in OI → 2%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are not only inclusive in terms of geographic and gender diversity, but also socio-economic inclusivity.</w:t>
      </w:r>
    </w:p>
    <w:p>
      <w:pPr>
        <w:keepNext/>
        <w:spacing w:before="200" w:after="100"/>
      </w:pPr>
      <w:r>
        <w:rPr>
          <w:rFonts w:ascii="Cambria" w:hAnsi="Cambria" w:eastAsia="Cambria"/>
          <w:b/>
          <w:i w:val="0"/>
          <w:color w:val="1F3A5F"/>
          <w:sz w:val="25"/>
        </w:rPr>
        <w:t>D. Facilities for Physically Challenged Students (PCS)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Formula/Scoring Rule: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if the institution provides all prescribed facilities.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Partial marks awarded proportional to the number of facilities available.</w:t>
      </w:r>
    </w:p>
    <w:p>
      <w:pPr>
        <w:spacing w:after="40" w:line="276" w:lineRule="auto"/>
      </w:pPr>
      <w:r>
        <w:rPr>
          <w:rFonts w:ascii="Cambria" w:hAnsi="Cambria" w:eastAsia="Cambria"/>
          <w:b/>
          <w:i w:val="0"/>
          <w:sz w:val="22"/>
        </w:rPr>
        <w:t>1. Prescribed Facilities (Indicative List)</w:t>
      </w:r>
    </w:p>
    <w:p>
      <w:pPr>
        <w:spacing w:after="80" w:line="276" w:lineRule="auto"/>
      </w:pPr>
      <w:r>
        <w:rPr>
          <w:rFonts w:ascii="Cambria" w:hAnsi="Cambria" w:eastAsia="Cambria"/>
          <w:b w:val="0"/>
          <w:i w:val="0"/>
          <w:sz w:val="22"/>
        </w:rPr>
        <w:t>To qualify for full score, an institution must provide comprehensive, accessible infrastructure and support such as: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Infrastructure Accessibility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Ramps and elevators in academic/administrative buildings.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Wheelchair access to classrooms, labs, libraries, hostels.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Assistive Learning Tools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Screen readers, braille materials, audiobooks, magnifiers.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Special computer labs with accessibility software.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Dedicated Support Services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Specially trained staff for assistance.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Sign language interpreters, scribes for exams.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Dedicated grievance redressal/helpdesk for differently-abled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Policy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Reservation in admissions.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Fee concessions/scholarships.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Inclusive learning and assessment policies.</w:t>
      </w:r>
    </w:p>
    <w:p>
      <w:pPr>
        <w:spacing w:after="40" w:line="276" w:lineRule="auto"/>
      </w:pPr>
      <w:r>
        <w:rPr>
          <w:rFonts w:ascii="Cambria" w:hAnsi="Cambria" w:eastAsia="Cambria"/>
          <w:b/>
          <w:i w:val="0"/>
          <w:sz w:val="22"/>
        </w:rPr>
        <w:t>2. Data Source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provide verifiable responses in the prescribed format.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includes: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Infrastructure photographs.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Procurement/maintenance records of assistive tools.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 beneficiary lists.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Basis: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On-site inspection (if required).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 reports and compliance documents.</w:t>
      </w:r>
    </w:p>
    <w:p>
      <w:pPr>
        <w:spacing w:after="40" w:line="276" w:lineRule="auto"/>
      </w:pPr>
      <w:r>
        <w:rPr>
          <w:rFonts w:ascii="Cambria" w:hAnsi="Cambria" w:eastAsia="Cambria"/>
          <w:b/>
          <w:i w:val="0"/>
          <w:sz w:val="22"/>
        </w:rPr>
        <w:t>3. Scoring Approach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20 marks: If all prescribed facilities are in place and verifiable.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Proportional marks: If only partial facilities are available (e.g., ramps but no braille resources).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0 marks: If no significant facilities exist.</w:t>
      </w:r>
    </w:p>
    <w:p>
      <w:pPr>
        <w:spacing w:after="40" w:line="276" w:lineRule="auto"/>
      </w:pPr>
      <w:r>
        <w:rPr>
          <w:rFonts w:ascii="Cambria" w:hAnsi="Cambria" w:eastAsia="Cambria"/>
          <w:b/>
          <w:i w:val="0"/>
          <w:sz w:val="22"/>
        </w:rPr>
        <w:t>4. Significance in OI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PCS contributes 20 marks out of 100 in OI → 2%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adopt inclusive practices and ensure equal opportunities for differently-abled students.</w:t>
      </w:r>
    </w:p>
    <w:p>
      <w:r>
        <w:br w:type="page"/>
      </w:r>
    </w:p>
    <w:p>
      <w:pPr>
        <w:keepNext/>
        <w:spacing w:before="360" w:after="160"/>
      </w:pPr>
      <w:r>
        <w:rPr>
          <w:rFonts w:ascii="Cambria" w:hAnsi="Cambria" w:eastAsia="Cambria"/>
          <w:b/>
          <w:i w:val="0"/>
          <w:color w:val="1F3A5F"/>
          <w:sz w:val="36"/>
        </w:rPr>
        <w:t>33. Perception (PR) – NIRF 2024</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Marks: 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Ranking Weight: 0.10 (10%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Formula:</w:t>
      </w:r>
    </w:p>
    <w:p>
      <w:pPr>
        <w:spacing w:after="120" w:line="276" w:lineRule="auto"/>
        <w:ind w:left="737"/>
      </w:pPr>
      <w:r>
        <w:rPr>
          <w:rFonts w:ascii="Cambria" w:hAnsi="Cambria" w:eastAsia="Cambria"/>
          <w:b w:val="0"/>
          <w:i w:val="0"/>
          <w:sz w:val="22"/>
        </w:rPr>
        <w:t>PR = PR(100)</w:t>
      </w:r>
    </w:p>
    <w:p>
      <w:pPr>
        <w:spacing w:after="40" w:line="276" w:lineRule="auto"/>
      </w:pPr>
      <w:r>
        <w:rPr>
          <w:rFonts w:ascii="Cambria" w:hAnsi="Cambria" w:eastAsia="Cambria"/>
          <w:b/>
          <w:i w:val="0"/>
          <w:sz w:val="22"/>
        </w:rPr>
        <w:t>Component Metric</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737"/>
            <w:shd w:val="clear" w:color="auto" w:fill="1F3A5F"/>
          </w:tcPr>
          <w:p>
            <w:pPr>
              <w:spacing w:after="40" w:line="240" w:lineRule="auto"/>
              <w:jc w:val="center"/>
            </w:pPr>
            <w:r/>
            <w:r>
              <w:rPr>
                <w:rFonts w:ascii="Cambria" w:hAnsi="Cambria" w:eastAsia="Cambria"/>
                <w:b/>
                <w:i w:val="0"/>
                <w:color w:val="FFFFFF"/>
                <w:sz w:val="22"/>
              </w:rPr>
              <w:t>Code</w:t>
            </w:r>
          </w:p>
        </w:tc>
        <w:tc>
          <w:tcPr>
            <w:tcW w:type="dxa" w:w="3572"/>
            <w:shd w:val="clear" w:color="auto" w:fill="1F3A5F"/>
          </w:tcPr>
          <w:p>
            <w:pPr>
              <w:spacing w:after="40" w:line="240" w:lineRule="auto"/>
              <w:jc w:val="center"/>
            </w:pPr>
            <w:r/>
            <w:r>
              <w:rPr>
                <w:rFonts w:ascii="Cambria" w:hAnsi="Cambria" w:eastAsia="Cambria"/>
                <w:b/>
                <w:i w:val="0"/>
                <w:color w:val="FFFFFF"/>
                <w:sz w:val="22"/>
              </w:rPr>
              <w:t>Sub-Parameter</w:t>
            </w:r>
          </w:p>
        </w:tc>
        <w:tc>
          <w:tcPr>
            <w:tcW w:type="dxa" w:w="850"/>
            <w:shd w:val="clear" w:color="auto" w:fill="1F3A5F"/>
          </w:tcPr>
          <w:p>
            <w:pPr>
              <w:spacing w:after="40" w:line="240" w:lineRule="auto"/>
              <w:jc w:val="center"/>
            </w:pPr>
            <w:r/>
            <w:r>
              <w:rPr>
                <w:rFonts w:ascii="Cambria" w:hAnsi="Cambria" w:eastAsia="Cambria"/>
                <w:b/>
                <w:i w:val="0"/>
                <w:color w:val="FFFFFF"/>
                <w:sz w:val="22"/>
              </w:rPr>
              <w:t>Marks</w:t>
            </w:r>
          </w:p>
        </w:tc>
        <w:tc>
          <w:tcPr>
            <w:tcW w:type="dxa" w:w="4252"/>
            <w:shd w:val="clear" w:color="auto" w:fill="1F3A5F"/>
          </w:tcPr>
          <w:p>
            <w:pPr>
              <w:spacing w:after="40" w:line="240" w:lineRule="auto"/>
              <w:jc w:val="center"/>
            </w:pPr>
            <w:r/>
            <w:r>
              <w:rPr>
                <w:rFonts w:ascii="Cambria" w:hAnsi="Cambria" w:eastAsia="Cambria"/>
                <w:b/>
                <w:i w:val="0"/>
                <w:color w:val="FFFFFF"/>
                <w:sz w:val="22"/>
              </w:rPr>
              <w:t>Explanation</w:t>
            </w:r>
          </w:p>
        </w:tc>
      </w:tr>
      <w:tr>
        <w:tc>
          <w:tcPr>
            <w:tcW w:type="dxa" w:w="737"/>
          </w:tcPr>
          <w:p>
            <w:pPr>
              <w:spacing w:after="40" w:line="240" w:lineRule="auto"/>
              <w:jc w:val="left"/>
            </w:pPr>
            <w:r/>
            <w:r>
              <w:rPr>
                <w:rFonts w:ascii="Cambria" w:hAnsi="Cambria" w:eastAsia="Cambria"/>
                <w:b w:val="0"/>
                <w:i w:val="0"/>
                <w:sz w:val="22"/>
              </w:rPr>
              <w:t>PR</w:t>
            </w:r>
          </w:p>
        </w:tc>
        <w:tc>
          <w:tcPr>
            <w:tcW w:type="dxa" w:w="3572"/>
          </w:tcPr>
          <w:p>
            <w:pPr>
              <w:spacing w:after="40" w:line="240" w:lineRule="auto"/>
              <w:jc w:val="center"/>
            </w:pPr>
            <w:r/>
            <w:r>
              <w:rPr>
                <w:rFonts w:ascii="Cambria" w:hAnsi="Cambria" w:eastAsia="Cambria"/>
                <w:b w:val="0"/>
                <w:i w:val="0"/>
                <w:sz w:val="22"/>
              </w:rPr>
              <w:t>Peer Perception: Employers &amp; Academic Peers</w:t>
            </w:r>
          </w:p>
        </w:tc>
        <w:tc>
          <w:tcPr>
            <w:tcW w:type="dxa" w:w="850"/>
          </w:tcPr>
          <w:p>
            <w:pPr>
              <w:spacing w:after="40" w:line="240" w:lineRule="auto"/>
              <w:jc w:val="center"/>
            </w:pPr>
            <w:r/>
            <w:r>
              <w:rPr>
                <w:rFonts w:ascii="Cambria" w:hAnsi="Cambria" w:eastAsia="Cambria"/>
                <w:b w:val="0"/>
                <w:i w:val="0"/>
                <w:sz w:val="22"/>
              </w:rPr>
              <w:t>100</w:t>
            </w:r>
          </w:p>
        </w:tc>
        <w:tc>
          <w:tcPr>
            <w:tcW w:type="dxa" w:w="4252"/>
          </w:tcPr>
          <w:p>
            <w:pPr>
              <w:spacing w:after="40" w:line="240" w:lineRule="auto"/>
              <w:jc w:val="center"/>
            </w:pPr>
            <w:r/>
            <w:r>
              <w:rPr>
                <w:rFonts w:ascii="Cambria" w:hAnsi="Cambria" w:eastAsia="Cambria"/>
                <w:b w:val="0"/>
                <w:i w:val="0"/>
                <w:sz w:val="22"/>
              </w:rPr>
              <w:t>Measures how the institution is perceived by external stakeholders, including employers, industry leaders, academic peers, and research collaborators</w:t>
            </w:r>
          </w:p>
        </w:tc>
      </w:tr>
    </w:tbl>
    <w:p>
      <w:pPr>
        <w:spacing w:after="40" w:line="276" w:lineRule="auto"/>
      </w:pPr>
      <w:r>
        <w:rPr>
          <w:rFonts w:ascii="Cambria" w:hAnsi="Cambria" w:eastAsia="Cambria"/>
          <w:b/>
          <w:i w:val="0"/>
          <w:sz w:val="22"/>
        </w:rPr>
        <w:t>1. Sources of Peer Perception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Employers / Industry Leaders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Feedback on graduate employability.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Hiring patterns and reputation in the job market.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Academic Peers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Reputation among universities, research institutions, and faculty networks.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Collaborations, faculty exchanges, and co-authored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Other Stakeholders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Professional bodies, accreditation agencies.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Alumni perceptions in leadership roles.</w:t>
      </w:r>
    </w:p>
    <w:p>
      <w:pPr>
        <w:spacing w:after="40" w:line="276" w:lineRule="auto"/>
      </w:pPr>
      <w:r>
        <w:rPr>
          <w:rFonts w:ascii="Cambria" w:hAnsi="Cambria" w:eastAsia="Cambria"/>
          <w:b/>
          <w:i w:val="0"/>
          <w:sz w:val="22"/>
        </w:rPr>
        <w:t>2. Data Collection Method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Survey-based evaluation: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collects perception scores through structured surveys sent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Employers/Industry representatives.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Academic experts nationally and internationally.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cannot influence or alter responses.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Transparency safeguard: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any institution engages in canvassing or promotional emails during the survey phase, all votes received will be set to zero (as per NIRF guidelines).</w:t>
      </w:r>
    </w:p>
    <w:p>
      <w:pPr>
        <w:spacing w:after="40" w:line="276" w:lineRule="auto"/>
      </w:pPr>
      <w:r>
        <w:rPr>
          <w:rFonts w:ascii="Cambria" w:hAnsi="Cambria" w:eastAsia="Cambria"/>
          <w:b/>
          <w:i w:val="0"/>
          <w:sz w:val="22"/>
        </w:rPr>
        <w:t>3. Special Rule for Universities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 universities, the PR parameter is split: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70% weight → Peer Perception (Employers &amp; Academic Peers)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30% weight → Accreditation status (e.g., NAAC/NBA scores, international accreditations).</w:t>
      </w:r>
    </w:p>
    <w:p>
      <w:pPr>
        <w:spacing w:after="40" w:line="276" w:lineRule="auto"/>
      </w:pPr>
      <w:r>
        <w:rPr>
          <w:rFonts w:ascii="Cambria" w:hAnsi="Cambria" w:eastAsia="Cambria"/>
          <w:b/>
          <w:i w:val="0"/>
          <w:sz w:val="22"/>
        </w:rPr>
        <w:t>4. Significance in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contributes 100 marks = 10%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Build strong employer networks.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Foster academic collaborations.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 quality accreditations.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 alumni relations for visibility.</w:t>
      </w:r>
    </w:p>
    <w:p>
      <w:pPr>
        <w:keepNext/>
        <w:spacing w:before="200" w:after="100"/>
      </w:pPr>
      <w:r>
        <w:rPr>
          <w:rFonts w:ascii="Cambria" w:hAnsi="Cambria" w:eastAsia="Cambria"/>
          <w:b/>
          <w:i w:val="0"/>
          <w:color w:val="1F3A5F"/>
          <w:sz w:val="25"/>
        </w:rPr>
        <w:t>A. Peer Perception: Employers &amp; Academic Peers (PR)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Maximum Marks: 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Scoring Basis: Entirely based on survey feedback collected from external stakeholders.</w:t>
      </w:r>
    </w:p>
    <w:p>
      <w:pPr>
        <w:spacing w:after="40" w:line="276" w:lineRule="auto"/>
      </w:pPr>
      <w:r>
        <w:rPr>
          <w:rFonts w:ascii="Cambria" w:hAnsi="Cambria" w:eastAsia="Cambria"/>
          <w:b/>
          <w:i w:val="0"/>
          <w:sz w:val="22"/>
        </w:rPr>
        <w:t>1. Who Provides Feedback?</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Employers &amp; Industry Professionals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CEOs, HR heads, recruiters, and hiring managers from reputed organizations.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Represent a wide range of sectors (IT, healthcare, manufacturing, finance, etc.).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Academic Peers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Professors, deans, research leaders from national and international universities.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Experts familiar with academic collaborations, student quality, and faculty achievements.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Other Stakeholders (occasionally included):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Professional bodies and accreditation agencies.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Alumni in leadership roles.</w:t>
      </w:r>
    </w:p>
    <w:p>
      <w:pPr>
        <w:spacing w:after="40" w:line="276" w:lineRule="auto"/>
      </w:pPr>
      <w:r>
        <w:rPr>
          <w:rFonts w:ascii="Cambria" w:hAnsi="Cambria" w:eastAsia="Cambria"/>
          <w:b/>
          <w:i w:val="0"/>
          <w:sz w:val="22"/>
        </w:rPr>
        <w:t>2. Survey Process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Survey Coverage: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Conducted over a large and diverse sample of respondents.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representation from different regions, sectors, and disciplines.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Survey Design: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Respondents asked to indicate their preference and reputation score for graduates of different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Uses structured questionnaires with ranking/score options.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Survey Integrity: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not allowed to canvass or influence respondents.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canvassing emails are detected, all votes for that institution are nullified.</w:t>
      </w:r>
    </w:p>
    <w:p>
      <w:pPr>
        <w:spacing w:after="40" w:line="276" w:lineRule="auto"/>
      </w:pPr>
      <w:r>
        <w:rPr>
          <w:rFonts w:ascii="Cambria" w:hAnsi="Cambria" w:eastAsia="Cambria"/>
          <w:b/>
          <w:i w:val="0"/>
          <w:sz w:val="22"/>
        </w:rPr>
        <w:t>3. List Preparation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Comprehensive respondent list is curated by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Covers employers, professionals, academics across India and abroad.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Lists are updated periodically to maintain fairness and prevent bias.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Dynamic Update: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newer/emerging institutions are represented.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surveyors represent current industry and academic landscapes.</w:t>
      </w:r>
    </w:p>
    <w:p>
      <w:pPr>
        <w:spacing w:after="40" w:line="276" w:lineRule="auto"/>
      </w:pPr>
      <w:r>
        <w:rPr>
          <w:rFonts w:ascii="Cambria" w:hAnsi="Cambria" w:eastAsia="Cambria"/>
          <w:b/>
          <w:i w:val="0"/>
          <w:sz w:val="22"/>
        </w:rPr>
        <w:t>4. Significance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contributes 100 marks (10% of overall NIRF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strong: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Industry reputation (high employability, skill readiness).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Academic reputation (research collaborations, peer recognition).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Tend to score high in this parameter.</w:t>
      </w:r>
    </w:p>
    <w:p>
      <w:r>
        <w:br w:type="page"/>
      </w:r>
    </w:p>
    <w:p>
      <w:pPr>
        <w:keepNext/>
        <w:spacing w:before="360" w:after="160"/>
      </w:pPr>
      <w:r>
        <w:rPr>
          <w:rFonts w:ascii="Cambria" w:hAnsi="Cambria" w:eastAsia="Cambria"/>
          <w:b/>
          <w:i w:val="0"/>
          <w:color w:val="1F3A5F"/>
          <w:sz w:val="36"/>
        </w:rPr>
        <w:t>34. NIRF 2024 Ranking Framework for the Engineering Discipline</w:t>
      </w:r>
    </w:p>
    <w:p>
      <w:pPr>
        <w:keepNext/>
        <w:spacing w:before="280" w:after="120"/>
      </w:pPr>
      <w:r>
        <w:rPr>
          <w:rFonts w:ascii="Cambria" w:hAnsi="Cambria" w:eastAsia="Cambria"/>
          <w:b/>
          <w:i w:val="0"/>
          <w:color w:val="1F3A5F"/>
          <w:sz w:val="30"/>
        </w:rPr>
        <w:t>1. Teaching, Learning &amp; Resources (TLR) – 100 Marks (Weight: 0.30)</w:t>
      </w:r>
    </w:p>
    <w:p>
      <w:pPr>
        <w:spacing w:after="80" w:line="276" w:lineRule="auto"/>
      </w:pPr>
      <w:r>
        <w:rPr>
          <w:rFonts w:ascii="Cambria" w:hAnsi="Cambria" w:eastAsia="Cambria"/>
          <w:b w:val="0"/>
          <w:i w:val="0"/>
          <w:sz w:val="22"/>
        </w:rPr>
        <w:t>Measures quality of teaching infrastructure, faculty strength, and resource utilization.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including Doctoral Students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with strong student enrollment, balanced UG/PG/PhD ratio.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doctoral research presence.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Faculty–Student Ratio (FSR)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adequacy of faculty strength relative to student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Permanent faculty emphasized. Best ratio = 1:15.</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with PhD &amp; Experience (FQE)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faculty quality via PhD qualification and teaching/research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Balanced experience distribution (junior/mid/senior) gets maximum credit.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Utilisation (FRU)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per-student capital and operational expenditure over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sustainable spending on labs, libraries, ICT, salaries, and research.</w:t>
      </w:r>
    </w:p>
    <w:p>
      <w:pPr>
        <w:keepNext/>
        <w:spacing w:before="280" w:after="120"/>
      </w:pPr>
      <w:r>
        <w:rPr>
          <w:rFonts w:ascii="Cambria" w:hAnsi="Cambria" w:eastAsia="Cambria"/>
          <w:b/>
          <w:i w:val="0"/>
          <w:color w:val="1F3A5F"/>
          <w:sz w:val="30"/>
        </w:rPr>
        <w:t>2. Research &amp; Professional Practice (RP) – 100 Marks (Weight: 0.30)</w:t>
      </w:r>
    </w:p>
    <w:p>
      <w:pPr>
        <w:spacing w:after="80" w:line="276" w:lineRule="auto"/>
      </w:pPr>
      <w:r>
        <w:rPr>
          <w:rFonts w:ascii="Cambria" w:hAnsi="Cambria" w:eastAsia="Cambria"/>
          <w:b w:val="0"/>
          <w:i w:val="0"/>
          <w:sz w:val="22"/>
        </w:rPr>
        <w:t>Assesses research productivity, quality, patents, and industry engagement.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35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research publications from Scopus, Web of Science,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Normalized by faculty strength (per-faculty productivity).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Citations, top 25% papers, h-index, FWCI, journal quality indices.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global impact and recognition.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Patents Published &amp; Granted (IPR) –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applied innovation and technology transfer.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Granted patents weighted higher than published.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Projects &amp; Professional Practice (FPPP)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consultancy revenue, sponsored research, and executive training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industry linkage and applied problem-solving.</w:t>
      </w:r>
    </w:p>
    <w:p>
      <w:pPr>
        <w:keepNext/>
        <w:spacing w:before="280" w:after="120"/>
      </w:pPr>
      <w:r>
        <w:rPr>
          <w:rFonts w:ascii="Cambria" w:hAnsi="Cambria" w:eastAsia="Cambria"/>
          <w:b/>
          <w:i w:val="0"/>
          <w:color w:val="1F3A5F"/>
          <w:sz w:val="30"/>
        </w:rPr>
        <w:t>3. Graduation Outcomes (GO) – 100 Marks (Weight: 0.20)</w:t>
      </w:r>
    </w:p>
    <w:p>
      <w:pPr>
        <w:spacing w:after="80" w:line="276" w:lineRule="auto"/>
      </w:pPr>
      <w:r>
        <w:rPr>
          <w:rFonts w:ascii="Cambria" w:hAnsi="Cambria" w:eastAsia="Cambria"/>
          <w:b w:val="0"/>
          <w:i w:val="0"/>
          <w:sz w:val="22"/>
        </w:rPr>
        <w:t>Captures student success in examinations, placements, higher studies, and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Placement &amp; Higher Studies (GPH)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students placed or admitted to higher studies within a year of graduation.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employability and career progression.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University Examinations (GUE) –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Proportion of students graduating on time (benchmark 80%).</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Median Salary (GMS)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annual salary of placed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Normalized across sectors for fairness.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Ph.D. Students Graduated (GPHD)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Ph.D. completions over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research output and doctoral supervision.</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Assesses diversity, equity, and accessibility.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Proportion of students from other states/countries.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International presence adds extra credit.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Women students (50% benchmark).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Women faculty &amp; leadership roles (20% benchmark).</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Economically &amp; Socially Challenged Students (ESCS)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receiving full fee reimbursements/scholarships.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Facilities for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Infrastructure (ramps, elevators, ICT tools) + inclusive services.</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Measures reputation capital via surveys.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Peer Perception (PR)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 feedback from employers, industry leaders, academic peers, and accreditation bodies (for universities, accreditation counts for 30%).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external validation of graduate quality and institutional reputation.</w:t>
      </w:r>
    </w:p>
    <w:p>
      <w:pPr>
        <w:spacing w:after="40" w:line="276" w:lineRule="auto"/>
      </w:pPr>
      <w:r>
        <w:rPr>
          <w:rFonts w:ascii="Cambria" w:hAnsi="Cambria" w:eastAsia="Cambria"/>
          <w:b/>
          <w:i w:val="0"/>
          <w:sz w:val="22"/>
        </w:rPr>
        <w:t>Overall Impact in NIRF 2024 (Engineering)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(30%) + RP (30%) = Core Academic &amp; Research Strength.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(20%) = Student Success &amp; Employability.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 Diversity &amp; Inclusion.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(10%) = Reputation &amp; Perception.</w:t>
      </w:r>
    </w:p>
    <w:p>
      <w:pPr>
        <w:keepNext/>
        <w:spacing w:before="200" w:after="100"/>
      </w:pPr>
      <w:r>
        <w:rPr>
          <w:rFonts w:ascii="Cambria" w:hAnsi="Cambria" w:eastAsia="Cambria"/>
          <w:b/>
          <w:i w:val="0"/>
          <w:color w:val="1F3A5F"/>
          <w:sz w:val="26"/>
        </w:rPr>
        <w:t>NIRF 2024 – Overall vs Engineering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778"/>
            <w:shd w:val="clear" w:color="auto" w:fill="1F3A5F"/>
          </w:tcPr>
          <w:p>
            <w:pPr>
              <w:spacing w:after="40" w:line="240" w:lineRule="auto"/>
              <w:jc w:val="center"/>
            </w:pPr>
            <w:r/>
            <w:r>
              <w:rPr>
                <w:rFonts w:ascii="Cambria" w:hAnsi="Cambria" w:eastAsia="Cambria"/>
                <w:b/>
                <w:i w:val="0"/>
                <w:color w:val="FFFFFF"/>
                <w:sz w:val="22"/>
              </w:rPr>
              <w:t>Parameter</w:t>
            </w:r>
          </w:p>
        </w:tc>
        <w:tc>
          <w:tcPr>
            <w:tcW w:type="dxa" w:w="3316"/>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316"/>
            <w:shd w:val="clear" w:color="auto" w:fill="1F3A5F"/>
          </w:tcPr>
          <w:p>
            <w:pPr>
              <w:spacing w:after="40" w:line="240" w:lineRule="auto"/>
              <w:jc w:val="center"/>
            </w:pPr>
            <w:r/>
            <w:r>
              <w:rPr>
                <w:rFonts w:ascii="Cambria" w:hAnsi="Cambria" w:eastAsia="Cambria"/>
                <w:b/>
                <w:i w:val="0"/>
                <w:color w:val="FFFFFF"/>
                <w:sz w:val="22"/>
              </w:rPr>
              <w:t>Engineering Framework</w:t>
            </w:r>
          </w:p>
        </w:tc>
      </w:tr>
      <w:tr>
        <w:tc>
          <w:tcPr>
            <w:tcW w:type="dxa" w:w="2778"/>
          </w:tcPr>
          <w:p>
            <w:pPr>
              <w:spacing w:after="40" w:line="240" w:lineRule="auto"/>
              <w:jc w:val="left"/>
            </w:pPr>
            <w:r/>
            <w:r>
              <w:rPr>
                <w:rFonts w:ascii="Cambria" w:hAnsi="Cambria" w:eastAsia="Cambria"/>
                <w:b w:val="0"/>
                <w:i w:val="0"/>
                <w:sz w:val="22"/>
              </w:rPr>
              <w:t>Teaching, Learning &amp; Resources (TLR)</w:t>
              <w:br/>
              <w:t>Weight = 0.30</w:t>
            </w:r>
          </w:p>
        </w:tc>
        <w:tc>
          <w:tcPr>
            <w:tcW w:type="dxa" w:w="3316"/>
          </w:tcPr>
          <w:p>
            <w:pPr>
              <w:spacing w:after="40" w:line="240" w:lineRule="auto"/>
              <w:jc w:val="center"/>
            </w:pPr>
            <w:r/>
            <w:r>
              <w:rPr>
                <w:rFonts w:ascii="Cambria" w:hAnsi="Cambria" w:eastAsia="Cambria"/>
                <w:b w:val="0"/>
                <w:i w:val="0"/>
                <w:sz w:val="22"/>
              </w:rPr>
              <w:t>100 marks</w:t>
              <w:br/>
              <w:t>SS (20)</w:t>
              <w:br/>
              <w:t>FSR (25)</w:t>
              <w:br/>
              <w:t>FQE (20)</w:t>
              <w:br/>
              <w:t>FRU (20)</w:t>
              <w:br/>
              <w:t>OE (10)</w:t>
              <w:br/>
              <w:t>MIR (5)</w:t>
            </w:r>
          </w:p>
        </w:tc>
        <w:tc>
          <w:tcPr>
            <w:tcW w:type="dxa" w:w="3316"/>
          </w:tcPr>
          <w:p>
            <w:pPr>
              <w:spacing w:after="40" w:line="240" w:lineRule="auto"/>
              <w:jc w:val="center"/>
            </w:pPr>
            <w:r/>
            <w:r>
              <w:rPr>
                <w:rFonts w:ascii="Cambria" w:hAnsi="Cambria" w:eastAsia="Cambria"/>
                <w:b w:val="0"/>
                <w:i w:val="0"/>
                <w:sz w:val="22"/>
              </w:rPr>
              <w:t>100 marks</w:t>
              <w:br/>
              <w:t>SS (20)</w:t>
              <w:br/>
              <w:t>FSR (30)</w:t>
              <w:br/>
              <w:t>FQE (20)</w:t>
              <w:br/>
              <w:t>FRU (30)</w:t>
            </w:r>
          </w:p>
        </w:tc>
      </w:tr>
      <w:tr>
        <w:tc>
          <w:tcPr>
            <w:tcW w:type="dxa" w:w="2778"/>
            <w:shd w:val="clear" w:color="auto" w:fill="DCE6F1"/>
          </w:tcPr>
          <w:p>
            <w:pPr>
              <w:spacing w:after="40" w:line="240" w:lineRule="auto"/>
              <w:jc w:val="left"/>
            </w:pPr>
            <w:r/>
            <w:r>
              <w:rPr>
                <w:rFonts w:ascii="Cambria" w:hAnsi="Cambria" w:eastAsia="Cambria"/>
                <w:b w:val="0"/>
                <w:i w:val="0"/>
                <w:sz w:val="22"/>
              </w:rPr>
              <w:t>Research &amp; Professional Practice (RP)</w:t>
              <w:br/>
              <w:t>Weight = 0.30</w:t>
            </w:r>
          </w:p>
        </w:tc>
        <w:tc>
          <w:tcPr>
            <w:tcW w:type="dxa" w:w="3316"/>
            <w:shd w:val="clear" w:color="auto" w:fill="DCE6F1"/>
          </w:tcPr>
          <w:p>
            <w:pPr>
              <w:spacing w:after="40" w:line="240" w:lineRule="auto"/>
              <w:jc w:val="center"/>
            </w:pPr>
            <w:r/>
            <w:r>
              <w:rPr>
                <w:rFonts w:ascii="Cambria" w:hAnsi="Cambria" w:eastAsia="Cambria"/>
                <w:b w:val="0"/>
                <w:i w:val="0"/>
                <w:sz w:val="22"/>
              </w:rPr>
              <w:t>100 marks</w:t>
              <w:br/>
              <w:t>PU (30)</w:t>
              <w:br/>
              <w:t>QP (30)</w:t>
              <w:br/>
              <w:t>IPR (15)</w:t>
              <w:br/>
              <w:t>FPPP (15)</w:t>
              <w:br/>
              <w:t>PSDGs (10)</w:t>
            </w:r>
          </w:p>
        </w:tc>
        <w:tc>
          <w:tcPr>
            <w:tcW w:type="dxa" w:w="3316"/>
            <w:shd w:val="clear" w:color="auto" w:fill="DCE6F1"/>
          </w:tcPr>
          <w:p>
            <w:pPr>
              <w:spacing w:after="40" w:line="240" w:lineRule="auto"/>
              <w:jc w:val="center"/>
            </w:pPr>
            <w:r/>
            <w:r>
              <w:rPr>
                <w:rFonts w:ascii="Cambria" w:hAnsi="Cambria" w:eastAsia="Cambria"/>
                <w:b w:val="0"/>
                <w:i w:val="0"/>
                <w:sz w:val="22"/>
              </w:rPr>
              <w:t>100 marks</w:t>
              <w:br/>
              <w:t>PU (35)</w:t>
              <w:br/>
              <w:t>QP (40)</w:t>
              <w:br/>
              <w:t>IPR (15)</w:t>
              <w:br/>
              <w:t>FPPP (10)</w:t>
            </w:r>
          </w:p>
        </w:tc>
      </w:tr>
      <w:tr>
        <w:tc>
          <w:tcPr>
            <w:tcW w:type="dxa" w:w="2778"/>
          </w:tcPr>
          <w:p>
            <w:pPr>
              <w:spacing w:after="40" w:line="240" w:lineRule="auto"/>
              <w:jc w:val="left"/>
            </w:pPr>
            <w:r/>
            <w:r>
              <w:rPr>
                <w:rFonts w:ascii="Cambria" w:hAnsi="Cambria" w:eastAsia="Cambria"/>
                <w:b w:val="0"/>
                <w:i w:val="0"/>
                <w:sz w:val="22"/>
              </w:rPr>
              <w:t>Graduation Outcomes (GO)</w:t>
              <w:br/>
              <w:t>Weight = 0.20</w:t>
            </w:r>
          </w:p>
        </w:tc>
        <w:tc>
          <w:tcPr>
            <w:tcW w:type="dxa" w:w="3316"/>
          </w:tcPr>
          <w:p>
            <w:pPr>
              <w:spacing w:after="40" w:line="240" w:lineRule="auto"/>
              <w:jc w:val="center"/>
            </w:pPr>
            <w:r/>
            <w:r>
              <w:rPr>
                <w:rFonts w:ascii="Cambria" w:hAnsi="Cambria" w:eastAsia="Cambria"/>
                <w:b w:val="0"/>
                <w:i w:val="0"/>
                <w:sz w:val="22"/>
              </w:rPr>
              <w:t>100 marks</w:t>
              <w:br/>
              <w:t>GUE (60)</w:t>
              <w:br/>
              <w:t>GPHD (40)</w:t>
            </w:r>
          </w:p>
        </w:tc>
        <w:tc>
          <w:tcPr>
            <w:tcW w:type="dxa" w:w="3316"/>
          </w:tcPr>
          <w:p>
            <w:pPr>
              <w:spacing w:after="40" w:line="240" w:lineRule="auto"/>
              <w:jc w:val="center"/>
            </w:pPr>
            <w:r/>
            <w:r>
              <w:rPr>
                <w:rFonts w:ascii="Cambria" w:hAnsi="Cambria" w:eastAsia="Cambria"/>
                <w:b w:val="0"/>
                <w:i w:val="0"/>
                <w:sz w:val="22"/>
              </w:rPr>
              <w:t>100 marks</w:t>
              <w:br/>
              <w:t>GPH (40)</w:t>
              <w:br/>
              <w:t>GUE (15)</w:t>
              <w:br/>
              <w:t>GMS (25)</w:t>
              <w:br/>
              <w:t>GPHD (20)</w:t>
            </w:r>
          </w:p>
        </w:tc>
      </w:tr>
      <w:tr>
        <w:tc>
          <w:tcPr>
            <w:tcW w:type="dxa" w:w="2778"/>
            <w:shd w:val="clear" w:color="auto" w:fill="DCE6F1"/>
          </w:tcPr>
          <w:p>
            <w:pPr>
              <w:spacing w:after="40" w:line="240" w:lineRule="auto"/>
              <w:jc w:val="left"/>
            </w:pPr>
            <w:r/>
            <w:r>
              <w:rPr>
                <w:rFonts w:ascii="Cambria" w:hAnsi="Cambria" w:eastAsia="Cambria"/>
                <w:b w:val="0"/>
                <w:i w:val="0"/>
                <w:sz w:val="22"/>
              </w:rPr>
              <w:t>Outreach &amp; Inclusivity (OI)</w:t>
              <w:br/>
              <w:t>Weight = 0.10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r>
      <w:tr>
        <w:tc>
          <w:tcPr>
            <w:tcW w:type="dxa" w:w="2778"/>
          </w:tcPr>
          <w:p>
            <w:pPr>
              <w:spacing w:after="40" w:line="240" w:lineRule="auto"/>
              <w:jc w:val="left"/>
            </w:pPr>
            <w:r/>
            <w:r>
              <w:rPr>
                <w:rFonts w:ascii="Cambria" w:hAnsi="Cambria" w:eastAsia="Cambria"/>
                <w:b w:val="0"/>
                <w:i w:val="0"/>
                <w:sz w:val="22"/>
              </w:rPr>
              <w:t>Perception (PR)</w:t>
              <w:br/>
              <w:t>Weight = 0.10</w:t>
            </w:r>
          </w:p>
        </w:tc>
        <w:tc>
          <w:tcPr>
            <w:tcW w:type="dxa" w:w="3316"/>
          </w:tcPr>
          <w:p>
            <w:pPr>
              <w:spacing w:after="40" w:line="240" w:lineRule="auto"/>
              <w:jc w:val="center"/>
            </w:pPr>
            <w:r/>
            <w:r>
              <w:rPr>
                <w:rFonts w:ascii="Cambria" w:hAnsi="Cambria" w:eastAsia="Cambria"/>
                <w:b w:val="0"/>
                <w:i w:val="0"/>
                <w:sz w:val="22"/>
              </w:rPr>
              <w:t>100 marks</w:t>
              <w:br/>
              <w:t>PR (100)</w:t>
            </w:r>
          </w:p>
        </w:tc>
        <w:tc>
          <w:tcPr>
            <w:tcW w:type="dxa" w:w="3316"/>
          </w:tcPr>
          <w:p>
            <w:pPr>
              <w:spacing w:after="40" w:line="240" w:lineRule="auto"/>
              <w:jc w:val="center"/>
            </w:pPr>
            <w:r/>
            <w:r>
              <w:rPr>
                <w:rFonts w:ascii="Cambria" w:hAnsi="Cambria" w:eastAsia="Cambria"/>
                <w:b w:val="0"/>
                <w:i w:val="0"/>
                <w:sz w:val="22"/>
              </w:rPr>
              <w:t>100 marks</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Engineering assigns more weight to FSR (30 vs 25) and FRU (30 vs 20), while excluding OE (10) and MIR (5) sub-metrics.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Engineering gives higher weight to PU (35 vs 30) and QP (40 vs 30), but removes PSDGs (10).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Engineering framework expands into placements (GPH: 40) and median salary (GMS: 25) in addition to GUE and GPHD, unlike Overall which only includes GUE &amp; GPHD.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 Both remain the same across Overall and Engineering.</w:t>
      </w:r>
    </w:p>
    <w:p>
      <w:r>
        <w:br w:type="page"/>
      </w:r>
    </w:p>
    <w:p>
      <w:pPr>
        <w:keepNext/>
        <w:spacing w:before="360" w:after="160"/>
      </w:pPr>
      <w:r>
        <w:rPr>
          <w:rFonts w:ascii="Cambria" w:hAnsi="Cambria" w:eastAsia="Cambria"/>
          <w:b/>
          <w:i w:val="0"/>
          <w:color w:val="1F3A5F"/>
          <w:sz w:val="36"/>
        </w:rPr>
        <w:t>35. Placement &amp; Higher Studies (GPH)</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GPH = 40 × f(OF)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 (Outcome Fraction) = (Placed % + Higher Studies %) of students graduating in stipulated time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used by NIRF to adjust across disciplines and institution sizes.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 = 100% (cannot exceed full score).</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Employability (Placement %)</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how many graduates secure jobs through on-campus or verified off-campus placements.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industry readiness and institution's placement ecosystem.</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Academic Progression (Higher Studies %)</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students who pursue PG, PhD, or overseas studies immediately after graduation.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students clearing national/international competitive exams with admission evidence.</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Entrepreneurship / Govt. Exams (sometimes included under Higher Studies)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starting registered ventures, joining family businesses with proof, or joining civil services.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Eligible Graduates = 1000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Placed = 600 → 60%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Higher Studies = 200 →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Outcome Fraction (OF) = 60% + 20% = 80%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NIRF's normalization = linear (illustrative), then: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GPH = 40 × 0.80 = 32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placement records, offer letters, salary packages.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studies admission proofs, fee receipts, or bonafide letters.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Opt-out records (students not participating in placement drives).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Placement cell reports, employer HR letters, admission letters, official portals.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Indicates how well the institution prepares students for jobs and advanced education.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Connects academics with real-world outcomes.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balance industry employability with academic progression.</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Placement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placement statistics for the past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required:</w:t>
      </w:r>
    </w:p>
    <w:p>
      <w:pPr>
        <w:spacing w:after="40"/>
        <w:ind w:left="1644" w:hanging="357"/>
      </w:pPr>
      <w:r>
        <w:rPr>
          <w:rFonts w:ascii="Cambria" w:hAnsi="Cambria" w:eastAsia="Cambria"/>
          <w:b w:val="0"/>
          <w:i w:val="0"/>
          <w:sz w:val="22"/>
        </w:rPr>
        <w:t>▪</w:t>
        <w:tab/>
      </w:r>
      <w:r>
        <w:rPr>
          <w:rFonts w:ascii="Cambria" w:hAnsi="Cambria" w:eastAsia="Cambria"/>
          <w:b w:val="0"/>
          <w:i w:val="0"/>
          <w:sz w:val="22"/>
        </w:rPr>
        <w:t>Number of students eligible for placement.</w:t>
      </w:r>
    </w:p>
    <w:p>
      <w:pPr>
        <w:spacing w:after="40"/>
        <w:ind w:left="1644" w:hanging="357"/>
      </w:pPr>
      <w:r>
        <w:rPr>
          <w:rFonts w:ascii="Cambria" w:hAnsi="Cambria" w:eastAsia="Cambria"/>
          <w:b w:val="0"/>
          <w:i w:val="0"/>
          <w:sz w:val="22"/>
        </w:rPr>
        <w:t>▪</w:t>
        <w:tab/>
      </w:r>
      <w:r>
        <w:rPr>
          <w:rFonts w:ascii="Cambria" w:hAnsi="Cambria" w:eastAsia="Cambria"/>
          <w:b w:val="0"/>
          <w:i w:val="0"/>
          <w:sz w:val="22"/>
        </w:rPr>
        <w:t>Number of students placed.</w:t>
      </w:r>
    </w:p>
    <w:p>
      <w:pPr>
        <w:spacing w:after="40"/>
        <w:ind w:left="1644" w:hanging="357"/>
      </w:pPr>
      <w:r>
        <w:rPr>
          <w:rFonts w:ascii="Cambria" w:hAnsi="Cambria" w:eastAsia="Cambria"/>
          <w:b w:val="0"/>
          <w:i w:val="0"/>
          <w:sz w:val="22"/>
        </w:rPr>
        <w:t>▪</w:t>
        <w:tab/>
      </w:r>
      <w:r>
        <w:rPr>
          <w:rFonts w:ascii="Cambria" w:hAnsi="Cambria" w:eastAsia="Cambria"/>
          <w:b w:val="0"/>
          <w:i w:val="0"/>
          <w:sz w:val="22"/>
        </w:rPr>
        <w:t>Offer letters (company-wise, student-wise).</w:t>
      </w:r>
    </w:p>
    <w:p>
      <w:pPr>
        <w:spacing w:after="40"/>
        <w:ind w:left="1644" w:hanging="357"/>
      </w:pPr>
      <w:r>
        <w:rPr>
          <w:rFonts w:ascii="Cambria" w:hAnsi="Cambria" w:eastAsia="Cambria"/>
          <w:b w:val="0"/>
          <w:i w:val="0"/>
          <w:sz w:val="22"/>
        </w:rPr>
        <w:t>▪</w:t>
        <w:tab/>
      </w:r>
      <w:r>
        <w:rPr>
          <w:rFonts w:ascii="Cambria" w:hAnsi="Cambria" w:eastAsia="Cambria"/>
          <w:b w:val="0"/>
          <w:i w:val="0"/>
          <w:sz w:val="22"/>
        </w:rPr>
        <w:t>Salary packages (minimum, maximum, median, average).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Higher Studies Admission Proofs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on students who opted for higher education after graduation (UG/PG).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Acceptable proofs:</w:t>
      </w:r>
    </w:p>
    <w:p>
      <w:pPr>
        <w:spacing w:after="40"/>
        <w:ind w:left="1644" w:hanging="357"/>
      </w:pPr>
      <w:r>
        <w:rPr>
          <w:rFonts w:ascii="Cambria" w:hAnsi="Cambria" w:eastAsia="Cambria"/>
          <w:b w:val="0"/>
          <w:i w:val="0"/>
          <w:sz w:val="22"/>
        </w:rPr>
        <w:t>▪</w:t>
        <w:tab/>
      </w:r>
      <w:r>
        <w:rPr>
          <w:rFonts w:ascii="Cambria" w:hAnsi="Cambria" w:eastAsia="Cambria"/>
          <w:b w:val="0"/>
          <w:i w:val="0"/>
          <w:sz w:val="22"/>
        </w:rPr>
        <w:t>Admission/offer letters from universities.</w:t>
      </w:r>
    </w:p>
    <w:p>
      <w:pPr>
        <w:spacing w:after="40"/>
        <w:ind w:left="1644" w:hanging="357"/>
      </w:pPr>
      <w:r>
        <w:rPr>
          <w:rFonts w:ascii="Cambria" w:hAnsi="Cambria" w:eastAsia="Cambria"/>
          <w:b w:val="0"/>
          <w:i w:val="0"/>
          <w:sz w:val="22"/>
        </w:rPr>
        <w:t>▪</w:t>
        <w:tab/>
      </w:r>
      <w:r>
        <w:rPr>
          <w:rFonts w:ascii="Cambria" w:hAnsi="Cambria" w:eastAsia="Cambria"/>
          <w:b w:val="0"/>
          <w:i w:val="0"/>
          <w:sz w:val="22"/>
        </w:rPr>
        <w:t>Fee receipts.</w:t>
      </w:r>
    </w:p>
    <w:p>
      <w:pPr>
        <w:spacing w:after="40"/>
        <w:ind w:left="1644" w:hanging="357"/>
      </w:pPr>
      <w:r>
        <w:rPr>
          <w:rFonts w:ascii="Cambria" w:hAnsi="Cambria" w:eastAsia="Cambria"/>
          <w:b w:val="0"/>
          <w:i w:val="0"/>
          <w:sz w:val="22"/>
        </w:rPr>
        <w:t>▪</w:t>
        <w:tab/>
      </w:r>
      <w:r>
        <w:rPr>
          <w:rFonts w:ascii="Cambria" w:hAnsi="Cambria" w:eastAsia="Cambria"/>
          <w:b w:val="0"/>
          <w:i w:val="0"/>
          <w:sz w:val="22"/>
        </w:rPr>
        <w:t>Bonafide letters from admitting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be student-wise and year-wise.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Opt-out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students who chose not to participate in campus placements.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May include:</w:t>
      </w:r>
    </w:p>
    <w:p>
      <w:pPr>
        <w:spacing w:after="40"/>
        <w:ind w:left="1644" w:hanging="357"/>
      </w:pPr>
      <w:r>
        <w:rPr>
          <w:rFonts w:ascii="Cambria" w:hAnsi="Cambria" w:eastAsia="Cambria"/>
          <w:b w:val="0"/>
          <w:i w:val="0"/>
          <w:sz w:val="22"/>
        </w:rPr>
        <w:t>▪</w:t>
        <w:tab/>
      </w:r>
      <w:r>
        <w:rPr>
          <w:rFonts w:ascii="Cambria" w:hAnsi="Cambria" w:eastAsia="Cambria"/>
          <w:b w:val="0"/>
          <w:i w:val="0"/>
          <w:sz w:val="22"/>
        </w:rPr>
        <w:t>Self-employment/entrepreneurship.</w:t>
      </w:r>
    </w:p>
    <w:p>
      <w:pPr>
        <w:spacing w:after="40"/>
        <w:ind w:left="1644" w:hanging="357"/>
      </w:pPr>
      <w:r>
        <w:rPr>
          <w:rFonts w:ascii="Cambria" w:hAnsi="Cambria" w:eastAsia="Cambria"/>
          <w:b w:val="0"/>
          <w:i w:val="0"/>
          <w:sz w:val="22"/>
        </w:rPr>
        <w:t>▪</w:t>
        <w:tab/>
      </w:r>
      <w:r>
        <w:rPr>
          <w:rFonts w:ascii="Cambria" w:hAnsi="Cambria" w:eastAsia="Cambria"/>
          <w:b w:val="0"/>
          <w:i w:val="0"/>
          <w:sz w:val="22"/>
        </w:rPr>
        <w:t>Family business.</w:t>
      </w:r>
    </w:p>
    <w:p>
      <w:pPr>
        <w:spacing w:after="40"/>
        <w:ind w:left="1644" w:hanging="357"/>
      </w:pPr>
      <w:r>
        <w:rPr>
          <w:rFonts w:ascii="Cambria" w:hAnsi="Cambria" w:eastAsia="Cambria"/>
          <w:b w:val="0"/>
          <w:i w:val="0"/>
          <w:sz w:val="22"/>
        </w:rPr>
        <w:t>▪</w:t>
        <w:tab/>
      </w:r>
      <w:r>
        <w:rPr>
          <w:rFonts w:ascii="Cambria" w:hAnsi="Cambria" w:eastAsia="Cambria"/>
          <w:b w:val="0"/>
          <w:i w:val="0"/>
          <w:sz w:val="22"/>
        </w:rPr>
        <w:t>Government/competitive exam preparation.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avoid inflating “unplaced” numbers.</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Placement Cell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 placement reports generated by Training &amp; Placement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Consolidated data with employer details and packages.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Employer HR Letters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Company HR confirmation letters verifying recruitment numbers and salary packages.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Sometimes cross-checked via official employer portals (TCS, Infosys, etc.).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Admission Letters (Higher Studies)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Admission confirmation letters from universities (domestic &amp; foreign).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validate higher studies claims.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Official Portals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Government/University databases where students are registered.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 National Scholarship Portal, study abroad verification, or alumni tracking systems.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Falls under Graduation Outcomes (GO)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Shows employability of graduates, industry linkages, and academic progression.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provide authentic, verifiable placement &amp; higher studies data.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Prevents inflation of placement numbers or unverifiable salary claims.</w:t>
      </w:r>
    </w:p>
    <w:p>
      <w:r>
        <w:br w:type="page"/>
      </w:r>
    </w:p>
    <w:p>
      <w:pPr>
        <w:keepNext/>
        <w:spacing w:before="360" w:after="160"/>
      </w:pPr>
      <w:r>
        <w:rPr>
          <w:rFonts w:ascii="Cambria" w:hAnsi="Cambria" w:eastAsia="Cambria"/>
          <w:b/>
          <w:i w:val="0"/>
          <w:color w:val="1F3A5F"/>
          <w:sz w:val="36"/>
        </w:rPr>
        <w:t>36. Median Salary (GMS)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GMS = 25 × f(Median Salary / Benchmark Salary)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report the median salary (CTC in INR) of placed students for each graduating batch.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defined by NIRF to standardize across disciplines.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benchmark median salary (discipline/program specific, updated annually by NIRF) is used as the scaling denominator.</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Earning Potential of Graduates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market valuation of skills acquired at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is chosen (instead of average) to avoid distortion from a few very high/low outliers.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Return on Investment for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stakeholders judge whether programs deliver competitive compensation.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Links institutional reputation to graduate employability outcomes.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Discipline-Specific Relevance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Engineering, Management, Medical, Law, etc. have different salary benchmarks.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NIRF's normalization ensures fair comparisons across sectors.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Suppose NIRF benchmark median salary for Engineering = ₹8,00,000 p.a.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reported median salary = ₹6,40,000 p.a.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6.4 ÷ 8.0 = 0.80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f(x) is linear up to 1.0, then: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GMS = 25 × 0.80 = 20 Marks (out of 25)</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salary data for the last 3 graduating batches.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Placement records, offer letters, salary CTC sheets.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Exclude non-verified offers.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Placement cell records, employer HR letters, audited placement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Should be consistent with GPH (Placement outcomes).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Provides a monetary measure of employability success.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Differentiates institutions not just on % placements (quantity) but also on salary levels (quality).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industry-aligned programs and skill development.</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Median Salary Data for the Last 3 Graduating Batches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report median salary figures (not average) for each of the last 3 years' graduating batches.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salary = Middle value of the salary package list when arranged in ascending order.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Why median? → Prevents distortion from extremely high or low packages.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Placement Records, Offer Letters, Salary CTC Sheets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required:</w:t>
      </w:r>
    </w:p>
    <w:p>
      <w:pPr>
        <w:spacing w:after="40"/>
        <w:ind w:left="1644" w:hanging="357"/>
      </w:pPr>
      <w:r>
        <w:rPr>
          <w:rFonts w:ascii="Cambria" w:hAnsi="Cambria" w:eastAsia="Cambria"/>
          <w:b w:val="0"/>
          <w:i w:val="0"/>
          <w:sz w:val="22"/>
        </w:rPr>
        <w:t>▪</w:t>
        <w:tab/>
      </w:r>
      <w:r>
        <w:rPr>
          <w:rFonts w:ascii="Cambria" w:hAnsi="Cambria" w:eastAsia="Cambria"/>
          <w:b w:val="0"/>
          <w:i w:val="0"/>
          <w:sz w:val="22"/>
        </w:rPr>
        <w:t>Company offer letters issued to students.</w:t>
      </w:r>
    </w:p>
    <w:p>
      <w:pPr>
        <w:spacing w:after="40"/>
        <w:ind w:left="1644" w:hanging="357"/>
      </w:pPr>
      <w:r>
        <w:rPr>
          <w:rFonts w:ascii="Cambria" w:hAnsi="Cambria" w:eastAsia="Cambria"/>
          <w:b w:val="0"/>
          <w:i w:val="0"/>
          <w:sz w:val="22"/>
        </w:rPr>
        <w:t>▪</w:t>
        <w:tab/>
      </w:r>
      <w:r>
        <w:rPr>
          <w:rFonts w:ascii="Cambria" w:hAnsi="Cambria" w:eastAsia="Cambria"/>
          <w:b w:val="0"/>
          <w:i w:val="0"/>
          <w:sz w:val="22"/>
        </w:rPr>
        <w:t>Salary/CTC (Cost to Company) sheets issued by employer HR.</w:t>
      </w:r>
    </w:p>
    <w:p>
      <w:pPr>
        <w:spacing w:after="40"/>
        <w:ind w:left="1644" w:hanging="357"/>
      </w:pPr>
      <w:r>
        <w:rPr>
          <w:rFonts w:ascii="Cambria" w:hAnsi="Cambria" w:eastAsia="Cambria"/>
          <w:b w:val="0"/>
          <w:i w:val="0"/>
          <w:sz w:val="22"/>
        </w:rPr>
        <w:t>▪</w:t>
        <w:tab/>
      </w:r>
      <w:r>
        <w:rPr>
          <w:rFonts w:ascii="Cambria" w:hAnsi="Cambria" w:eastAsia="Cambria"/>
          <w:b w:val="0"/>
          <w:i w:val="0"/>
          <w:sz w:val="22"/>
        </w:rPr>
        <w:t>Placement records maintained by the Training &amp; Placement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final, accepted offers should be considered (not withdrawn or unverified offers).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Exclude Non-Verified Offers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Offers not supported by valid documents must be excluded.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Verifiable evidence = HR letters, appointment orders, employer confirmations.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inflating placement salary data.</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Placement Cell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reports generated by Training &amp; Placement Office.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Contains student-wise placement details, company names, and salary packages.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Employer HR Letters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Direct confirmation from companies/employers regarding salary and placement numbers.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verify authenticity of offer letters.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Audited Placement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Consolidated placement reports certified by institutional audit or IQAC.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consistency with institution's financial and academic records.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Consistency with GPH (Placement Outcomes)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Reported median salary must align with GPH metric (Graduation Outcomes → Placement &amp; Higher Studies).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mismatches between placement numbers and salary data.</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Median salary is a key outcome measure under Graduation Outcomes (GO).</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employability, industry linkage, and market reputation of graduates.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report realistic, verifiable salary data.</w:t>
      </w:r>
    </w:p>
    <w:p>
      <w:r>
        <w:br w:type="page"/>
      </w:r>
    </w:p>
    <w:p>
      <w:pPr>
        <w:keepNext/>
        <w:spacing w:before="360" w:after="160"/>
      </w:pPr>
      <w:r>
        <w:rPr>
          <w:rFonts w:ascii="Cambria" w:hAnsi="Cambria" w:eastAsia="Cambria"/>
          <w:b/>
          <w:i w:val="0"/>
          <w:color w:val="1F3A5F"/>
          <w:sz w:val="36"/>
        </w:rPr>
        <w:t>37. NIRF 2024 Framework for the Management Discipline</w:t>
      </w:r>
    </w:p>
    <w:p>
      <w:pPr>
        <w:keepNext/>
        <w:spacing w:before="280" w:after="120"/>
      </w:pPr>
      <w:r>
        <w:rPr>
          <w:rFonts w:ascii="Cambria" w:hAnsi="Cambria" w:eastAsia="Cambria"/>
          <w:b/>
          <w:i w:val="0"/>
          <w:color w:val="1F3A5F"/>
          <w:sz w:val="30"/>
        </w:rPr>
        <w:t>1. Teaching, Learning &amp; Resources (TLR) – 100 Marks (Weight: 0.30)</w:t>
      </w:r>
    </w:p>
    <w:p>
      <w:pPr>
        <w:spacing w:after="80" w:line="276" w:lineRule="auto"/>
      </w:pPr>
      <w:r>
        <w:rPr>
          <w:rFonts w:ascii="Cambria" w:hAnsi="Cambria" w:eastAsia="Cambria"/>
          <w:b w:val="0"/>
          <w:i w:val="0"/>
          <w:sz w:val="22"/>
        </w:rPr>
        <w:t>Measures quality of teaching-learning environment and institutional resources.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including Doctoral Students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strong enrollment, particularly balanced PG/doctoral programs in management.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Faculty–Student Ratio (FSR)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Adequate faculty availability ensures personalized mentoring.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Permanent faculty emphasized; expected ratio 1:15 for maximum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with PhD &amp; Experience (FQE)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proportion of faculty with doctoral degrees and balanced teaching/research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Important in management where applied expertise complements academic depth.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Utilisation (FRU)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per-student spending on teaching resources, libraries, ICT, infrastructure, and research activities.</w:t>
      </w:r>
    </w:p>
    <w:p>
      <w:pPr>
        <w:keepNext/>
        <w:spacing w:before="280" w:after="120"/>
      </w:pPr>
      <w:r>
        <w:rPr>
          <w:rFonts w:ascii="Cambria" w:hAnsi="Cambria" w:eastAsia="Cambria"/>
          <w:b/>
          <w:i w:val="0"/>
          <w:color w:val="1F3A5F"/>
          <w:sz w:val="30"/>
        </w:rPr>
        <w:t>2. Research &amp; Professional Practice (RP) – 100 Marks (Weight: 0.30)</w:t>
      </w:r>
    </w:p>
    <w:p>
      <w:pPr>
        <w:spacing w:after="80" w:line="276" w:lineRule="auto"/>
      </w:pPr>
      <w:r>
        <w:rPr>
          <w:rFonts w:ascii="Cambria" w:hAnsi="Cambria" w:eastAsia="Cambria"/>
          <w:b w:val="0"/>
          <w:i w:val="0"/>
          <w:sz w:val="22"/>
        </w:rPr>
        <w:t>Assesses research productivity and professional engagement.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publications in Scopus/WoS-indexed journals in business, economics, and social sciences.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Evaluated using citations, top 25% cited papers, and journal impact indicators.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focus on impactful research, not just volume.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Footprint of Projects, Professional Practice &amp; Executive Development Programs (FPPP)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consultancy projects, sponsored research, and income from executive/management development programs (EDPs/MDPs).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industry linkage and application of management knowledge.</w:t>
      </w:r>
    </w:p>
    <w:p>
      <w:pPr>
        <w:keepNext/>
        <w:spacing w:before="280" w:after="120"/>
      </w:pPr>
      <w:r>
        <w:rPr>
          <w:rFonts w:ascii="Cambria" w:hAnsi="Cambria" w:eastAsia="Cambria"/>
          <w:b/>
          <w:i w:val="0"/>
          <w:color w:val="1F3A5F"/>
          <w:sz w:val="30"/>
        </w:rPr>
        <w:t>3. Graduation Outcomes (GO) – 100 Marks (Weight: 0.20)</w:t>
      </w:r>
    </w:p>
    <w:p>
      <w:pPr>
        <w:spacing w:after="80" w:line="276" w:lineRule="auto"/>
      </w:pPr>
      <w:r>
        <w:rPr>
          <w:rFonts w:ascii="Cambria" w:hAnsi="Cambria" w:eastAsia="Cambria"/>
          <w:b w:val="0"/>
          <w:i w:val="0"/>
          <w:sz w:val="22"/>
        </w:rPr>
        <w:t>Captures employability and career success of management graduates.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Placement &amp; Higher Studies (GPH)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percentage of graduates placed or pursuing higher studies.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Critical for MBA/PGDM institutions where placements are a primary performance indicator.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University Examinations (GUE)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timely graduation rates (80% benchmark for full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Median Salary (GMS)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annual salary of placed graduates, normalized across institutions and regions.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unique highlight in management rankings since salary outcomes directly reflect graduate quality and industry acceptance.</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Evaluates inclusivity, diversity, and access.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percentage of students from outside the home state.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International students also contribute positively.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women's participation in student enrollment and faculty positions.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Economically &amp; Socially Challenged Students (ESCS)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full tuition fee reimbursements/scholarships offered.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Facilities for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Inclusive infrastructure (ramps, lifts, braille materials, assistive ICT).</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Measures reputation among stakeholders.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Peer Perception (PR)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 feedback from employers, recruiters, industry leaders, and academic peers.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Management institutions heavily depend on corporate reputation and alumni success, making perception highly influential.</w:t>
      </w:r>
    </w:p>
    <w:p>
      <w:pPr>
        <w:spacing w:after="40" w:line="276" w:lineRule="auto"/>
      </w:pPr>
      <w:r>
        <w:rPr>
          <w:rFonts w:ascii="Cambria" w:hAnsi="Cambria" w:eastAsia="Cambria"/>
          <w:b/>
          <w:i w:val="0"/>
          <w:sz w:val="22"/>
        </w:rPr>
        <w:t>Key Insights for Management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Greater focus on employability and salary outcomes compared to other disciplines.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Higher weight for research (PU + QP = 80 marks) compared to engineering/overall frameworks.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FPPP strongly aligned with EDP/MDP income, reflecting management schools' strong executive training role.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 remain consistent across disciplines, but placements and salaries dominate GO.</w:t>
      </w:r>
    </w:p>
    <w:p>
      <w:pPr>
        <w:keepNext/>
        <w:spacing w:before="200" w:after="100"/>
      </w:pPr>
      <w:r>
        <w:rPr>
          <w:rFonts w:ascii="Cambria" w:hAnsi="Cambria" w:eastAsia="Cambria"/>
          <w:b/>
          <w:i w:val="0"/>
          <w:color w:val="1F3A5F"/>
          <w:sz w:val="26"/>
        </w:rPr>
        <w:t>NIRF 2024 – Comparison of Parameter Weights &amp; Sub-Weights</w:t>
      </w:r>
    </w:p>
    <w:tbl>
      <w:tblPr>
        <w:tblW w:type="dxa" w:w="9412"/>
        <w:jc w:val="center"/>
        <w:tblLayout w:type="fixed"/>
        <w:tblLook w:firstColumn="1" w:firstRow="1" w:lastColumn="0" w:lastRow="0" w:noHBand="0" w:noVBand="1" w:val="04A0"/>
        <w:tblLayout w:type="fixed"/>
      </w:tblPr>
      <w:tblGrid>
        <w:gridCol w:w="2353"/>
        <w:gridCol w:w="2353"/>
        <w:gridCol w:w="2353"/>
        <w:gridCol w:w="2353"/>
      </w:tblGrid>
      <w:tr>
        <w:tc>
          <w:tcPr>
            <w:tcW w:type="dxa" w:w="2268"/>
            <w:shd w:val="clear" w:color="auto" w:fill="1F3A5F"/>
          </w:tcPr>
          <w:p>
            <w:pPr>
              <w:spacing w:after="40" w:line="240" w:lineRule="auto"/>
              <w:jc w:val="center"/>
            </w:pPr>
            <w:r/>
            <w:r>
              <w:rPr>
                <w:rFonts w:ascii="Cambria" w:hAnsi="Cambria" w:eastAsia="Cambria"/>
                <w:b/>
                <w:i w:val="0"/>
                <w:color w:val="FFFFFF"/>
                <w:sz w:val="22"/>
              </w:rPr>
              <w:t>Parameter</w:t>
            </w:r>
          </w:p>
        </w:tc>
        <w:tc>
          <w:tcPr>
            <w:tcW w:type="dxa" w:w="2381"/>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2381"/>
            <w:shd w:val="clear" w:color="auto" w:fill="1F3A5F"/>
          </w:tcPr>
          <w:p>
            <w:pPr>
              <w:spacing w:after="40" w:line="240" w:lineRule="auto"/>
              <w:jc w:val="center"/>
            </w:pPr>
            <w:r/>
            <w:r>
              <w:rPr>
                <w:rFonts w:ascii="Cambria" w:hAnsi="Cambria" w:eastAsia="Cambria"/>
                <w:b/>
                <w:i w:val="0"/>
                <w:color w:val="FFFFFF"/>
                <w:sz w:val="22"/>
              </w:rPr>
              <w:t>Engineering Framework</w:t>
            </w:r>
          </w:p>
        </w:tc>
        <w:tc>
          <w:tcPr>
            <w:tcW w:type="dxa" w:w="2381"/>
            <w:shd w:val="clear" w:color="auto" w:fill="1F3A5F"/>
          </w:tcPr>
          <w:p>
            <w:pPr>
              <w:spacing w:after="40" w:line="240" w:lineRule="auto"/>
              <w:jc w:val="center"/>
            </w:pPr>
            <w:r/>
            <w:r>
              <w:rPr>
                <w:rFonts w:ascii="Cambria" w:hAnsi="Cambria" w:eastAsia="Cambria"/>
                <w:b/>
                <w:i w:val="0"/>
                <w:color w:val="FFFFFF"/>
                <w:sz w:val="22"/>
              </w:rPr>
              <w:t>Management Framework</w:t>
            </w:r>
          </w:p>
        </w:tc>
      </w:tr>
      <w:tr>
        <w:tc>
          <w:tcPr>
            <w:tcW w:type="dxa" w:w="2268"/>
          </w:tcPr>
          <w:p>
            <w:pPr>
              <w:spacing w:after="40" w:line="240" w:lineRule="auto"/>
              <w:jc w:val="left"/>
            </w:pPr>
            <w:r/>
            <w:r>
              <w:rPr>
                <w:rFonts w:ascii="Cambria" w:hAnsi="Cambria" w:eastAsia="Cambria"/>
                <w:b w:val="0"/>
                <w:i w:val="0"/>
                <w:sz w:val="22"/>
              </w:rPr>
              <w:t>Teaching, Learning &amp; Resources (TLR)</w:t>
              <w:br/>
              <w:t>Weight = 0.30</w:t>
            </w:r>
          </w:p>
        </w:tc>
        <w:tc>
          <w:tcPr>
            <w:tcW w:type="dxa" w:w="2381"/>
          </w:tcPr>
          <w:p>
            <w:pPr>
              <w:spacing w:after="40" w:line="240" w:lineRule="auto"/>
              <w:jc w:val="center"/>
            </w:pPr>
            <w:r/>
            <w:r>
              <w:rPr>
                <w:rFonts w:ascii="Cambria" w:hAnsi="Cambria" w:eastAsia="Cambria"/>
                <w:b w:val="0"/>
                <w:i w:val="0"/>
                <w:sz w:val="22"/>
              </w:rPr>
              <w:t>100 marks</w:t>
              <w:br/>
              <w:t>SS (20)</w:t>
              <w:br/>
              <w:t>FSR (25)</w:t>
              <w:br/>
              <w:t>FQE (20)</w:t>
              <w:br/>
              <w:t>FRU (20)</w:t>
              <w:br/>
              <w:t>OE (10)</w:t>
              <w:br/>
              <w:t>MIR (5)</w:t>
            </w:r>
          </w:p>
        </w:tc>
        <w:tc>
          <w:tcPr>
            <w:tcW w:type="dxa" w:w="2381"/>
          </w:tcPr>
          <w:p>
            <w:pPr>
              <w:spacing w:after="40" w:line="240" w:lineRule="auto"/>
              <w:jc w:val="center"/>
            </w:pPr>
            <w:r/>
            <w:r>
              <w:rPr>
                <w:rFonts w:ascii="Cambria" w:hAnsi="Cambria" w:eastAsia="Cambria"/>
                <w:b w:val="0"/>
                <w:i w:val="0"/>
                <w:sz w:val="22"/>
              </w:rPr>
              <w:t>100 marks</w:t>
              <w:br/>
              <w:t>SS (20)</w:t>
              <w:br/>
              <w:t>FSR (30)</w:t>
              <w:br/>
              <w:t>FQE (20)</w:t>
              <w:br/>
              <w:t>FRU (30)</w:t>
            </w:r>
          </w:p>
        </w:tc>
        <w:tc>
          <w:tcPr>
            <w:tcW w:type="dxa" w:w="2381"/>
          </w:tcPr>
          <w:p>
            <w:pPr>
              <w:spacing w:after="40" w:line="240" w:lineRule="auto"/>
              <w:jc w:val="center"/>
            </w:pPr>
            <w:r/>
            <w:r>
              <w:rPr>
                <w:rFonts w:ascii="Cambria" w:hAnsi="Cambria" w:eastAsia="Cambria"/>
                <w:b w:val="0"/>
                <w:i w:val="0"/>
                <w:sz w:val="22"/>
              </w:rPr>
              <w:t>100 marks</w:t>
              <w:br/>
              <w:t>SS (20)</w:t>
              <w:br/>
              <w:t>FSR (30)</w:t>
              <w:br/>
              <w:t>FQE (20)</w:t>
              <w:br/>
              <w:t>FRU (30)</w:t>
            </w:r>
          </w:p>
        </w:tc>
      </w:tr>
      <w:tr>
        <w:tc>
          <w:tcPr>
            <w:tcW w:type="dxa" w:w="2268"/>
            <w:shd w:val="clear" w:color="auto" w:fill="DCE6F1"/>
          </w:tcPr>
          <w:p>
            <w:pPr>
              <w:spacing w:after="40" w:line="240" w:lineRule="auto"/>
              <w:jc w:val="left"/>
            </w:pPr>
            <w:r/>
            <w:r>
              <w:rPr>
                <w:rFonts w:ascii="Cambria" w:hAnsi="Cambria" w:eastAsia="Cambria"/>
                <w:b w:val="0"/>
                <w:i w:val="0"/>
                <w:sz w:val="22"/>
              </w:rPr>
              <w:t>Research &amp; Professional Practice (RP)</w:t>
              <w:br/>
              <w:t>Weight = 0.30</w:t>
            </w:r>
          </w:p>
        </w:tc>
        <w:tc>
          <w:tcPr>
            <w:tcW w:type="dxa" w:w="2381"/>
            <w:shd w:val="clear" w:color="auto" w:fill="DCE6F1"/>
          </w:tcPr>
          <w:p>
            <w:pPr>
              <w:spacing w:after="40" w:line="240" w:lineRule="auto"/>
              <w:jc w:val="center"/>
            </w:pPr>
            <w:r/>
            <w:r>
              <w:rPr>
                <w:rFonts w:ascii="Cambria" w:hAnsi="Cambria" w:eastAsia="Cambria"/>
                <w:b w:val="0"/>
                <w:i w:val="0"/>
                <w:sz w:val="22"/>
              </w:rPr>
              <w:t>100 marks</w:t>
              <w:br/>
              <w:t>PU (30)</w:t>
              <w:br/>
              <w:t>QP (30)</w:t>
              <w:br/>
              <w:t>IPR (15)</w:t>
              <w:br/>
              <w:t>FPPP (15)</w:t>
              <w:br/>
              <w:t>PSDGs (10)</w:t>
            </w:r>
          </w:p>
        </w:tc>
        <w:tc>
          <w:tcPr>
            <w:tcW w:type="dxa" w:w="2381"/>
            <w:shd w:val="clear" w:color="auto" w:fill="DCE6F1"/>
          </w:tcPr>
          <w:p>
            <w:pPr>
              <w:spacing w:after="40" w:line="240" w:lineRule="auto"/>
              <w:jc w:val="center"/>
            </w:pPr>
            <w:r/>
            <w:r>
              <w:rPr>
                <w:rFonts w:ascii="Cambria" w:hAnsi="Cambria" w:eastAsia="Cambria"/>
                <w:b w:val="0"/>
                <w:i w:val="0"/>
                <w:sz w:val="22"/>
              </w:rPr>
              <w:t>100 marks</w:t>
              <w:br/>
              <w:t>PU (35)</w:t>
              <w:br/>
              <w:t>QP (40)</w:t>
              <w:br/>
              <w:t>IPR (15)</w:t>
              <w:br/>
              <w:t>FPPP (10)</w:t>
            </w:r>
          </w:p>
        </w:tc>
        <w:tc>
          <w:tcPr>
            <w:tcW w:type="dxa" w:w="2381"/>
            <w:shd w:val="clear" w:color="auto" w:fill="DCE6F1"/>
          </w:tcPr>
          <w:p>
            <w:pPr>
              <w:spacing w:after="40" w:line="240" w:lineRule="auto"/>
              <w:jc w:val="center"/>
            </w:pPr>
            <w:r/>
            <w:r>
              <w:rPr>
                <w:rFonts w:ascii="Cambria" w:hAnsi="Cambria" w:eastAsia="Cambria"/>
                <w:b w:val="0"/>
                <w:i w:val="0"/>
                <w:sz w:val="22"/>
              </w:rPr>
              <w:t>100 marks</w:t>
              <w:br/>
              <w:t>PU (40)</w:t>
              <w:br/>
              <w:t>QP (40)</w:t>
              <w:br/>
              <w:t>FPPP (20)</w:t>
            </w:r>
          </w:p>
        </w:tc>
      </w:tr>
      <w:tr>
        <w:tc>
          <w:tcPr>
            <w:tcW w:type="dxa" w:w="2268"/>
          </w:tcPr>
          <w:p>
            <w:pPr>
              <w:spacing w:after="40" w:line="240" w:lineRule="auto"/>
              <w:jc w:val="left"/>
            </w:pPr>
            <w:r/>
            <w:r>
              <w:rPr>
                <w:rFonts w:ascii="Cambria" w:hAnsi="Cambria" w:eastAsia="Cambria"/>
                <w:b w:val="0"/>
                <w:i w:val="0"/>
                <w:sz w:val="22"/>
              </w:rPr>
              <w:t>Graduation Outcomes (GO)</w:t>
              <w:br/>
              <w:t>Weight = 0.20</w:t>
            </w:r>
          </w:p>
        </w:tc>
        <w:tc>
          <w:tcPr>
            <w:tcW w:type="dxa" w:w="2381"/>
          </w:tcPr>
          <w:p>
            <w:pPr>
              <w:spacing w:after="40" w:line="240" w:lineRule="auto"/>
              <w:jc w:val="center"/>
            </w:pPr>
            <w:r/>
            <w:r>
              <w:rPr>
                <w:rFonts w:ascii="Cambria" w:hAnsi="Cambria" w:eastAsia="Cambria"/>
                <w:b w:val="0"/>
                <w:i w:val="0"/>
                <w:sz w:val="22"/>
              </w:rPr>
              <w:t>100 marks</w:t>
              <w:br/>
              <w:t>GUE (60)</w:t>
              <w:br/>
              <w:t>GPHD (40)</w:t>
            </w:r>
          </w:p>
        </w:tc>
        <w:tc>
          <w:tcPr>
            <w:tcW w:type="dxa" w:w="2381"/>
          </w:tcPr>
          <w:p>
            <w:pPr>
              <w:spacing w:after="40" w:line="240" w:lineRule="auto"/>
              <w:jc w:val="center"/>
            </w:pPr>
            <w:r/>
            <w:r>
              <w:rPr>
                <w:rFonts w:ascii="Cambria" w:hAnsi="Cambria" w:eastAsia="Cambria"/>
                <w:b w:val="0"/>
                <w:i w:val="0"/>
                <w:sz w:val="22"/>
              </w:rPr>
              <w:t>100 marks</w:t>
              <w:br/>
              <w:t>GPH (40)</w:t>
              <w:br/>
              <w:t>GUE (15)</w:t>
              <w:br/>
              <w:t>GMS (25)</w:t>
              <w:br/>
              <w:t>GPHD (20)</w:t>
            </w:r>
          </w:p>
        </w:tc>
        <w:tc>
          <w:tcPr>
            <w:tcW w:type="dxa" w:w="2381"/>
          </w:tcPr>
          <w:p>
            <w:pPr>
              <w:spacing w:after="40" w:line="240" w:lineRule="auto"/>
              <w:jc w:val="center"/>
            </w:pPr>
            <w:r/>
            <w:r>
              <w:rPr>
                <w:rFonts w:ascii="Cambria" w:hAnsi="Cambria" w:eastAsia="Cambria"/>
                <w:b w:val="0"/>
                <w:i w:val="0"/>
                <w:sz w:val="22"/>
              </w:rPr>
              <w:t>100 marks</w:t>
              <w:br/>
              <w:t>GPH (40)</w:t>
              <w:br/>
              <w:t>GUE (20)</w:t>
              <w:br/>
              <w:t>GMS (40)</w:t>
            </w:r>
          </w:p>
        </w:tc>
      </w:tr>
      <w:tr>
        <w:tc>
          <w:tcPr>
            <w:tcW w:type="dxa" w:w="2268"/>
            <w:shd w:val="clear" w:color="auto" w:fill="DCE6F1"/>
          </w:tcPr>
          <w:p>
            <w:pPr>
              <w:spacing w:after="40" w:line="240" w:lineRule="auto"/>
              <w:jc w:val="left"/>
            </w:pPr>
            <w:r/>
            <w:r>
              <w:rPr>
                <w:rFonts w:ascii="Cambria" w:hAnsi="Cambria" w:eastAsia="Cambria"/>
                <w:b w:val="0"/>
                <w:i w:val="0"/>
                <w:sz w:val="22"/>
              </w:rPr>
              <w:t>Outreach &amp; Inclusivity (OI)</w:t>
              <w:br/>
              <w:t>Weight = 0.10</w:t>
            </w:r>
          </w:p>
        </w:tc>
        <w:tc>
          <w:tcPr>
            <w:tcW w:type="dxa" w:w="2381"/>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c>
          <w:tcPr>
            <w:tcW w:type="dxa" w:w="2381"/>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c>
          <w:tcPr>
            <w:tcW w:type="dxa" w:w="2381"/>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r>
      <w:tr>
        <w:tc>
          <w:tcPr>
            <w:tcW w:type="dxa" w:w="2268"/>
          </w:tcPr>
          <w:p>
            <w:pPr>
              <w:spacing w:after="40" w:line="240" w:lineRule="auto"/>
              <w:jc w:val="left"/>
            </w:pPr>
            <w:r/>
            <w:r>
              <w:rPr>
                <w:rFonts w:ascii="Cambria" w:hAnsi="Cambria" w:eastAsia="Cambria"/>
                <w:b w:val="0"/>
                <w:i w:val="0"/>
                <w:sz w:val="22"/>
              </w:rPr>
              <w:t>Perception (PR)</w:t>
              <w:br/>
              <w:t>Weight = 0.10</w:t>
            </w:r>
          </w:p>
        </w:tc>
        <w:tc>
          <w:tcPr>
            <w:tcW w:type="dxa" w:w="2381"/>
          </w:tcPr>
          <w:p>
            <w:pPr>
              <w:spacing w:after="40" w:line="240" w:lineRule="auto"/>
              <w:jc w:val="center"/>
            </w:pPr>
            <w:r/>
            <w:r>
              <w:rPr>
                <w:rFonts w:ascii="Cambria" w:hAnsi="Cambria" w:eastAsia="Cambria"/>
                <w:b w:val="0"/>
                <w:i w:val="0"/>
                <w:sz w:val="22"/>
              </w:rPr>
              <w:t>100 marks</w:t>
              <w:br/>
              <w:t>PR (100)</w:t>
            </w:r>
          </w:p>
        </w:tc>
        <w:tc>
          <w:tcPr>
            <w:tcW w:type="dxa" w:w="2381"/>
          </w:tcPr>
          <w:p>
            <w:pPr>
              <w:spacing w:after="40" w:line="240" w:lineRule="auto"/>
              <w:jc w:val="center"/>
            </w:pPr>
            <w:r/>
            <w:r>
              <w:rPr>
                <w:rFonts w:ascii="Cambria" w:hAnsi="Cambria" w:eastAsia="Cambria"/>
                <w:b w:val="0"/>
                <w:i w:val="0"/>
                <w:sz w:val="22"/>
              </w:rPr>
              <w:t>100 marks</w:t>
              <w:br/>
              <w:t>PR (100)</w:t>
            </w:r>
          </w:p>
        </w:tc>
        <w:tc>
          <w:tcPr>
            <w:tcW w:type="dxa" w:w="2381"/>
          </w:tcPr>
          <w:p>
            <w:pPr>
              <w:spacing w:after="40" w:line="240" w:lineRule="auto"/>
              <w:jc w:val="center"/>
            </w:pPr>
            <w:r/>
            <w:r>
              <w:rPr>
                <w:rFonts w:ascii="Cambria" w:hAnsi="Cambria" w:eastAsia="Cambria"/>
                <w:b w:val="0"/>
                <w:i w:val="0"/>
                <w:sz w:val="22"/>
              </w:rPr>
              <w:t>100 marks</w:t>
              <w:br/>
              <w:t>PR (100)</w:t>
            </w:r>
          </w:p>
        </w:tc>
      </w:tr>
    </w:tbl>
    <w:p>
      <w:pPr>
        <w:spacing w:after="40" w:line="276" w:lineRule="auto"/>
      </w:pPr>
      <w:r>
        <w:rPr>
          <w:rFonts w:ascii="Cambria" w:hAnsi="Cambria" w:eastAsia="Cambria"/>
          <w:b/>
          <w:i w:val="0"/>
          <w:sz w:val="22"/>
        </w:rPr>
        <w:t>Key Differences Across Frameworks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Online Education (OE: 10) &amp; MIR (5) (aligned with NEP 2020 reforms).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Engineering &amp; Management</w:t>
      </w:r>
      <w:r>
        <w:rPr>
          <w:rFonts w:ascii="Cambria" w:hAnsi="Cambria" w:eastAsia="Cambria"/>
          <w:b w:val="0"/>
          <w:i w:val="0"/>
          <w:sz w:val="22"/>
        </w:rPr>
        <w:t xml:space="preserve"> give more weight to FSR (30) and FRU (30).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SDG-related publications (PSDG: 10).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Engineering</w:t>
      </w:r>
      <w:r>
        <w:rPr>
          <w:rFonts w:ascii="Cambria" w:hAnsi="Cambria" w:eastAsia="Cambria"/>
          <w:b w:val="0"/>
          <w:i w:val="0"/>
          <w:sz w:val="22"/>
        </w:rPr>
        <w:t xml:space="preserve"> increases emphasis on quality of publications (QP: 40) and publications (PU: 35).</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Management</w:t>
      </w:r>
      <w:r>
        <w:rPr>
          <w:rFonts w:ascii="Cambria" w:hAnsi="Cambria" w:eastAsia="Cambria"/>
          <w:b w:val="0"/>
          <w:i w:val="0"/>
          <w:sz w:val="22"/>
        </w:rPr>
        <w:t xml:space="preserve"> raises PU &amp; QP to 40 each and gives higher FPPP weight (20) to reflect executive programs.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Only Exams (GUE: 60) + Ph.D.s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Engineering</w:t>
      </w:r>
      <w:r>
        <w:rPr>
          <w:rFonts w:ascii="Cambria" w:hAnsi="Cambria" w:eastAsia="Cambria"/>
          <w:b w:val="0"/>
          <w:i w:val="0"/>
          <w:sz w:val="22"/>
        </w:rPr>
        <w:t xml:space="preserve"> = Placements (GPH: 40) + Exams (15) + Median Salary (25) + Ph.D.s (20).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Management</w:t>
      </w:r>
      <w:r>
        <w:rPr>
          <w:rFonts w:ascii="Cambria" w:hAnsi="Cambria" w:eastAsia="Cambria"/>
          <w:b w:val="0"/>
          <w:i w:val="0"/>
          <w:sz w:val="22"/>
        </w:rPr>
        <w:t xml:space="preserve"> = Placements (40) + Exams (20) + Median Salary (40) (salary heavily emphasized).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Uniform across all three categories → 100 marks each.</w:t>
      </w:r>
    </w:p>
    <w:p>
      <w:r>
        <w:br w:type="page"/>
      </w:r>
    </w:p>
    <w:p>
      <w:pPr>
        <w:keepNext/>
        <w:spacing w:before="360" w:after="160"/>
      </w:pPr>
      <w:r>
        <w:rPr>
          <w:rFonts w:ascii="Cambria" w:hAnsi="Cambria" w:eastAsia="Cambria"/>
          <w:b/>
          <w:i w:val="0"/>
          <w:color w:val="1F3A5F"/>
          <w:sz w:val="36"/>
        </w:rPr>
        <w:t>38. NIRF 2024 Framework for the Medical Discipline</w:t>
      </w:r>
    </w:p>
    <w:p>
      <w:pPr>
        <w:keepNext/>
        <w:spacing w:before="280" w:after="120"/>
      </w:pPr>
      <w:r>
        <w:rPr>
          <w:rFonts w:ascii="Cambria" w:hAnsi="Cambria" w:eastAsia="Cambria"/>
          <w:b/>
          <w:i w:val="0"/>
          <w:color w:val="1F3A5F"/>
          <w:sz w:val="30"/>
        </w:rPr>
        <w:t>1. Teaching, Learning &amp; Resources (TLR) – 100 Marks (Weight: 0.30)</w:t>
      </w:r>
    </w:p>
    <w:p>
      <w:pPr>
        <w:spacing w:after="80" w:line="276" w:lineRule="auto"/>
      </w:pPr>
      <w:r>
        <w:rPr>
          <w:rFonts w:ascii="Cambria" w:hAnsi="Cambria" w:eastAsia="Cambria"/>
          <w:b w:val="0"/>
          <w:i w:val="0"/>
          <w:sz w:val="22"/>
        </w:rPr>
        <w:t>Evaluates the availability, quality, and utilization of teaching-learning resources.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including Doctoral Students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Considers UG, PG, doctoral, and super-specialty student enrollment.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with balanced capacity at all levels of medical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Faculty–Student Ratio (FSR)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Adequacy of full-time permanent faculty relative to student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 medical education, strong FSR is critical for clinical training.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with PhD &amp; Experience (FQE)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faculty qualifications (Ph.D./equivalent in medical sciences) and years of teaching/clinical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retention of experienced teaching doctors and researchers.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Utilization (FRU)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per-student capital and recurring expenditure over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labs, hospitals, simulation centers, research facilities, ICT resources.</w:t>
      </w:r>
    </w:p>
    <w:p>
      <w:pPr>
        <w:keepNext/>
        <w:spacing w:before="280" w:after="120"/>
      </w:pPr>
      <w:r>
        <w:rPr>
          <w:rFonts w:ascii="Cambria" w:hAnsi="Cambria" w:eastAsia="Cambria"/>
          <w:b/>
          <w:i w:val="0"/>
          <w:color w:val="1F3A5F"/>
          <w:sz w:val="30"/>
        </w:rPr>
        <w:t>2. Research &amp; Professional Practice (RP) – 100 Marks (Weight: 0.30)</w:t>
      </w:r>
    </w:p>
    <w:p>
      <w:pPr>
        <w:spacing w:after="80" w:line="276" w:lineRule="auto"/>
      </w:pPr>
      <w:r>
        <w:rPr>
          <w:rFonts w:ascii="Cambria" w:hAnsi="Cambria" w:eastAsia="Cambria"/>
          <w:b w:val="0"/>
          <w:i w:val="0"/>
          <w:sz w:val="22"/>
        </w:rPr>
        <w:t>Measures the institution's research quality, innovation, and clinical practice contributions.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publication count from medical databases like PubMed, Scopus, and WoS.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Citations per paper, h-index, top 25% cited papers, and journal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globally recognized medical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IPR &amp; Patents (IPR)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medical innovations, drugs, devices, and patents.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Lower weight compared to Engineering/Management since IP-intensive output is smaller in medicine.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Projects &amp; Professional Practice (FPPP)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Sponsored clinical research, consultancy in healthcare, and community outreach programs.</w:t>
      </w:r>
    </w:p>
    <w:p>
      <w:pPr>
        <w:keepNext/>
        <w:spacing w:before="280" w:after="120"/>
      </w:pPr>
      <w:r>
        <w:rPr>
          <w:rFonts w:ascii="Cambria" w:hAnsi="Cambria" w:eastAsia="Cambria"/>
          <w:b/>
          <w:i w:val="0"/>
          <w:color w:val="1F3A5F"/>
          <w:sz w:val="30"/>
        </w:rPr>
        <w:t>3. Graduation Outcomes (GO) – 100 Marks (Weight: 0.20)</w:t>
      </w:r>
    </w:p>
    <w:p>
      <w:pPr>
        <w:spacing w:after="80" w:line="276" w:lineRule="auto"/>
      </w:pPr>
      <w:r>
        <w:rPr>
          <w:rFonts w:ascii="Cambria" w:hAnsi="Cambria" w:eastAsia="Cambria"/>
          <w:b w:val="0"/>
          <w:i w:val="0"/>
          <w:sz w:val="22"/>
        </w:rPr>
        <w:t>Focuses on student success, progression, and specialization outcomes.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Placement &amp; Higher Studies (GPH)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graduates employed or pursuing higher studies/residency.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University Examinations (GUE)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On-time graduation success rate in medical programs.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PG Students Graduated (GPG)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number of PG students (MD/MS) completing degrees in 3 years.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Super Specialty Students Graduated (GSS)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DM/MCh super-specialty graduates.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Highlights advanced training capacity in specialized medicine.</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Assesses diversity, equity, and accessibility.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from other states and foreign countries.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Women students and women faculty (incl. senior roles).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Economically &amp; Socially Challenged Students (ESCS)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receiving full fee reimbursement/scholarships.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Facilities for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Accessibility in hospitals, hostels, and classrooms for differently-abled students.</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Reflects national and global reputation.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Peer Perception (PR)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Based on surveys among employers (healthcare institutions, pharma), academic peers, and research collaborators.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medical institutions, reputation strongly depends on clinical outcomes, alumni in healthcare, and research collaborations.</w:t>
      </w:r>
    </w:p>
    <w:p>
      <w:pPr>
        <w:spacing w:after="40" w:line="276" w:lineRule="auto"/>
      </w:pPr>
      <w:r>
        <w:rPr>
          <w:rFonts w:ascii="Cambria" w:hAnsi="Cambria" w:eastAsia="Cambria"/>
          <w:b/>
          <w:i w:val="0"/>
          <w:sz w:val="22"/>
        </w:rPr>
        <w:t>Key Insights for Medical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&amp; RP (60%) dominate → ensures clinical training and impactful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(20%) is customized to include PG and super-specialty graduates, unique to medicine.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&amp; PR (10%) remain consistent across all disciplines.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Lower weight for patents (10%) compared to engineering, since medicine is more research/publication-driven than patent-heavy.</w:t>
      </w:r>
    </w:p>
    <w:p>
      <w:pPr>
        <w:keepNext/>
        <w:spacing w:before="200" w:after="100"/>
      </w:pPr>
      <w:r>
        <w:rPr>
          <w:rFonts w:ascii="Cambria" w:hAnsi="Cambria" w:eastAsia="Cambria"/>
          <w:b/>
          <w:i w:val="0"/>
          <w:color w:val="1F3A5F"/>
          <w:sz w:val="26"/>
        </w:rPr>
        <w:t>NIRF 2024 – Overall vs Medical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778"/>
            <w:shd w:val="clear" w:color="auto" w:fill="1F3A5F"/>
          </w:tcPr>
          <w:p>
            <w:pPr>
              <w:spacing w:after="40" w:line="240" w:lineRule="auto"/>
              <w:jc w:val="center"/>
            </w:pPr>
            <w:r/>
            <w:r>
              <w:rPr>
                <w:rFonts w:ascii="Cambria" w:hAnsi="Cambria" w:eastAsia="Cambria"/>
                <w:b/>
                <w:i w:val="0"/>
                <w:color w:val="FFFFFF"/>
                <w:sz w:val="22"/>
              </w:rPr>
              <w:t>Parameter</w:t>
            </w:r>
          </w:p>
        </w:tc>
        <w:tc>
          <w:tcPr>
            <w:tcW w:type="dxa" w:w="3316"/>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316"/>
            <w:shd w:val="clear" w:color="auto" w:fill="1F3A5F"/>
          </w:tcPr>
          <w:p>
            <w:pPr>
              <w:spacing w:after="40" w:line="240" w:lineRule="auto"/>
              <w:jc w:val="center"/>
            </w:pPr>
            <w:r/>
            <w:r>
              <w:rPr>
                <w:rFonts w:ascii="Cambria" w:hAnsi="Cambria" w:eastAsia="Cambria"/>
                <w:b/>
                <w:i w:val="0"/>
                <w:color w:val="FFFFFF"/>
                <w:sz w:val="22"/>
              </w:rPr>
              <w:t>Medical Framework</w:t>
            </w:r>
          </w:p>
        </w:tc>
      </w:tr>
      <w:tr>
        <w:tc>
          <w:tcPr>
            <w:tcW w:type="dxa" w:w="2778"/>
          </w:tcPr>
          <w:p>
            <w:pPr>
              <w:spacing w:after="40" w:line="240" w:lineRule="auto"/>
              <w:jc w:val="left"/>
            </w:pPr>
            <w:r/>
            <w:r>
              <w:rPr>
                <w:rFonts w:ascii="Cambria" w:hAnsi="Cambria" w:eastAsia="Cambria"/>
                <w:b w:val="0"/>
                <w:i w:val="0"/>
                <w:sz w:val="22"/>
              </w:rPr>
              <w:t>Teaching, Learning &amp; Resources (TLR)</w:t>
              <w:br/>
              <w:t>Weight = 0.30</w:t>
            </w:r>
          </w:p>
        </w:tc>
        <w:tc>
          <w:tcPr>
            <w:tcW w:type="dxa" w:w="3316"/>
          </w:tcPr>
          <w:p>
            <w:pPr>
              <w:spacing w:after="40" w:line="240" w:lineRule="auto"/>
              <w:jc w:val="center"/>
            </w:pPr>
            <w:r/>
            <w:r>
              <w:rPr>
                <w:rFonts w:ascii="Cambria" w:hAnsi="Cambria" w:eastAsia="Cambria"/>
                <w:b w:val="0"/>
                <w:i w:val="0"/>
                <w:sz w:val="22"/>
              </w:rPr>
              <w:t>100 marks</w:t>
              <w:br/>
              <w:t>SS (20)</w:t>
              <w:br/>
              <w:t>FSR (25)</w:t>
              <w:br/>
              <w:t>FQE (20)</w:t>
              <w:br/>
              <w:t>FRU (20)</w:t>
              <w:br/>
              <w:t>OE (10)</w:t>
              <w:br/>
              <w:t>MIR (5)</w:t>
            </w:r>
          </w:p>
        </w:tc>
        <w:tc>
          <w:tcPr>
            <w:tcW w:type="dxa" w:w="3316"/>
          </w:tcPr>
          <w:p>
            <w:pPr>
              <w:spacing w:after="40" w:line="240" w:lineRule="auto"/>
              <w:jc w:val="center"/>
            </w:pPr>
            <w:r/>
            <w:r>
              <w:rPr>
                <w:rFonts w:ascii="Cambria" w:hAnsi="Cambria" w:eastAsia="Cambria"/>
                <w:b w:val="0"/>
                <w:i w:val="0"/>
                <w:sz w:val="22"/>
              </w:rPr>
              <w:t>100 marks</w:t>
              <w:br/>
              <w:t>SS (20)</w:t>
              <w:br/>
              <w:t>FSR (30)</w:t>
              <w:br/>
              <w:t>FQE (20)</w:t>
              <w:br/>
              <w:t>FRU (30)</w:t>
            </w:r>
          </w:p>
        </w:tc>
      </w:tr>
      <w:tr>
        <w:tc>
          <w:tcPr>
            <w:tcW w:type="dxa" w:w="2778"/>
            <w:shd w:val="clear" w:color="auto" w:fill="DCE6F1"/>
          </w:tcPr>
          <w:p>
            <w:pPr>
              <w:spacing w:after="40" w:line="240" w:lineRule="auto"/>
              <w:jc w:val="left"/>
            </w:pPr>
            <w:r/>
            <w:r>
              <w:rPr>
                <w:rFonts w:ascii="Cambria" w:hAnsi="Cambria" w:eastAsia="Cambria"/>
                <w:b w:val="0"/>
                <w:i w:val="0"/>
                <w:sz w:val="22"/>
              </w:rPr>
              <w:t>Research &amp; Professional Practice (RP)</w:t>
              <w:br/>
              <w:t>Weight = 0.30</w:t>
            </w:r>
          </w:p>
        </w:tc>
        <w:tc>
          <w:tcPr>
            <w:tcW w:type="dxa" w:w="3316"/>
            <w:shd w:val="clear" w:color="auto" w:fill="DCE6F1"/>
          </w:tcPr>
          <w:p>
            <w:pPr>
              <w:spacing w:after="40" w:line="240" w:lineRule="auto"/>
              <w:jc w:val="center"/>
            </w:pPr>
            <w:r/>
            <w:r>
              <w:rPr>
                <w:rFonts w:ascii="Cambria" w:hAnsi="Cambria" w:eastAsia="Cambria"/>
                <w:b w:val="0"/>
                <w:i w:val="0"/>
                <w:sz w:val="22"/>
              </w:rPr>
              <w:t>100 marks</w:t>
              <w:br/>
              <w:t>PU (30)</w:t>
              <w:br/>
              <w:t>QP (30)</w:t>
              <w:br/>
              <w:t>IPR (15)</w:t>
              <w:br/>
              <w:t>FPPP (15)</w:t>
              <w:br/>
              <w:t>PSDGs (10)</w:t>
            </w:r>
          </w:p>
        </w:tc>
        <w:tc>
          <w:tcPr>
            <w:tcW w:type="dxa" w:w="3316"/>
            <w:shd w:val="clear" w:color="auto" w:fill="DCE6F1"/>
          </w:tcPr>
          <w:p>
            <w:pPr>
              <w:spacing w:after="40" w:line="240" w:lineRule="auto"/>
              <w:jc w:val="center"/>
            </w:pPr>
            <w:r/>
            <w:r>
              <w:rPr>
                <w:rFonts w:ascii="Cambria" w:hAnsi="Cambria" w:eastAsia="Cambria"/>
                <w:b w:val="0"/>
                <w:i w:val="0"/>
                <w:sz w:val="22"/>
              </w:rPr>
              <w:t>100 marks</w:t>
              <w:br/>
              <w:t>PU (40)</w:t>
              <w:br/>
              <w:t>QP (40)</w:t>
              <w:br/>
              <w:t>IPR (10)</w:t>
              <w:br/>
              <w:t>FPPP (10)</w:t>
            </w:r>
          </w:p>
        </w:tc>
      </w:tr>
      <w:tr>
        <w:tc>
          <w:tcPr>
            <w:tcW w:type="dxa" w:w="2778"/>
          </w:tcPr>
          <w:p>
            <w:pPr>
              <w:spacing w:after="40" w:line="240" w:lineRule="auto"/>
              <w:jc w:val="left"/>
            </w:pPr>
            <w:r/>
            <w:r>
              <w:rPr>
                <w:rFonts w:ascii="Cambria" w:hAnsi="Cambria" w:eastAsia="Cambria"/>
                <w:b w:val="0"/>
                <w:i w:val="0"/>
                <w:sz w:val="22"/>
              </w:rPr>
              <w:t>Graduation Outcomes (GO)</w:t>
              <w:br/>
              <w:t>Weight = 0.20</w:t>
            </w:r>
          </w:p>
        </w:tc>
        <w:tc>
          <w:tcPr>
            <w:tcW w:type="dxa" w:w="3316"/>
          </w:tcPr>
          <w:p>
            <w:pPr>
              <w:spacing w:after="40" w:line="240" w:lineRule="auto"/>
              <w:jc w:val="center"/>
            </w:pPr>
            <w:r/>
            <w:r>
              <w:rPr>
                <w:rFonts w:ascii="Cambria" w:hAnsi="Cambria" w:eastAsia="Cambria"/>
                <w:b w:val="0"/>
                <w:i w:val="0"/>
                <w:sz w:val="22"/>
              </w:rPr>
              <w:t>100 marks</w:t>
              <w:br/>
              <w:t>GUE (60)</w:t>
              <w:br/>
              <w:t>GPHD (40)</w:t>
            </w:r>
          </w:p>
        </w:tc>
        <w:tc>
          <w:tcPr>
            <w:tcW w:type="dxa" w:w="3316"/>
          </w:tcPr>
          <w:p>
            <w:pPr>
              <w:spacing w:after="40" w:line="240" w:lineRule="auto"/>
              <w:jc w:val="center"/>
            </w:pPr>
            <w:r/>
            <w:r>
              <w:rPr>
                <w:rFonts w:ascii="Cambria" w:hAnsi="Cambria" w:eastAsia="Cambria"/>
                <w:b w:val="0"/>
                <w:i w:val="0"/>
                <w:sz w:val="22"/>
              </w:rPr>
              <w:t>100 marks</w:t>
              <w:br/>
              <w:t>GPH (25)</w:t>
              <w:br/>
              <w:t>GUE (25)</w:t>
              <w:br/>
              <w:t>GPG (30)</w:t>
              <w:br/>
              <w:t>GSS (20)</w:t>
            </w:r>
          </w:p>
        </w:tc>
      </w:tr>
      <w:tr>
        <w:tc>
          <w:tcPr>
            <w:tcW w:type="dxa" w:w="2778"/>
            <w:shd w:val="clear" w:color="auto" w:fill="DCE6F1"/>
          </w:tcPr>
          <w:p>
            <w:pPr>
              <w:spacing w:after="40" w:line="240" w:lineRule="auto"/>
              <w:jc w:val="left"/>
            </w:pPr>
            <w:r/>
            <w:r>
              <w:rPr>
                <w:rFonts w:ascii="Cambria" w:hAnsi="Cambria" w:eastAsia="Cambria"/>
                <w:b w:val="0"/>
                <w:i w:val="0"/>
                <w:sz w:val="22"/>
              </w:rPr>
              <w:t>Outreach &amp; Inclusivity (OI)</w:t>
              <w:br/>
              <w:t>Weight = 0.10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r>
      <w:tr>
        <w:tc>
          <w:tcPr>
            <w:tcW w:type="dxa" w:w="2778"/>
          </w:tcPr>
          <w:p>
            <w:pPr>
              <w:spacing w:after="40" w:line="240" w:lineRule="auto"/>
              <w:jc w:val="left"/>
            </w:pPr>
            <w:r/>
            <w:r>
              <w:rPr>
                <w:rFonts w:ascii="Cambria" w:hAnsi="Cambria" w:eastAsia="Cambria"/>
                <w:b w:val="0"/>
                <w:i w:val="0"/>
                <w:sz w:val="22"/>
              </w:rPr>
              <w:t>Perception (PR)</w:t>
              <w:br/>
              <w:t>Weight = 0.10</w:t>
            </w:r>
          </w:p>
        </w:tc>
        <w:tc>
          <w:tcPr>
            <w:tcW w:type="dxa" w:w="3316"/>
          </w:tcPr>
          <w:p>
            <w:pPr>
              <w:spacing w:after="40" w:line="240" w:lineRule="auto"/>
              <w:jc w:val="center"/>
            </w:pPr>
            <w:r/>
            <w:r>
              <w:rPr>
                <w:rFonts w:ascii="Cambria" w:hAnsi="Cambria" w:eastAsia="Cambria"/>
                <w:b w:val="0"/>
                <w:i w:val="0"/>
                <w:sz w:val="22"/>
              </w:rPr>
              <w:t>100 marks</w:t>
              <w:br/>
              <w:t>PR (100)</w:t>
            </w:r>
          </w:p>
        </w:tc>
        <w:tc>
          <w:tcPr>
            <w:tcW w:type="dxa" w:w="3316"/>
          </w:tcPr>
          <w:p>
            <w:pPr>
              <w:spacing w:after="40" w:line="240" w:lineRule="auto"/>
              <w:jc w:val="center"/>
            </w:pPr>
            <w:r/>
            <w:r>
              <w:rPr>
                <w:rFonts w:ascii="Cambria" w:hAnsi="Cambria" w:eastAsia="Cambria"/>
                <w:b w:val="0"/>
                <w:i w:val="0"/>
                <w:sz w:val="22"/>
              </w:rPr>
              <w:t>100 marks</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NEP-linked reforms → Online Education (OE: 10) &amp; MIR (5).</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Medical</w:t>
      </w:r>
      <w:r>
        <w:rPr>
          <w:rFonts w:ascii="Cambria" w:hAnsi="Cambria" w:eastAsia="Cambria"/>
          <w:b w:val="0"/>
          <w:i w:val="0"/>
          <w:sz w:val="22"/>
        </w:rPr>
        <w:t xml:space="preserve"> shifts more weight to FSR (30) and FRU (30), removing OE &amp; MIR.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SDG-related publications (PSDG: 10).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Medical</w:t>
      </w:r>
      <w:r>
        <w:rPr>
          <w:rFonts w:ascii="Cambria" w:hAnsi="Cambria" w:eastAsia="Cambria"/>
          <w:b w:val="0"/>
          <w:i w:val="0"/>
          <w:sz w:val="22"/>
        </w:rPr>
        <w:t xml:space="preserve"> emphasizes Publications (40) &amp; Quality of Publications (40), reducing IPR &amp; FPPP weights (10 each).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only measures University Exams (60) &amp; Ph.D. graduates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Medical</w:t>
      </w:r>
      <w:r>
        <w:rPr>
          <w:rFonts w:ascii="Cambria" w:hAnsi="Cambria" w:eastAsia="Cambria"/>
          <w:b w:val="0"/>
          <w:i w:val="0"/>
          <w:sz w:val="22"/>
        </w:rPr>
        <w:t xml:space="preserve"> customizes for health education with Placements (25), Exams (25), PG graduates (30), and Super-specialty graduates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Both remain identical in Overall and Medical.</w:t>
      </w:r>
    </w:p>
    <w:p>
      <w:r>
        <w:br w:type="page"/>
      </w:r>
    </w:p>
    <w:p>
      <w:pPr>
        <w:keepNext/>
        <w:spacing w:before="360" w:after="160"/>
      </w:pPr>
      <w:r>
        <w:rPr>
          <w:rFonts w:ascii="Cambria" w:hAnsi="Cambria" w:eastAsia="Cambria"/>
          <w:b/>
          <w:i w:val="0"/>
          <w:color w:val="1F3A5F"/>
          <w:sz w:val="36"/>
        </w:rPr>
        <w:t>39. PG Students Graduated (GPG)</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GPG = 30 × f(Npg)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Npg = Average number of PG students graduated (awarded PG degrees) in the previous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balance institutional size differences.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are awarded if Npg ≥ benchmark value set by NIRF (discipline-specific).</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Throughput of PG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academic output of postgraduate programs (M.Tech, M.Sc., MBA, MD, MS,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institution's ability to retain and graduate PG students on time.</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Postgraduate Success Rate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enroll and graduate a steady stream of PG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academic strength, faculty engagement, and research environment.</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Quality Assurance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Graduation rates show the effectiveness of academic delivery, mentoring, and support systems.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PG Students Graduated (past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2020 = 450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2021 = 480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2022 = 500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Average (Npg) = (450+480+500)/3 = 477</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500 students, then normalization f(Npg) = 0.95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GPG = 30 × 0.95 = 28.5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PG graduation numbers (from convocation/annual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students graduating on time are to be counted.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University results, convocation lists, transcripts.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Annual/academic reports submitted to UGC/AICTE/NMC/PCI, etc.</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Highlights the institution's role in producing advanced degree holders.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Shows contribution to the research ecosystem (as many PGs continue into Ph.D. or research careers).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institutional credibility in PG education.</w:t>
      </w:r>
    </w:p>
    <w:p>
      <w:r>
        <w:br w:type="page"/>
      </w:r>
    </w:p>
    <w:p>
      <w:pPr>
        <w:keepNext/>
        <w:spacing w:before="360" w:after="160"/>
      </w:pPr>
      <w:r>
        <w:rPr>
          <w:rFonts w:ascii="Cambria" w:hAnsi="Cambria" w:eastAsia="Cambria"/>
          <w:b/>
          <w:i w:val="0"/>
          <w:color w:val="1F3A5F"/>
          <w:sz w:val="36"/>
        </w:rPr>
        <w:t>40. Super Specialty Students Graduated (GSS)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GSS = 20 × f(Ngss)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Ngss = Average number of super-specialty students graduated (awarded degree/diploma) in the previous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ensure fairness across different institutional sizes and disciplines.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if the average matches/exceeds the NIRF-set benchmark for that discipline (e.g., DM/MCh in Medical Colleges).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Advanced Training Output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the throughput of highly specialized programs such as DM (Doctorate of Medicine), M.Ch. (Master of Chirurgiae), or other equivalent super-specialty programs.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Institutional Contribution to Specialized Healthcare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contribute to critical workforce needs in areas like neurosurgery, cardiology, oncology, nephrology, etc.</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Sustainability of Super-Specialty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institutional capacity to consistently enroll, train, and graduate super-specialty students.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GSS Graduates (past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2020 = 60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2021 = 55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2022 = 70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Average (Ngss) = (60+55+70)/3 = 61.6 ≈ 62</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80 graduates → normalization = 62/80 = 0.775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GSS = 20 × 0.775 = 15.5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number of super-specialty graduates.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count students who graduated on time (stipulated duration).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University examination results, convocation/annual reports, Medical Council/NMC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Clinical board certifications or official degree award records.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institutions excelling in producing highly skilled specialists.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Addresses national healthcare needs where demand &gt; supply (e.g., cardiologists, neurosurgeons).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Boosts institutional standing in medical education &amp; advanced research.</w:t>
      </w:r>
    </w:p>
    <w:p>
      <w:r>
        <w:br w:type="page"/>
      </w:r>
    </w:p>
    <w:p>
      <w:pPr>
        <w:keepNext/>
        <w:spacing w:before="360" w:after="160"/>
      </w:pPr>
      <w:r>
        <w:rPr>
          <w:rFonts w:ascii="Cambria" w:hAnsi="Cambria" w:eastAsia="Cambria"/>
          <w:b/>
          <w:i w:val="0"/>
          <w:color w:val="1F3A5F"/>
          <w:sz w:val="36"/>
        </w:rPr>
        <w:t>41. NIRF 2024 Framework for Colleges</w:t>
      </w:r>
    </w:p>
    <w:p>
      <w:pPr>
        <w:keepNext/>
        <w:spacing w:before="280" w:after="120"/>
      </w:pPr>
      <w:r>
        <w:rPr>
          <w:rFonts w:ascii="Cambria" w:hAnsi="Cambria" w:eastAsia="Cambria"/>
          <w:b/>
          <w:i w:val="0"/>
          <w:color w:val="1F3A5F"/>
          <w:sz w:val="30"/>
        </w:rPr>
        <w:t>1. Teaching, Learning &amp; Resources (TLR) – 100 Marks (Weight: 0.40)</w:t>
      </w:r>
    </w:p>
    <w:p>
      <w:pPr>
        <w:spacing w:after="80" w:line="276" w:lineRule="auto"/>
      </w:pPr>
      <w:r>
        <w:rPr>
          <w:rFonts w:ascii="Cambria" w:hAnsi="Cambria" w:eastAsia="Cambria"/>
          <w:b w:val="0"/>
          <w:i w:val="0"/>
          <w:sz w:val="22"/>
        </w:rPr>
        <w:t>This is the most important parameter for colleges (40%), reflecting emphasis on teaching-learning quality.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enrollment size and utilization of sanctioned student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Balanced representation of UG/PG levels.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Faculty–Student Ratio (FSR)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Adequacy of faculty relative to student strength, with weightage for permanent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Ideal ratio = 1:15 for maximum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with PhD &amp; Experience (FQE)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faculty with PhDs/equivalent.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Accounts for distribution across experience levels (junior, mid, senior).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Utilisation (FRU)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Expenditure on academics, infrastructure, laboratories, and ICT facilities.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Efficiency in using financial resources for quality teaching.</w:t>
      </w:r>
    </w:p>
    <w:p>
      <w:pPr>
        <w:keepNext/>
        <w:spacing w:before="280" w:after="120"/>
      </w:pPr>
      <w:r>
        <w:rPr>
          <w:rFonts w:ascii="Cambria" w:hAnsi="Cambria" w:eastAsia="Cambria"/>
          <w:b/>
          <w:i w:val="0"/>
          <w:color w:val="1F3A5F"/>
          <w:sz w:val="30"/>
        </w:rPr>
        <w:t>2. Research &amp; Professional Practice (RP) – 100 Marks (Weight: 0.15)</w:t>
      </w:r>
    </w:p>
    <w:p>
      <w:pPr>
        <w:spacing w:after="80" w:line="276" w:lineRule="auto"/>
      </w:pPr>
      <w:r>
        <w:rPr>
          <w:rFonts w:ascii="Cambria" w:hAnsi="Cambria" w:eastAsia="Cambria"/>
          <w:b w:val="0"/>
          <w:i w:val="0"/>
          <w:sz w:val="22"/>
        </w:rPr>
        <w:t>Relatively lower weight compared to universities/engineering/management, as colleges are primarily teaching-oriented.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70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number of research publications from faculty in peer-reviewed, indexed journals.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count, top 25% cited papers, and journal quality indices.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impactful rather than just high-volume research.</w:t>
      </w:r>
    </w:p>
    <w:p>
      <w:pPr>
        <w:keepNext/>
        <w:spacing w:before="280" w:after="120"/>
      </w:pPr>
      <w:r>
        <w:rPr>
          <w:rFonts w:ascii="Cambria" w:hAnsi="Cambria" w:eastAsia="Cambria"/>
          <w:b/>
          <w:i w:val="0"/>
          <w:color w:val="1F3A5F"/>
          <w:sz w:val="30"/>
        </w:rPr>
        <w:t>3. Graduation Outcomes (GO) – 100 Marks (Weight: 0.25)</w:t>
      </w:r>
    </w:p>
    <w:p>
      <w:pPr>
        <w:spacing w:after="80" w:line="276" w:lineRule="auto"/>
      </w:pPr>
      <w:r>
        <w:rPr>
          <w:rFonts w:ascii="Cambria" w:hAnsi="Cambria" w:eastAsia="Cambria"/>
          <w:b w:val="0"/>
          <w:i w:val="0"/>
          <w:sz w:val="22"/>
        </w:rPr>
        <w:t>Measures student success in graduation, employability, and higher studies.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Placement &amp; Higher Studies (GPH)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graduates placed in jobs or admitted to PG/doctoral programs.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University Examinations (GUE)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On-time graduation rates (80% benchmark for full score).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Median Salary (GMS)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earning potential of graduates; normalized across regions.</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Focuses on diversity and accessibility in college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Share of students from outside the home state or abroad.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Women students and faculty representation.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Economically &amp; Socially Challenged Students (ESCS)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benefiting from full tuition reimbursement or scholarships.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Facilities for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Accessibility (ramps, lifts, assistive technology, scribe support).</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Reflects reputation of the college among external stakeholders.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Peer Perception (PR)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 feedback from employers, industry leaders, and academic peers.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colleges, perception is heavily influenced by placement quality, alumni reputation, and teaching effectiveness.</w:t>
      </w:r>
    </w:p>
    <w:p>
      <w:pPr>
        <w:spacing w:after="40" w:line="276" w:lineRule="auto"/>
      </w:pPr>
      <w:r>
        <w:rPr>
          <w:rFonts w:ascii="Cambria" w:hAnsi="Cambria" w:eastAsia="Cambria"/>
          <w:b/>
          <w:i w:val="0"/>
          <w:sz w:val="22"/>
        </w:rPr>
        <w:t>Key Insights for College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dominates (40%), reflecting the teaching-centric mission of colleges.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Research weight is smaller (15%) compared to universities, but still incentivizes faculty publications.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(25%) ensures accountability in student outcomes (graduation, higher studies, salary).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 (10% each) ensure inclusivity and reputation are factored in.</w:t>
      </w:r>
    </w:p>
    <w:p>
      <w:pPr>
        <w:keepNext/>
        <w:spacing w:before="200" w:after="100"/>
      </w:pPr>
      <w:r>
        <w:rPr>
          <w:rFonts w:ascii="Cambria" w:hAnsi="Cambria" w:eastAsia="Cambria"/>
          <w:b/>
          <w:i w:val="0"/>
          <w:color w:val="1F3A5F"/>
          <w:sz w:val="26"/>
        </w:rPr>
        <w:t>NIRF 2024 – Overall vs Colleges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778"/>
            <w:shd w:val="clear" w:color="auto" w:fill="1F3A5F"/>
          </w:tcPr>
          <w:p>
            <w:pPr>
              <w:spacing w:after="40" w:line="240" w:lineRule="auto"/>
              <w:jc w:val="center"/>
            </w:pPr>
            <w:r/>
            <w:r>
              <w:rPr>
                <w:rFonts w:ascii="Cambria" w:hAnsi="Cambria" w:eastAsia="Cambria"/>
                <w:b/>
                <w:i w:val="0"/>
                <w:color w:val="FFFFFF"/>
                <w:sz w:val="22"/>
              </w:rPr>
              <w:t>Parameter</w:t>
            </w:r>
          </w:p>
        </w:tc>
        <w:tc>
          <w:tcPr>
            <w:tcW w:type="dxa" w:w="3316"/>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316"/>
            <w:shd w:val="clear" w:color="auto" w:fill="1F3A5F"/>
          </w:tcPr>
          <w:p>
            <w:pPr>
              <w:spacing w:after="40" w:line="240" w:lineRule="auto"/>
              <w:jc w:val="center"/>
            </w:pPr>
            <w:r/>
            <w:r>
              <w:rPr>
                <w:rFonts w:ascii="Cambria" w:hAnsi="Cambria" w:eastAsia="Cambria"/>
                <w:b/>
                <w:i w:val="0"/>
                <w:color w:val="FFFFFF"/>
                <w:sz w:val="22"/>
              </w:rPr>
              <w:t>Colleges Framework</w:t>
            </w:r>
          </w:p>
        </w:tc>
      </w:tr>
      <w:tr>
        <w:tc>
          <w:tcPr>
            <w:tcW w:type="dxa" w:w="2778"/>
          </w:tcPr>
          <w:p>
            <w:pPr>
              <w:spacing w:after="40" w:line="240" w:lineRule="auto"/>
              <w:jc w:val="left"/>
            </w:pPr>
            <w:r/>
            <w:r>
              <w:rPr>
                <w:rFonts w:ascii="Cambria" w:hAnsi="Cambria" w:eastAsia="Cambria"/>
                <w:b w:val="0"/>
                <w:i w:val="0"/>
                <w:sz w:val="22"/>
              </w:rPr>
              <w:t>Teaching, Learning &amp; Resources (TLR)</w:t>
              <w:br/>
              <w:t>Weight = 0.30</w:t>
            </w:r>
          </w:p>
        </w:tc>
        <w:tc>
          <w:tcPr>
            <w:tcW w:type="dxa" w:w="3316"/>
          </w:tcPr>
          <w:p>
            <w:pPr>
              <w:spacing w:after="40" w:line="240" w:lineRule="auto"/>
              <w:jc w:val="center"/>
            </w:pPr>
            <w:r/>
            <w:r>
              <w:rPr>
                <w:rFonts w:ascii="Cambria" w:hAnsi="Cambria" w:eastAsia="Cambria"/>
                <w:b w:val="0"/>
                <w:i w:val="0"/>
                <w:sz w:val="22"/>
              </w:rPr>
              <w:t>100 marks</w:t>
              <w:br/>
              <w:t>SS (20)</w:t>
              <w:br/>
              <w:t>FSR (25)</w:t>
              <w:br/>
              <w:t>FQE (20)</w:t>
              <w:br/>
              <w:t>FRU (20)</w:t>
              <w:br/>
              <w:t>OE (10)</w:t>
              <w:br/>
              <w:t>MIR (5)</w:t>
            </w:r>
          </w:p>
        </w:tc>
        <w:tc>
          <w:tcPr>
            <w:tcW w:type="dxa" w:w="3316"/>
          </w:tcPr>
          <w:p>
            <w:pPr>
              <w:spacing w:after="40" w:line="240" w:lineRule="auto"/>
              <w:jc w:val="center"/>
            </w:pPr>
            <w:r/>
            <w:r>
              <w:rPr>
                <w:rFonts w:ascii="Cambria" w:hAnsi="Cambria" w:eastAsia="Cambria"/>
                <w:b w:val="0"/>
                <w:i w:val="0"/>
                <w:sz w:val="22"/>
              </w:rPr>
              <w:t>100 marks</w:t>
              <w:br/>
              <w:t>SS (20)</w:t>
              <w:br/>
              <w:t>FSR (30)</w:t>
              <w:br/>
              <w:t>FQE (20)</w:t>
              <w:br/>
              <w:t>FRU (30)</w:t>
            </w:r>
          </w:p>
        </w:tc>
      </w:tr>
      <w:tr>
        <w:tc>
          <w:tcPr>
            <w:tcW w:type="dxa" w:w="2778"/>
            <w:shd w:val="clear" w:color="auto" w:fill="DCE6F1"/>
          </w:tcPr>
          <w:p>
            <w:pPr>
              <w:spacing w:after="40" w:line="240" w:lineRule="auto"/>
              <w:jc w:val="left"/>
            </w:pPr>
            <w:r/>
            <w:r>
              <w:rPr>
                <w:rFonts w:ascii="Cambria" w:hAnsi="Cambria" w:eastAsia="Cambria"/>
                <w:b w:val="0"/>
                <w:i w:val="0"/>
                <w:sz w:val="22"/>
              </w:rPr>
              <w:t>Research &amp; Professional Practice (RP)</w:t>
              <w:br/>
              <w:t>Weight = 0.30</w:t>
            </w:r>
          </w:p>
        </w:tc>
        <w:tc>
          <w:tcPr>
            <w:tcW w:type="dxa" w:w="3316"/>
            <w:shd w:val="clear" w:color="auto" w:fill="DCE6F1"/>
          </w:tcPr>
          <w:p>
            <w:pPr>
              <w:spacing w:after="40" w:line="240" w:lineRule="auto"/>
              <w:jc w:val="center"/>
            </w:pPr>
            <w:r/>
            <w:r>
              <w:rPr>
                <w:rFonts w:ascii="Cambria" w:hAnsi="Cambria" w:eastAsia="Cambria"/>
                <w:b w:val="0"/>
                <w:i w:val="0"/>
                <w:sz w:val="22"/>
              </w:rPr>
              <w:t>100 marks</w:t>
              <w:br/>
              <w:t>PU (30)</w:t>
              <w:br/>
              <w:t>QP (30)</w:t>
              <w:br/>
              <w:t>IPR (15)</w:t>
              <w:br/>
              <w:t>FPPP (15)</w:t>
              <w:br/>
              <w:t>PSDGs (10)</w:t>
            </w:r>
          </w:p>
        </w:tc>
        <w:tc>
          <w:tcPr>
            <w:tcW w:type="dxa" w:w="3316"/>
            <w:shd w:val="clear" w:color="auto" w:fill="DCE6F1"/>
          </w:tcPr>
          <w:p>
            <w:pPr>
              <w:spacing w:after="40" w:line="240" w:lineRule="auto"/>
              <w:jc w:val="center"/>
            </w:pPr>
            <w:r/>
            <w:r>
              <w:rPr>
                <w:rFonts w:ascii="Cambria" w:hAnsi="Cambria" w:eastAsia="Cambria"/>
                <w:b w:val="0"/>
                <w:i w:val="0"/>
                <w:sz w:val="22"/>
              </w:rPr>
              <w:t>100 marks</w:t>
              <w:br/>
              <w:t>PU (70)</w:t>
              <w:br/>
              <w:t>QP (30)</w:t>
            </w:r>
          </w:p>
        </w:tc>
      </w:tr>
      <w:tr>
        <w:tc>
          <w:tcPr>
            <w:tcW w:type="dxa" w:w="2778"/>
          </w:tcPr>
          <w:p>
            <w:pPr>
              <w:spacing w:after="40" w:line="240" w:lineRule="auto"/>
              <w:jc w:val="left"/>
            </w:pPr>
            <w:r/>
            <w:r>
              <w:rPr>
                <w:rFonts w:ascii="Cambria" w:hAnsi="Cambria" w:eastAsia="Cambria"/>
                <w:b w:val="0"/>
                <w:i w:val="0"/>
                <w:sz w:val="22"/>
              </w:rPr>
              <w:t>Graduation Outcomes (GO)</w:t>
              <w:br/>
              <w:t>Weight = 0.20</w:t>
            </w:r>
          </w:p>
        </w:tc>
        <w:tc>
          <w:tcPr>
            <w:tcW w:type="dxa" w:w="3316"/>
          </w:tcPr>
          <w:p>
            <w:pPr>
              <w:spacing w:after="40" w:line="240" w:lineRule="auto"/>
              <w:jc w:val="center"/>
            </w:pPr>
            <w:r/>
            <w:r>
              <w:rPr>
                <w:rFonts w:ascii="Cambria" w:hAnsi="Cambria" w:eastAsia="Cambria"/>
                <w:b w:val="0"/>
                <w:i w:val="0"/>
                <w:sz w:val="22"/>
              </w:rPr>
              <w:t>100 marks</w:t>
              <w:br/>
              <w:t>GUE (60)</w:t>
              <w:br/>
              <w:t>GPHD (40)</w:t>
            </w:r>
          </w:p>
        </w:tc>
        <w:tc>
          <w:tcPr>
            <w:tcW w:type="dxa" w:w="3316"/>
          </w:tcPr>
          <w:p>
            <w:pPr>
              <w:spacing w:after="40" w:line="240" w:lineRule="auto"/>
              <w:jc w:val="center"/>
            </w:pPr>
            <w:r/>
            <w:r>
              <w:rPr>
                <w:rFonts w:ascii="Cambria" w:hAnsi="Cambria" w:eastAsia="Cambria"/>
                <w:b w:val="0"/>
                <w:i w:val="0"/>
                <w:sz w:val="22"/>
              </w:rPr>
              <w:t>100 marks</w:t>
              <w:br/>
              <w:t>GPH (40)</w:t>
              <w:br/>
              <w:t>GUE (40)</w:t>
              <w:br/>
              <w:t>GMS (20)</w:t>
            </w:r>
          </w:p>
        </w:tc>
      </w:tr>
      <w:tr>
        <w:tc>
          <w:tcPr>
            <w:tcW w:type="dxa" w:w="2778"/>
            <w:shd w:val="clear" w:color="auto" w:fill="DCE6F1"/>
          </w:tcPr>
          <w:p>
            <w:pPr>
              <w:spacing w:after="40" w:line="240" w:lineRule="auto"/>
              <w:jc w:val="left"/>
            </w:pPr>
            <w:r/>
            <w:r>
              <w:rPr>
                <w:rFonts w:ascii="Cambria" w:hAnsi="Cambria" w:eastAsia="Cambria"/>
                <w:b w:val="0"/>
                <w:i w:val="0"/>
                <w:sz w:val="22"/>
              </w:rPr>
              <w:t>Outreach &amp; Inclusivity (OI)</w:t>
              <w:br/>
              <w:t>Weight = 0.10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r>
      <w:tr>
        <w:tc>
          <w:tcPr>
            <w:tcW w:type="dxa" w:w="2778"/>
          </w:tcPr>
          <w:p>
            <w:pPr>
              <w:spacing w:after="40" w:line="240" w:lineRule="auto"/>
              <w:jc w:val="left"/>
            </w:pPr>
            <w:r/>
            <w:r>
              <w:rPr>
                <w:rFonts w:ascii="Cambria" w:hAnsi="Cambria" w:eastAsia="Cambria"/>
                <w:b w:val="0"/>
                <w:i w:val="0"/>
                <w:sz w:val="22"/>
              </w:rPr>
              <w:t>Perception (PR)</w:t>
              <w:br/>
              <w:t>Weight = 0.10</w:t>
            </w:r>
          </w:p>
        </w:tc>
        <w:tc>
          <w:tcPr>
            <w:tcW w:type="dxa" w:w="3316"/>
          </w:tcPr>
          <w:p>
            <w:pPr>
              <w:spacing w:after="40" w:line="240" w:lineRule="auto"/>
              <w:jc w:val="center"/>
            </w:pPr>
            <w:r/>
            <w:r>
              <w:rPr>
                <w:rFonts w:ascii="Cambria" w:hAnsi="Cambria" w:eastAsia="Cambria"/>
                <w:b w:val="0"/>
                <w:i w:val="0"/>
                <w:sz w:val="22"/>
              </w:rPr>
              <w:t>100 marks</w:t>
              <w:br/>
              <w:t>PR (100)</w:t>
            </w:r>
          </w:p>
        </w:tc>
        <w:tc>
          <w:tcPr>
            <w:tcW w:type="dxa" w:w="3316"/>
          </w:tcPr>
          <w:p>
            <w:pPr>
              <w:spacing w:after="40" w:line="240" w:lineRule="auto"/>
              <w:jc w:val="center"/>
            </w:pPr>
            <w:r/>
            <w:r>
              <w:rPr>
                <w:rFonts w:ascii="Cambria" w:hAnsi="Cambria" w:eastAsia="Cambria"/>
                <w:b w:val="0"/>
                <w:i w:val="0"/>
                <w:sz w:val="22"/>
              </w:rPr>
              <w:t>100 marks</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Online Education (OE: 10) and MIR (5) (aligned with NEP reforms).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Colleges</w:t>
      </w:r>
      <w:r>
        <w:rPr>
          <w:rFonts w:ascii="Cambria" w:hAnsi="Cambria" w:eastAsia="Cambria"/>
          <w:b w:val="0"/>
          <w:i w:val="0"/>
          <w:sz w:val="22"/>
        </w:rPr>
        <w:t xml:space="preserve"> put stronger weight on FSR (30) and FRU (30), removing OE &amp; MIR.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balances Publications, Quality, Patents, Professional Practice, SDG research.</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Colleges</w:t>
      </w:r>
      <w:r>
        <w:rPr>
          <w:rFonts w:ascii="Cambria" w:hAnsi="Cambria" w:eastAsia="Cambria"/>
          <w:b w:val="0"/>
          <w:i w:val="0"/>
          <w:sz w:val="22"/>
        </w:rPr>
        <w:t xml:space="preserve"> focus heavily on Publications (70) with limited weight for Quality (30); no patents/IPR.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Exams (60) + Ph.D. graduates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Colleges</w:t>
      </w:r>
      <w:r>
        <w:rPr>
          <w:rFonts w:ascii="Cambria" w:hAnsi="Cambria" w:eastAsia="Cambria"/>
          <w:b w:val="0"/>
          <w:i w:val="0"/>
          <w:sz w:val="22"/>
        </w:rPr>
        <w:t xml:space="preserve"> = Placements (40) + Exams (40) + Median Salary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Identical across both frameworks.</w:t>
      </w:r>
    </w:p>
    <w:p>
      <w:r>
        <w:br w:type="page"/>
      </w:r>
    </w:p>
    <w:p>
      <w:pPr>
        <w:keepNext/>
        <w:spacing w:before="360" w:after="160"/>
      </w:pPr>
      <w:r>
        <w:rPr>
          <w:rFonts w:ascii="Cambria" w:hAnsi="Cambria" w:eastAsia="Cambria"/>
          <w:b/>
          <w:i w:val="0"/>
          <w:color w:val="1F3A5F"/>
          <w:sz w:val="36"/>
        </w:rPr>
        <w:t>42. NIRF 2024 Framework for Law Institutions</w:t>
      </w:r>
    </w:p>
    <w:p>
      <w:pPr>
        <w:keepNext/>
        <w:spacing w:before="280" w:after="120"/>
      </w:pPr>
      <w:r>
        <w:rPr>
          <w:rFonts w:ascii="Cambria" w:hAnsi="Cambria" w:eastAsia="Cambria"/>
          <w:b/>
          <w:i w:val="0"/>
          <w:color w:val="1F3A5F"/>
          <w:sz w:val="30"/>
        </w:rPr>
        <w:t>1. Teaching, Learning &amp; Resources (TLR) – 100 Marks (Weight: 0.40)</w:t>
      </w:r>
    </w:p>
    <w:p>
      <w:pPr>
        <w:spacing w:after="80" w:line="276" w:lineRule="auto"/>
      </w:pPr>
      <w:r>
        <w:rPr>
          <w:rFonts w:ascii="Cambria" w:hAnsi="Cambria" w:eastAsia="Cambria"/>
          <w:b w:val="0"/>
          <w:i w:val="0"/>
          <w:sz w:val="22"/>
        </w:rPr>
        <w:t>Law rankings place greater emphasis on teaching quality (40%), reflecting the professional and practice-oriented nature of the discipline.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maintain healthy enrollment at UG (LLB), PG (LLM), and Ph.D. levels.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development of doctoral programs in law.</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Faculty–Student Ratio (FSR)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adequacy of permanent law faculty relative to student strength.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marks for a ratio of 1:15 or better.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with PhD &amp; Experience (FQE)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qualifications (Ph.D. or equivalent legal research degrees) and years of teaching/professional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balance between academic knowledge and practical exposure.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Utilisation (FRU)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Per-student spending on libraries, moot court infrastructure, legal databases (HeinOnline, SCC Online, LexisNexis), ICT, and faculty salaries.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commitment to resource-driven quality education.</w:t>
      </w:r>
    </w:p>
    <w:p>
      <w:pPr>
        <w:keepNext/>
        <w:spacing w:before="280" w:after="120"/>
      </w:pPr>
      <w:r>
        <w:rPr>
          <w:rFonts w:ascii="Cambria" w:hAnsi="Cambria" w:eastAsia="Cambria"/>
          <w:b/>
          <w:i w:val="0"/>
          <w:color w:val="1F3A5F"/>
          <w:sz w:val="30"/>
        </w:rPr>
        <w:t>2. Research &amp; Professional Practice (RP) – 100 Marks (Weight: 0.15)</w:t>
      </w:r>
    </w:p>
    <w:p>
      <w:pPr>
        <w:spacing w:after="80" w:line="276" w:lineRule="auto"/>
      </w:pPr>
      <w:r>
        <w:rPr>
          <w:rFonts w:ascii="Cambria" w:hAnsi="Cambria" w:eastAsia="Cambria"/>
          <w:b w:val="0"/>
          <w:i w:val="0"/>
          <w:sz w:val="22"/>
        </w:rPr>
        <w:t>Lower weight than Engineering/Medical, as law institutions are more teaching-focused, but still vital for academic credibility.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50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publications in law journals (indexed databases, UGC-approved, SCOPUS).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interdisciplinary law research in governance, human rights, IP, environmental law.</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counts, peer-reviewed journal reputation, top percentile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global visibility in legal scholarship.</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Footprint of Projects &amp; Professional Practice (FPPP)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Consultancy with government, judiciary, or industry.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Impactful legal aid projects, public policy advisory, and professional training (CLE/MDP programs).</w:t>
      </w:r>
    </w:p>
    <w:p>
      <w:pPr>
        <w:keepNext/>
        <w:spacing w:before="280" w:after="120"/>
      </w:pPr>
      <w:r>
        <w:rPr>
          <w:rFonts w:ascii="Cambria" w:hAnsi="Cambria" w:eastAsia="Cambria"/>
          <w:b/>
          <w:i w:val="0"/>
          <w:color w:val="1F3A5F"/>
          <w:sz w:val="30"/>
        </w:rPr>
        <w:t>3. Graduation Outcomes (GO) – 100 Marks (Weight: 0.25)</w:t>
      </w:r>
    </w:p>
    <w:p>
      <w:pPr>
        <w:spacing w:after="80" w:line="276" w:lineRule="auto"/>
      </w:pPr>
      <w:r>
        <w:rPr>
          <w:rFonts w:ascii="Cambria" w:hAnsi="Cambria" w:eastAsia="Cambria"/>
          <w:b w:val="0"/>
          <w:i w:val="0"/>
          <w:sz w:val="22"/>
        </w:rPr>
        <w:t>Measures employability, career progression, and academic excellence of law graduates.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Placement &amp; Higher Studies (GPH)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graduates placed in law firms, corporate legal teams, judiciary, or admitted to higher studies (LLM/Ph.D.).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University Examinations (GUE) –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Success rate in on-time graduation at UG/PG level.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Median Salary (GMS)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salary offered to placed students, normalized for regional differences.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Ph.D. Students Graduated (GPHD)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with strong doctoral research output in law and allied fields.</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Ensures diversity, access, and inclusivity in law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Attracting students from across India and abroad.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Gender balance in student body and faculty positions, including leadership roles.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Economically &amp; Socially Challenged Students (ESCS)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benefiting from scholarships, tuition reimbursements, and affirmative action.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Facilities for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Accessibility provisions like ramps, assistive technology, scribes, and inclusive hostels.</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Reflects external reputation of law institutions.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Peer Perception (PR)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Surveys of law firms, judiciary, legal academia, alumni, and recruiters.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visibility, graduate quality, and credibility of law schools.</w:t>
      </w:r>
    </w:p>
    <w:p>
      <w:pPr>
        <w:spacing w:after="40" w:line="276" w:lineRule="auto"/>
      </w:pPr>
      <w:r>
        <w:rPr>
          <w:rFonts w:ascii="Cambria" w:hAnsi="Cambria" w:eastAsia="Cambria"/>
          <w:b/>
          <w:i w:val="0"/>
          <w:sz w:val="22"/>
        </w:rPr>
        <w:t>Key Insights for Law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(40%) dominates, showing that law institutions are judged mainly on teaching-learning quality.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(15%) is lighter compared to technical disciplines but still values legal scholarship and policy consultancy.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(25%) emphasizes placements &amp; salaries, critical for law schools with strong corporate and litigation pipelines.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and PR (10%) remain standard across disciplines.</w:t>
      </w:r>
    </w:p>
    <w:p>
      <w:pPr>
        <w:keepNext/>
        <w:spacing w:before="200" w:after="100"/>
      </w:pPr>
      <w:r>
        <w:rPr>
          <w:rFonts w:ascii="Cambria" w:hAnsi="Cambria" w:eastAsia="Cambria"/>
          <w:b/>
          <w:i w:val="0"/>
          <w:color w:val="1F3A5F"/>
          <w:sz w:val="26"/>
        </w:rPr>
        <w:t>NIRF 2024 – Overall vs Law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778"/>
            <w:shd w:val="clear" w:color="auto" w:fill="1F3A5F"/>
          </w:tcPr>
          <w:p>
            <w:pPr>
              <w:spacing w:after="40" w:line="240" w:lineRule="auto"/>
              <w:jc w:val="center"/>
            </w:pPr>
            <w:r/>
            <w:r>
              <w:rPr>
                <w:rFonts w:ascii="Cambria" w:hAnsi="Cambria" w:eastAsia="Cambria"/>
                <w:b/>
                <w:i w:val="0"/>
                <w:color w:val="FFFFFF"/>
                <w:sz w:val="22"/>
              </w:rPr>
              <w:t>Parameter</w:t>
            </w:r>
          </w:p>
        </w:tc>
        <w:tc>
          <w:tcPr>
            <w:tcW w:type="dxa" w:w="3316"/>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316"/>
            <w:shd w:val="clear" w:color="auto" w:fill="1F3A5F"/>
          </w:tcPr>
          <w:p>
            <w:pPr>
              <w:spacing w:after="40" w:line="240" w:lineRule="auto"/>
              <w:jc w:val="center"/>
            </w:pPr>
            <w:r/>
            <w:r>
              <w:rPr>
                <w:rFonts w:ascii="Cambria" w:hAnsi="Cambria" w:eastAsia="Cambria"/>
                <w:b/>
                <w:i w:val="0"/>
                <w:color w:val="FFFFFF"/>
                <w:sz w:val="22"/>
              </w:rPr>
              <w:t>Law Framework</w:t>
            </w:r>
          </w:p>
        </w:tc>
      </w:tr>
      <w:tr>
        <w:tc>
          <w:tcPr>
            <w:tcW w:type="dxa" w:w="2778"/>
          </w:tcPr>
          <w:p>
            <w:pPr>
              <w:spacing w:after="40" w:line="240" w:lineRule="auto"/>
              <w:jc w:val="left"/>
            </w:pPr>
            <w:r/>
            <w:r>
              <w:rPr>
                <w:rFonts w:ascii="Cambria" w:hAnsi="Cambria" w:eastAsia="Cambria"/>
                <w:b w:val="0"/>
                <w:i w:val="0"/>
                <w:sz w:val="22"/>
              </w:rPr>
              <w:t>Teaching, Learning &amp; Resources (TLR)</w:t>
              <w:br/>
              <w:t>Weight = 0.30</w:t>
            </w:r>
          </w:p>
        </w:tc>
        <w:tc>
          <w:tcPr>
            <w:tcW w:type="dxa" w:w="3316"/>
          </w:tcPr>
          <w:p>
            <w:pPr>
              <w:spacing w:after="40" w:line="240" w:lineRule="auto"/>
              <w:jc w:val="center"/>
            </w:pPr>
            <w:r/>
            <w:r>
              <w:rPr>
                <w:rFonts w:ascii="Cambria" w:hAnsi="Cambria" w:eastAsia="Cambria"/>
                <w:b w:val="0"/>
                <w:i w:val="0"/>
                <w:sz w:val="22"/>
              </w:rPr>
              <w:t>100 marks</w:t>
              <w:br/>
              <w:t>SS (20)</w:t>
              <w:br/>
              <w:t>FSR (25)</w:t>
              <w:br/>
              <w:t>FQE (20)</w:t>
              <w:br/>
              <w:t>FRU (20)</w:t>
              <w:br/>
              <w:t>OE (10)</w:t>
              <w:br/>
              <w:t>MIR (5)</w:t>
            </w:r>
          </w:p>
        </w:tc>
        <w:tc>
          <w:tcPr>
            <w:tcW w:type="dxa" w:w="3316"/>
          </w:tcPr>
          <w:p>
            <w:pPr>
              <w:spacing w:after="40" w:line="240" w:lineRule="auto"/>
              <w:jc w:val="center"/>
            </w:pPr>
            <w:r/>
            <w:r>
              <w:rPr>
                <w:rFonts w:ascii="Cambria" w:hAnsi="Cambria" w:eastAsia="Cambria"/>
                <w:b w:val="0"/>
                <w:i w:val="0"/>
                <w:sz w:val="22"/>
              </w:rPr>
              <w:t>100 marks</w:t>
              <w:br/>
              <w:t>SS (20)</w:t>
              <w:br/>
              <w:t>FSR (30)</w:t>
              <w:br/>
              <w:t>FQE (20)</w:t>
              <w:br/>
              <w:t>FRU (30)</w:t>
            </w:r>
          </w:p>
        </w:tc>
      </w:tr>
      <w:tr>
        <w:tc>
          <w:tcPr>
            <w:tcW w:type="dxa" w:w="2778"/>
            <w:shd w:val="clear" w:color="auto" w:fill="DCE6F1"/>
          </w:tcPr>
          <w:p>
            <w:pPr>
              <w:spacing w:after="40" w:line="240" w:lineRule="auto"/>
              <w:jc w:val="left"/>
            </w:pPr>
            <w:r/>
            <w:r>
              <w:rPr>
                <w:rFonts w:ascii="Cambria" w:hAnsi="Cambria" w:eastAsia="Cambria"/>
                <w:b w:val="0"/>
                <w:i w:val="0"/>
                <w:sz w:val="22"/>
              </w:rPr>
              <w:t>Research &amp; Professional Practice (RP)</w:t>
              <w:br/>
              <w:t>Weight = 0.30</w:t>
            </w:r>
          </w:p>
        </w:tc>
        <w:tc>
          <w:tcPr>
            <w:tcW w:type="dxa" w:w="3316"/>
            <w:shd w:val="clear" w:color="auto" w:fill="DCE6F1"/>
          </w:tcPr>
          <w:p>
            <w:pPr>
              <w:spacing w:after="40" w:line="240" w:lineRule="auto"/>
              <w:jc w:val="center"/>
            </w:pPr>
            <w:r/>
            <w:r>
              <w:rPr>
                <w:rFonts w:ascii="Cambria" w:hAnsi="Cambria" w:eastAsia="Cambria"/>
                <w:b w:val="0"/>
                <w:i w:val="0"/>
                <w:sz w:val="22"/>
              </w:rPr>
              <w:t>100 marks</w:t>
              <w:br/>
              <w:t>PU (30)</w:t>
              <w:br/>
              <w:t>QP (30)</w:t>
              <w:br/>
              <w:t>IPR (15)</w:t>
              <w:br/>
              <w:t>FPPP (15)</w:t>
              <w:br/>
              <w:t>PSDGs (10)</w:t>
            </w:r>
          </w:p>
        </w:tc>
        <w:tc>
          <w:tcPr>
            <w:tcW w:type="dxa" w:w="3316"/>
            <w:shd w:val="clear" w:color="auto" w:fill="DCE6F1"/>
          </w:tcPr>
          <w:p>
            <w:pPr>
              <w:spacing w:after="40" w:line="240" w:lineRule="auto"/>
              <w:jc w:val="center"/>
            </w:pPr>
            <w:r/>
            <w:r>
              <w:rPr>
                <w:rFonts w:ascii="Cambria" w:hAnsi="Cambria" w:eastAsia="Cambria"/>
                <w:b w:val="0"/>
                <w:i w:val="0"/>
                <w:sz w:val="22"/>
              </w:rPr>
              <w:t>100 marks</w:t>
              <w:br/>
              <w:t>PU (50)</w:t>
              <w:br/>
              <w:t>QP (30)</w:t>
              <w:br/>
              <w:t>FPPP (20)</w:t>
            </w:r>
          </w:p>
        </w:tc>
      </w:tr>
      <w:tr>
        <w:tc>
          <w:tcPr>
            <w:tcW w:type="dxa" w:w="2778"/>
          </w:tcPr>
          <w:p>
            <w:pPr>
              <w:spacing w:after="40" w:line="240" w:lineRule="auto"/>
              <w:jc w:val="left"/>
            </w:pPr>
            <w:r/>
            <w:r>
              <w:rPr>
                <w:rFonts w:ascii="Cambria" w:hAnsi="Cambria" w:eastAsia="Cambria"/>
                <w:b w:val="0"/>
                <w:i w:val="0"/>
                <w:sz w:val="22"/>
              </w:rPr>
              <w:t>Graduation Outcomes (GO)</w:t>
              <w:br/>
              <w:t>Weight = 0.20</w:t>
            </w:r>
          </w:p>
        </w:tc>
        <w:tc>
          <w:tcPr>
            <w:tcW w:type="dxa" w:w="3316"/>
          </w:tcPr>
          <w:p>
            <w:pPr>
              <w:spacing w:after="40" w:line="240" w:lineRule="auto"/>
              <w:jc w:val="center"/>
            </w:pPr>
            <w:r/>
            <w:r>
              <w:rPr>
                <w:rFonts w:ascii="Cambria" w:hAnsi="Cambria" w:eastAsia="Cambria"/>
                <w:b w:val="0"/>
                <w:i w:val="0"/>
                <w:sz w:val="22"/>
              </w:rPr>
              <w:t>100 marks</w:t>
              <w:br/>
              <w:t>GUE (60)</w:t>
              <w:br/>
              <w:t>GPHD (40)</w:t>
            </w:r>
          </w:p>
        </w:tc>
        <w:tc>
          <w:tcPr>
            <w:tcW w:type="dxa" w:w="3316"/>
          </w:tcPr>
          <w:p>
            <w:pPr>
              <w:spacing w:after="40" w:line="240" w:lineRule="auto"/>
              <w:jc w:val="center"/>
            </w:pPr>
            <w:r/>
            <w:r>
              <w:rPr>
                <w:rFonts w:ascii="Cambria" w:hAnsi="Cambria" w:eastAsia="Cambria"/>
                <w:b w:val="0"/>
                <w:i w:val="0"/>
                <w:sz w:val="22"/>
              </w:rPr>
              <w:t>100 marks</w:t>
              <w:br/>
              <w:t>GPH (40)</w:t>
              <w:br/>
              <w:t>GUE (15)</w:t>
              <w:br/>
              <w:t>GMS (25)</w:t>
              <w:br/>
              <w:t>GPHD (20)</w:t>
            </w:r>
          </w:p>
        </w:tc>
      </w:tr>
      <w:tr>
        <w:tc>
          <w:tcPr>
            <w:tcW w:type="dxa" w:w="2778"/>
            <w:shd w:val="clear" w:color="auto" w:fill="DCE6F1"/>
          </w:tcPr>
          <w:p>
            <w:pPr>
              <w:spacing w:after="40" w:line="240" w:lineRule="auto"/>
              <w:jc w:val="left"/>
            </w:pPr>
            <w:r/>
            <w:r>
              <w:rPr>
                <w:rFonts w:ascii="Cambria" w:hAnsi="Cambria" w:eastAsia="Cambria"/>
                <w:b w:val="0"/>
                <w:i w:val="0"/>
                <w:sz w:val="22"/>
              </w:rPr>
              <w:t>Outreach &amp; Inclusivity (OI)</w:t>
              <w:br/>
              <w:t>Weight = 0.10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r>
      <w:tr>
        <w:tc>
          <w:tcPr>
            <w:tcW w:type="dxa" w:w="2778"/>
          </w:tcPr>
          <w:p>
            <w:pPr>
              <w:spacing w:after="40" w:line="240" w:lineRule="auto"/>
              <w:jc w:val="left"/>
            </w:pPr>
            <w:r/>
            <w:r>
              <w:rPr>
                <w:rFonts w:ascii="Cambria" w:hAnsi="Cambria" w:eastAsia="Cambria"/>
                <w:b w:val="0"/>
                <w:i w:val="0"/>
                <w:sz w:val="22"/>
              </w:rPr>
              <w:t>Perception (PR)</w:t>
              <w:br/>
              <w:t>Weight = 0.10</w:t>
            </w:r>
          </w:p>
        </w:tc>
        <w:tc>
          <w:tcPr>
            <w:tcW w:type="dxa" w:w="3316"/>
          </w:tcPr>
          <w:p>
            <w:pPr>
              <w:spacing w:after="40" w:line="240" w:lineRule="auto"/>
              <w:jc w:val="center"/>
            </w:pPr>
            <w:r/>
            <w:r>
              <w:rPr>
                <w:rFonts w:ascii="Cambria" w:hAnsi="Cambria" w:eastAsia="Cambria"/>
                <w:b w:val="0"/>
                <w:i w:val="0"/>
                <w:sz w:val="22"/>
              </w:rPr>
              <w:t>100 marks</w:t>
              <w:br/>
              <w:t>PR (100)</w:t>
            </w:r>
          </w:p>
        </w:tc>
        <w:tc>
          <w:tcPr>
            <w:tcW w:type="dxa" w:w="3316"/>
          </w:tcPr>
          <w:p>
            <w:pPr>
              <w:spacing w:after="40" w:line="240" w:lineRule="auto"/>
              <w:jc w:val="center"/>
            </w:pPr>
            <w:r/>
            <w:r>
              <w:rPr>
                <w:rFonts w:ascii="Cambria" w:hAnsi="Cambria" w:eastAsia="Cambria"/>
                <w:b w:val="0"/>
                <w:i w:val="0"/>
                <w:sz w:val="22"/>
              </w:rPr>
              <w:t>100 marks</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Online Education (10) and MIR (5).</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Law</w:t>
      </w:r>
      <w:r>
        <w:rPr>
          <w:rFonts w:ascii="Cambria" w:hAnsi="Cambria" w:eastAsia="Cambria"/>
          <w:b w:val="0"/>
          <w:i w:val="0"/>
          <w:sz w:val="22"/>
        </w:rPr>
        <w:t xml:space="preserve"> increases emphasis on FSR (30) and FRU (30), removing OE &amp; MIR.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balances publications, quality, patents, projects, and SDGs.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Law</w:t>
      </w:r>
      <w:r>
        <w:rPr>
          <w:rFonts w:ascii="Cambria" w:hAnsi="Cambria" w:eastAsia="Cambria"/>
          <w:b w:val="0"/>
          <w:i w:val="0"/>
          <w:sz w:val="22"/>
        </w:rPr>
        <w:t xml:space="preserve"> simplifies to Publications (50), Quality (30), and Projects/Practice (20) → patents &amp; SDGs not emphasized.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Exams (60) + Ph.D.s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Law</w:t>
      </w:r>
      <w:r>
        <w:rPr>
          <w:rFonts w:ascii="Cambria" w:hAnsi="Cambria" w:eastAsia="Cambria"/>
          <w:b w:val="0"/>
          <w:i w:val="0"/>
          <w:sz w:val="22"/>
        </w:rPr>
        <w:t xml:space="preserve"> adds placements (40) + median salary (25) while reducing exams (15) and Ph.D.s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Identical across both.</w:t>
      </w:r>
    </w:p>
    <w:p>
      <w:r>
        <w:br w:type="page"/>
      </w:r>
    </w:p>
    <w:p>
      <w:pPr>
        <w:keepNext/>
        <w:spacing w:before="360" w:after="160"/>
      </w:pPr>
      <w:r>
        <w:rPr>
          <w:rFonts w:ascii="Cambria" w:hAnsi="Cambria" w:eastAsia="Cambria"/>
          <w:b/>
          <w:i w:val="0"/>
          <w:color w:val="1F3A5F"/>
          <w:sz w:val="36"/>
        </w:rPr>
        <w:t>43. NIRF 2024 Framework for Pharmacy Institutions</w:t>
      </w:r>
    </w:p>
    <w:p>
      <w:pPr>
        <w:keepNext/>
        <w:spacing w:before="280" w:after="120"/>
      </w:pPr>
      <w:r>
        <w:rPr>
          <w:rFonts w:ascii="Cambria" w:hAnsi="Cambria" w:eastAsia="Cambria"/>
          <w:b/>
          <w:i w:val="0"/>
          <w:color w:val="1F3A5F"/>
          <w:sz w:val="30"/>
        </w:rPr>
        <w:t>1. Teaching, Learning &amp; Resources (TLR) – 100 Marks (Weight: 0.30)</w:t>
      </w:r>
    </w:p>
    <w:p>
      <w:pPr>
        <w:spacing w:after="80" w:line="276" w:lineRule="auto"/>
      </w:pPr>
      <w:r>
        <w:rPr>
          <w:rFonts w:ascii="Cambria" w:hAnsi="Cambria" w:eastAsia="Cambria"/>
          <w:b w:val="0"/>
          <w:i w:val="0"/>
          <w:sz w:val="22"/>
        </w:rPr>
        <w:t>Evaluates the quality of academic environment, faculty, and resources.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Considers UG (B.Pharm), PG (M.Pharm), Ph.D., and doctoral enrollments.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Balanced intake across levels is rewarded.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Faculty–Student Ratio (FSR)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adequacy of permanent faculty relative to student intake.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Ratio of 1:15 is benchmark for maximum marks.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with PhD &amp; Experience (FQE)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PhD-qualified faculty with varied experience levels (junior, mid-career, senior).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retain a mix of research-oriented and experienced teaching faculty.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Utilisation (FRU)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per-student capital and recurring expenditure over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labs, libraries, drug discovery research facilities, instrumentation centers, ICT-enabled classrooms.</w:t>
      </w:r>
    </w:p>
    <w:p>
      <w:pPr>
        <w:keepNext/>
        <w:spacing w:before="280" w:after="120"/>
      </w:pPr>
      <w:r>
        <w:rPr>
          <w:rFonts w:ascii="Cambria" w:hAnsi="Cambria" w:eastAsia="Cambria"/>
          <w:b/>
          <w:i w:val="0"/>
          <w:color w:val="1F3A5F"/>
          <w:sz w:val="30"/>
        </w:rPr>
        <w:t>2. Research &amp; Professional Practice (RP) – 100 Marks (Weight: 0.30)</w:t>
      </w:r>
    </w:p>
    <w:p>
      <w:pPr>
        <w:spacing w:after="80" w:line="276" w:lineRule="auto"/>
      </w:pPr>
      <w:r>
        <w:rPr>
          <w:rFonts w:ascii="Cambria" w:hAnsi="Cambria" w:eastAsia="Cambria"/>
          <w:b w:val="0"/>
          <w:i w:val="0"/>
          <w:sz w:val="22"/>
        </w:rPr>
        <w:t>Pharmacy institutions are expected to contribute heavily to applied research, patents, and industry collaborations.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35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Indexed publications in pharmacology, pharmaceutics, medicinal chemistry, and interdisciplinary sciences.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impact, h-index, top percentile of cited papers, SCOPUS/Web of Science journal indices.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IPR &amp; Patents (IPR) –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filed, published, and granted in drug formulations, delivery systems, biotech innovations.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Granted patents weighted higher.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Projects &amp; Professional Practice (FPPP)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Sponsored projects, consultancy with pharma industry, and revenue from professional programs.</w:t>
      </w:r>
    </w:p>
    <w:p>
      <w:pPr>
        <w:keepNext/>
        <w:spacing w:before="280" w:after="120"/>
      </w:pPr>
      <w:r>
        <w:rPr>
          <w:rFonts w:ascii="Cambria" w:hAnsi="Cambria" w:eastAsia="Cambria"/>
          <w:b/>
          <w:i w:val="0"/>
          <w:color w:val="1F3A5F"/>
          <w:sz w:val="30"/>
        </w:rPr>
        <w:t>3. Graduation Outcomes (GO) – 100 Marks (Weight: 0.20)</w:t>
      </w:r>
    </w:p>
    <w:p>
      <w:pPr>
        <w:spacing w:after="80" w:line="276" w:lineRule="auto"/>
      </w:pPr>
      <w:r>
        <w:rPr>
          <w:rFonts w:ascii="Cambria" w:hAnsi="Cambria" w:eastAsia="Cambria"/>
          <w:b w:val="0"/>
          <w:i w:val="0"/>
          <w:sz w:val="22"/>
        </w:rPr>
        <w:t>Measures success of graduates in career progression and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Placement &amp; Higher Studies (GPH)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B.Pharm/M.Pharm/Ph.D. graduates placed in pharma companies, R&amp;D labs, regulatory agencies, or admitted for higher studies.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University Examinations (GUE) – 15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Success rate in completing degrees within stipulated time (benchmark 80%).</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Median Salary (GMS)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annual salary of placed students.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Ph.D. Students Graduated (GPHD)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number of Ph.D.s awarded in pharma sciences over 3 years.</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Assesses diversity, equity, and inclusivity.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enrolled from outside the home state and from other countries.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Proportion of women students and faculty, including leadership roles.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Economically &amp; Socially Challenged Students (ESCS)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Scholarships, tuition reimbursements, and support for disadvantaged groups.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Accessibility, assistive technology, inclusive infrastructure.</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Reflects reputation of the institution among stakeholders.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Peer Perception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Based on surveys of employers (pharma industry, healthcare, regulatory agencies), academic peers, and research collaborators.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institutional visibility, graduate quality, and brand value.</w:t>
      </w:r>
    </w:p>
    <w:p>
      <w:pPr>
        <w:spacing w:after="40" w:line="276" w:lineRule="auto"/>
      </w:pPr>
      <w:r>
        <w:rPr>
          <w:rFonts w:ascii="Cambria" w:hAnsi="Cambria" w:eastAsia="Cambria"/>
          <w:b/>
          <w:i w:val="0"/>
          <w:sz w:val="22"/>
        </w:rPr>
        <w:t>Key Insights for Pharmacy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Balanced framework: TLR (30%) + RP (30%) dominate, ensuring both teaching quality and research strength are captured.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(20%) emphasizes placements and research outputs, critical for employability in the pharma industry.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Patents &amp; IPR (15% weight) highlight the innovation-driven nature of pharmacy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 (10% each) ensure inclusivity and reputation remain integral.</w:t>
      </w:r>
    </w:p>
    <w:p>
      <w:pPr>
        <w:keepNext/>
        <w:spacing w:before="200" w:after="100"/>
      </w:pPr>
      <w:r>
        <w:rPr>
          <w:rFonts w:ascii="Cambria" w:hAnsi="Cambria" w:eastAsia="Cambria"/>
          <w:b/>
          <w:i w:val="0"/>
          <w:color w:val="1F3A5F"/>
          <w:sz w:val="26"/>
        </w:rPr>
        <w:t>NIRF 2024 – Overall vs Pharmacy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778"/>
            <w:shd w:val="clear" w:color="auto" w:fill="1F3A5F"/>
          </w:tcPr>
          <w:p>
            <w:pPr>
              <w:spacing w:after="40" w:line="240" w:lineRule="auto"/>
              <w:jc w:val="center"/>
            </w:pPr>
            <w:r/>
            <w:r>
              <w:rPr>
                <w:rFonts w:ascii="Cambria" w:hAnsi="Cambria" w:eastAsia="Cambria"/>
                <w:b/>
                <w:i w:val="0"/>
                <w:color w:val="FFFFFF"/>
                <w:sz w:val="22"/>
              </w:rPr>
              <w:t>Parameter</w:t>
            </w:r>
          </w:p>
        </w:tc>
        <w:tc>
          <w:tcPr>
            <w:tcW w:type="dxa" w:w="3316"/>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316"/>
            <w:shd w:val="clear" w:color="auto" w:fill="1F3A5F"/>
          </w:tcPr>
          <w:p>
            <w:pPr>
              <w:spacing w:after="40" w:line="240" w:lineRule="auto"/>
              <w:jc w:val="center"/>
            </w:pPr>
            <w:r/>
            <w:r>
              <w:rPr>
                <w:rFonts w:ascii="Cambria" w:hAnsi="Cambria" w:eastAsia="Cambria"/>
                <w:b/>
                <w:i w:val="0"/>
                <w:color w:val="FFFFFF"/>
                <w:sz w:val="22"/>
              </w:rPr>
              <w:t>Pharmacy Framework</w:t>
            </w:r>
          </w:p>
        </w:tc>
      </w:tr>
      <w:tr>
        <w:tc>
          <w:tcPr>
            <w:tcW w:type="dxa" w:w="2778"/>
          </w:tcPr>
          <w:p>
            <w:pPr>
              <w:spacing w:after="40" w:line="240" w:lineRule="auto"/>
              <w:jc w:val="left"/>
            </w:pPr>
            <w:r/>
            <w:r>
              <w:rPr>
                <w:rFonts w:ascii="Cambria" w:hAnsi="Cambria" w:eastAsia="Cambria"/>
                <w:b w:val="0"/>
                <w:i w:val="0"/>
                <w:sz w:val="22"/>
              </w:rPr>
              <w:t>Teaching, Learning &amp; Resources (TLR)</w:t>
              <w:br/>
              <w:t>Weight = 0.30</w:t>
            </w:r>
          </w:p>
        </w:tc>
        <w:tc>
          <w:tcPr>
            <w:tcW w:type="dxa" w:w="3316"/>
          </w:tcPr>
          <w:p>
            <w:pPr>
              <w:spacing w:after="40" w:line="240" w:lineRule="auto"/>
              <w:jc w:val="center"/>
            </w:pPr>
            <w:r/>
            <w:r>
              <w:rPr>
                <w:rFonts w:ascii="Cambria" w:hAnsi="Cambria" w:eastAsia="Cambria"/>
                <w:b w:val="0"/>
                <w:i w:val="0"/>
                <w:sz w:val="22"/>
              </w:rPr>
              <w:t>100 marks</w:t>
              <w:br/>
              <w:t>SS (20)</w:t>
              <w:br/>
              <w:t>FSR (25)</w:t>
              <w:br/>
              <w:t>FQE (20)</w:t>
              <w:br/>
              <w:t>FRU (20)</w:t>
              <w:br/>
              <w:t>OE (10)</w:t>
              <w:br/>
              <w:t>MIR (5)</w:t>
            </w:r>
          </w:p>
        </w:tc>
        <w:tc>
          <w:tcPr>
            <w:tcW w:type="dxa" w:w="3316"/>
          </w:tcPr>
          <w:p>
            <w:pPr>
              <w:spacing w:after="40" w:line="240" w:lineRule="auto"/>
              <w:jc w:val="center"/>
            </w:pPr>
            <w:r/>
            <w:r>
              <w:rPr>
                <w:rFonts w:ascii="Cambria" w:hAnsi="Cambria" w:eastAsia="Cambria"/>
                <w:b w:val="0"/>
                <w:i w:val="0"/>
                <w:sz w:val="22"/>
              </w:rPr>
              <w:t>100 marks</w:t>
              <w:br/>
              <w:t>SS (20)</w:t>
              <w:br/>
              <w:t>FSR (30)</w:t>
              <w:br/>
              <w:t>FQE (20)</w:t>
              <w:br/>
              <w:t>FRU (30)</w:t>
            </w:r>
          </w:p>
        </w:tc>
      </w:tr>
      <w:tr>
        <w:tc>
          <w:tcPr>
            <w:tcW w:type="dxa" w:w="2778"/>
            <w:shd w:val="clear" w:color="auto" w:fill="DCE6F1"/>
          </w:tcPr>
          <w:p>
            <w:pPr>
              <w:spacing w:after="40" w:line="240" w:lineRule="auto"/>
              <w:jc w:val="left"/>
            </w:pPr>
            <w:r/>
            <w:r>
              <w:rPr>
                <w:rFonts w:ascii="Cambria" w:hAnsi="Cambria" w:eastAsia="Cambria"/>
                <w:b w:val="0"/>
                <w:i w:val="0"/>
                <w:sz w:val="22"/>
              </w:rPr>
              <w:t>Research &amp; Professional Practice (RP)</w:t>
              <w:br/>
              <w:t>Weight = 0.30</w:t>
            </w:r>
          </w:p>
        </w:tc>
        <w:tc>
          <w:tcPr>
            <w:tcW w:type="dxa" w:w="3316"/>
            <w:shd w:val="clear" w:color="auto" w:fill="DCE6F1"/>
          </w:tcPr>
          <w:p>
            <w:pPr>
              <w:spacing w:after="40" w:line="240" w:lineRule="auto"/>
              <w:jc w:val="center"/>
            </w:pPr>
            <w:r/>
            <w:r>
              <w:rPr>
                <w:rFonts w:ascii="Cambria" w:hAnsi="Cambria" w:eastAsia="Cambria"/>
                <w:b w:val="0"/>
                <w:i w:val="0"/>
                <w:sz w:val="22"/>
              </w:rPr>
              <w:t>100 marks</w:t>
              <w:br/>
              <w:t>PU (30)</w:t>
              <w:br/>
              <w:t>QP (30)</w:t>
              <w:br/>
              <w:t>IPR (15)</w:t>
              <w:br/>
              <w:t>FPPP (15)</w:t>
              <w:br/>
              <w:t>PSDGs (10)</w:t>
            </w:r>
          </w:p>
        </w:tc>
        <w:tc>
          <w:tcPr>
            <w:tcW w:type="dxa" w:w="3316"/>
            <w:shd w:val="clear" w:color="auto" w:fill="DCE6F1"/>
          </w:tcPr>
          <w:p>
            <w:pPr>
              <w:spacing w:after="40" w:line="240" w:lineRule="auto"/>
              <w:jc w:val="center"/>
            </w:pPr>
            <w:r/>
            <w:r>
              <w:rPr>
                <w:rFonts w:ascii="Cambria" w:hAnsi="Cambria" w:eastAsia="Cambria"/>
                <w:b w:val="0"/>
                <w:i w:val="0"/>
                <w:sz w:val="22"/>
              </w:rPr>
              <w:t>100 marks</w:t>
              <w:br/>
              <w:t>PU (35)</w:t>
              <w:br/>
              <w:t>QP (40)</w:t>
              <w:br/>
              <w:t>IPR (15)</w:t>
              <w:br/>
              <w:t>FPPP (10)</w:t>
            </w:r>
          </w:p>
        </w:tc>
      </w:tr>
      <w:tr>
        <w:tc>
          <w:tcPr>
            <w:tcW w:type="dxa" w:w="2778"/>
          </w:tcPr>
          <w:p>
            <w:pPr>
              <w:spacing w:after="40" w:line="240" w:lineRule="auto"/>
              <w:jc w:val="left"/>
            </w:pPr>
            <w:r/>
            <w:r>
              <w:rPr>
                <w:rFonts w:ascii="Cambria" w:hAnsi="Cambria" w:eastAsia="Cambria"/>
                <w:b w:val="0"/>
                <w:i w:val="0"/>
                <w:sz w:val="22"/>
              </w:rPr>
              <w:t>Graduation Outcomes (GO)</w:t>
              <w:br/>
              <w:t>Weight = 0.20</w:t>
            </w:r>
          </w:p>
        </w:tc>
        <w:tc>
          <w:tcPr>
            <w:tcW w:type="dxa" w:w="3316"/>
          </w:tcPr>
          <w:p>
            <w:pPr>
              <w:spacing w:after="40" w:line="240" w:lineRule="auto"/>
              <w:jc w:val="center"/>
            </w:pPr>
            <w:r/>
            <w:r>
              <w:rPr>
                <w:rFonts w:ascii="Cambria" w:hAnsi="Cambria" w:eastAsia="Cambria"/>
                <w:b w:val="0"/>
                <w:i w:val="0"/>
                <w:sz w:val="22"/>
              </w:rPr>
              <w:t>100 marks</w:t>
              <w:br/>
              <w:t>GUE (60)</w:t>
              <w:br/>
              <w:t>GPHD (40)</w:t>
            </w:r>
          </w:p>
        </w:tc>
        <w:tc>
          <w:tcPr>
            <w:tcW w:type="dxa" w:w="3316"/>
          </w:tcPr>
          <w:p>
            <w:pPr>
              <w:spacing w:after="40" w:line="240" w:lineRule="auto"/>
              <w:jc w:val="center"/>
            </w:pPr>
            <w:r/>
            <w:r>
              <w:rPr>
                <w:rFonts w:ascii="Cambria" w:hAnsi="Cambria" w:eastAsia="Cambria"/>
                <w:b w:val="0"/>
                <w:i w:val="0"/>
                <w:sz w:val="22"/>
              </w:rPr>
              <w:t>100 marks</w:t>
              <w:br/>
              <w:t>GPH (40)</w:t>
              <w:br/>
              <w:t>GUE (15)</w:t>
              <w:br/>
              <w:t>GMS (25)</w:t>
              <w:br/>
              <w:t>GPHD (20)</w:t>
            </w:r>
          </w:p>
        </w:tc>
      </w:tr>
      <w:tr>
        <w:tc>
          <w:tcPr>
            <w:tcW w:type="dxa" w:w="2778"/>
            <w:shd w:val="clear" w:color="auto" w:fill="DCE6F1"/>
          </w:tcPr>
          <w:p>
            <w:pPr>
              <w:spacing w:after="40" w:line="240" w:lineRule="auto"/>
              <w:jc w:val="left"/>
            </w:pPr>
            <w:r/>
            <w:r>
              <w:rPr>
                <w:rFonts w:ascii="Cambria" w:hAnsi="Cambria" w:eastAsia="Cambria"/>
                <w:b w:val="0"/>
                <w:i w:val="0"/>
                <w:sz w:val="22"/>
              </w:rPr>
              <w:t>Outreach &amp; Inclusivity (OI)</w:t>
              <w:br/>
              <w:t>Weight = 0.10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c>
          <w:tcPr>
            <w:tcW w:type="dxa" w:w="3316"/>
            <w:shd w:val="clear" w:color="auto" w:fill="DCE6F1"/>
          </w:tcPr>
          <w:p>
            <w:pPr>
              <w:spacing w:after="40" w:line="240" w:lineRule="auto"/>
              <w:jc w:val="center"/>
            </w:pPr>
            <w:r/>
            <w:r>
              <w:rPr>
                <w:rFonts w:ascii="Cambria" w:hAnsi="Cambria" w:eastAsia="Cambria"/>
                <w:b w:val="0"/>
                <w:i w:val="0"/>
                <w:sz w:val="22"/>
              </w:rPr>
              <w:t>100 marks</w:t>
              <w:br/>
              <w:t>RD (30)</w:t>
              <w:br/>
              <w:t>WD (30)</w:t>
              <w:br/>
              <w:t>ESCS (20)</w:t>
              <w:br/>
              <w:t>PCS (20)</w:t>
            </w:r>
          </w:p>
        </w:tc>
      </w:tr>
      <w:tr>
        <w:tc>
          <w:tcPr>
            <w:tcW w:type="dxa" w:w="2778"/>
          </w:tcPr>
          <w:p>
            <w:pPr>
              <w:spacing w:after="40" w:line="240" w:lineRule="auto"/>
              <w:jc w:val="left"/>
            </w:pPr>
            <w:r/>
            <w:r>
              <w:rPr>
                <w:rFonts w:ascii="Cambria" w:hAnsi="Cambria" w:eastAsia="Cambria"/>
                <w:b w:val="0"/>
                <w:i w:val="0"/>
                <w:sz w:val="22"/>
              </w:rPr>
              <w:t>Perception (PR)</w:t>
              <w:br/>
              <w:t>Weight = 0.10</w:t>
            </w:r>
          </w:p>
        </w:tc>
        <w:tc>
          <w:tcPr>
            <w:tcW w:type="dxa" w:w="3316"/>
          </w:tcPr>
          <w:p>
            <w:pPr>
              <w:spacing w:after="40" w:line="240" w:lineRule="auto"/>
              <w:jc w:val="center"/>
            </w:pPr>
            <w:r/>
            <w:r>
              <w:rPr>
                <w:rFonts w:ascii="Cambria" w:hAnsi="Cambria" w:eastAsia="Cambria"/>
                <w:b w:val="0"/>
                <w:i w:val="0"/>
                <w:sz w:val="22"/>
              </w:rPr>
              <w:t>100 marks</w:t>
              <w:br/>
              <w:t>PR (100)</w:t>
            </w:r>
          </w:p>
        </w:tc>
        <w:tc>
          <w:tcPr>
            <w:tcW w:type="dxa" w:w="3316"/>
          </w:tcPr>
          <w:p>
            <w:pPr>
              <w:spacing w:after="40" w:line="240" w:lineRule="auto"/>
              <w:jc w:val="center"/>
            </w:pPr>
            <w:r/>
            <w:r>
              <w:rPr>
                <w:rFonts w:ascii="Cambria" w:hAnsi="Cambria" w:eastAsia="Cambria"/>
                <w:b w:val="0"/>
                <w:i w:val="0"/>
                <w:sz w:val="22"/>
              </w:rPr>
              <w:t>100 marks</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NEP reforms: Online Education (10) + MIR (5).</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Pharmacy</w:t>
      </w:r>
      <w:r>
        <w:rPr>
          <w:rFonts w:ascii="Cambria" w:hAnsi="Cambria" w:eastAsia="Cambria"/>
          <w:b w:val="0"/>
          <w:i w:val="0"/>
          <w:sz w:val="22"/>
        </w:rPr>
        <w:t xml:space="preserve"> gives more weight to FSR (30) and FRU (30); excludes OE &amp; MIR.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SDG-based publications (10).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Pharmacy</w:t>
      </w:r>
      <w:r>
        <w:rPr>
          <w:rFonts w:ascii="Cambria" w:hAnsi="Cambria" w:eastAsia="Cambria"/>
          <w:b w:val="0"/>
          <w:i w:val="0"/>
          <w:sz w:val="22"/>
        </w:rPr>
        <w:t xml:space="preserve"> shifts focus to Publications (35) and Quality of Publications (40); keeps IPR (15), but FPPP weight is lower (10).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Exams (60) + Ph.D.s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Pharmacy</w:t>
      </w:r>
      <w:r>
        <w:rPr>
          <w:rFonts w:ascii="Cambria" w:hAnsi="Cambria" w:eastAsia="Cambria"/>
          <w:b w:val="0"/>
          <w:i w:val="0"/>
          <w:sz w:val="22"/>
        </w:rPr>
        <w:t xml:space="preserve"> adds Placements (40) + Median Salary (25) in addition to Exams (15) and Ph.D.s (20).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Identical across both.</w:t>
      </w:r>
    </w:p>
    <w:p>
      <w:r>
        <w:br w:type="page"/>
      </w:r>
    </w:p>
    <w:p>
      <w:pPr>
        <w:keepNext/>
        <w:spacing w:before="360" w:after="160"/>
      </w:pPr>
      <w:r>
        <w:rPr>
          <w:rFonts w:ascii="Cambria" w:hAnsi="Cambria" w:eastAsia="Cambria"/>
          <w:b/>
          <w:i w:val="0"/>
          <w:color w:val="1F3A5F"/>
          <w:sz w:val="36"/>
        </w:rPr>
        <w:t>44. NIRF 2024 Framework for Research Institutions</w:t>
      </w:r>
    </w:p>
    <w:p>
      <w:pPr>
        <w:keepNext/>
        <w:spacing w:before="280" w:after="120"/>
      </w:pPr>
      <w:r>
        <w:rPr>
          <w:rFonts w:ascii="Cambria" w:hAnsi="Cambria" w:eastAsia="Cambria"/>
          <w:b/>
          <w:i w:val="0"/>
          <w:color w:val="1F3A5F"/>
          <w:sz w:val="30"/>
        </w:rPr>
        <w:t>1. Metric for Quantitative Research (QNR) – 100 Marks (Weight: 0.30)</w:t>
      </w:r>
    </w:p>
    <w:p>
      <w:pPr>
        <w:spacing w:after="80" w:line="276" w:lineRule="auto"/>
      </w:pPr>
      <w:r>
        <w:rPr>
          <w:rFonts w:ascii="Cambria" w:hAnsi="Cambria" w:eastAsia="Cambria"/>
          <w:b w:val="0"/>
          <w:i w:val="0"/>
          <w:sz w:val="22"/>
        </w:rPr>
        <w:t>Focuses on the volume and measurable impact of research output.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50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count of research publications in reputed indexed journals (Scopus, WoS).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producing high volume of publications.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Citations Index (CI)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total citations received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Adjusted for faculty strength to ensure fairness across institution size.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Footprint of Projects &amp; Professional Practice (FPPP)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Sponsored research projects, consultancy income, industry/government collaborations.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financial sustainability and real-world impact of research.</w:t>
      </w:r>
    </w:p>
    <w:p>
      <w:pPr>
        <w:keepNext/>
        <w:spacing w:before="280" w:after="120"/>
      </w:pPr>
      <w:r>
        <w:rPr>
          <w:rFonts w:ascii="Cambria" w:hAnsi="Cambria" w:eastAsia="Cambria"/>
          <w:b/>
          <w:i w:val="0"/>
          <w:color w:val="1F3A5F"/>
          <w:sz w:val="30"/>
        </w:rPr>
        <w:t>2. Metric for Qualitative Research (QLR) – 100 Marks (Weight: 0.30)</w:t>
      </w:r>
    </w:p>
    <w:p>
      <w:pPr>
        <w:spacing w:after="80" w:line="276" w:lineRule="auto"/>
      </w:pPr>
      <w:r>
        <w:rPr>
          <w:rFonts w:ascii="Cambria" w:hAnsi="Cambria" w:eastAsia="Cambria"/>
          <w:b w:val="0"/>
          <w:i w:val="0"/>
          <w:sz w:val="22"/>
        </w:rPr>
        <w:t>Evaluates the quality, influence, and innovation of research outputs.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in 1st Quartile JCR (JCRQ1)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papers published in top-quartile (Q1) journals of Journal Citation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prestige and quality of research venues.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Publications in Top 25% (TOP25)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Fraction of publications among the top 25% most cited globally.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highly impactful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IPR &amp; Patents (IPR)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filed, published, and granted.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applied innovation and technology transfer.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H-Index (HI)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sustained research productivity &amp; impact at institutional level.</w:t>
      </w:r>
    </w:p>
    <w:p>
      <w:pPr>
        <w:keepNext/>
        <w:spacing w:before="280" w:after="120"/>
      </w:pPr>
      <w:r>
        <w:rPr>
          <w:rFonts w:ascii="Cambria" w:hAnsi="Cambria" w:eastAsia="Cambria"/>
          <w:b/>
          <w:i w:val="0"/>
          <w:color w:val="1F3A5F"/>
          <w:sz w:val="30"/>
        </w:rPr>
        <w:t>3. Metric for Students &amp; Faculty Contribution (SFC) – 100 Marks (Weight: 0.20)</w:t>
      </w:r>
    </w:p>
    <w:p>
      <w:pPr>
        <w:spacing w:after="80" w:line="276" w:lineRule="auto"/>
      </w:pPr>
      <w:r>
        <w:rPr>
          <w:rFonts w:ascii="Cambria" w:hAnsi="Cambria" w:eastAsia="Cambria"/>
          <w:b w:val="0"/>
          <w:i w:val="0"/>
          <w:sz w:val="22"/>
        </w:rPr>
        <w:t>Assesses capacity building and contribution of human resources in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Faculty with PhD &amp; Experience (FQE)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Share of highly qualified and experienced research faculty.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Student Strength (SS)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number of doctoral and postdoctoral students engaged in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Ph.D. Students Graduated (GPHD)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number of doctoral graduates in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pipeline of trained researchers.</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Ensures research institutions maintain diversity and accessibility.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Share of students from other states/countries.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Women researchers and faculty representation.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SC/ST Students (SCTS)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Enrollment and participation of underrepresented groups.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Facilities for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Infrastructure and support for differently-abled researchers.</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Measures external recognition and reputation.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Peer Perception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Based on surveys of academic peers, employers, industry leaders, research collaborators.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reputation in terms of research excellence, innovation, and contributions to society.</w:t>
      </w:r>
    </w:p>
    <w:p>
      <w:pPr>
        <w:spacing w:after="40" w:line="276" w:lineRule="auto"/>
      </w:pPr>
      <w:r>
        <w:rPr>
          <w:rFonts w:ascii="Cambria" w:hAnsi="Cambria" w:eastAsia="Cambria"/>
          <w:b/>
          <w:i w:val="0"/>
          <w:sz w:val="22"/>
        </w:rPr>
        <w:t>Key Insights for Research Institution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Research dominates (QNR + QLR = 60%), highlighting the primary mission of research institutes.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SFC (20%) ensures balance by rewarding faculty strength, Ph.D. training, and student participation.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ensures inclusivity in advanced research participation.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(10%) reflects national/international reputation, making external validation significant.</w:t>
      </w:r>
    </w:p>
    <w:p>
      <w:pPr>
        <w:keepNext/>
        <w:spacing w:before="200" w:after="100"/>
      </w:pPr>
      <w:r>
        <w:rPr>
          <w:rFonts w:ascii="Cambria" w:hAnsi="Cambria" w:eastAsia="Cambria"/>
          <w:b/>
          <w:i w:val="0"/>
          <w:color w:val="1F3A5F"/>
          <w:sz w:val="26"/>
        </w:rPr>
        <w:t>NIRF 2024 – Research Institutions vs Overall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438"/>
            <w:shd w:val="clear" w:color="auto" w:fill="1F3A5F"/>
          </w:tcPr>
          <w:p>
            <w:pPr>
              <w:spacing w:after="40" w:line="240" w:lineRule="auto"/>
              <w:jc w:val="center"/>
            </w:pPr>
            <w:r/>
            <w:r>
              <w:rPr>
                <w:rFonts w:ascii="Cambria" w:hAnsi="Cambria" w:eastAsia="Cambria"/>
                <w:b/>
                <w:i w:val="0"/>
                <w:color w:val="FFFFFF"/>
                <w:sz w:val="22"/>
              </w:rPr>
              <w:t>Parameter</w:t>
            </w:r>
          </w:p>
        </w:tc>
        <w:tc>
          <w:tcPr>
            <w:tcW w:type="dxa" w:w="3487"/>
            <w:shd w:val="clear" w:color="auto" w:fill="1F3A5F"/>
          </w:tcPr>
          <w:p>
            <w:pPr>
              <w:spacing w:after="40" w:line="240" w:lineRule="auto"/>
              <w:jc w:val="center"/>
            </w:pPr>
            <w:r/>
            <w:r>
              <w:rPr>
                <w:rFonts w:ascii="Cambria" w:hAnsi="Cambria" w:eastAsia="Cambria"/>
                <w:b/>
                <w:i w:val="0"/>
                <w:color w:val="FFFFFF"/>
                <w:sz w:val="22"/>
              </w:rPr>
              <w:t>Research Institutions Framework</w:t>
            </w:r>
          </w:p>
        </w:tc>
        <w:tc>
          <w:tcPr>
            <w:tcW w:type="dxa" w:w="3487"/>
            <w:shd w:val="clear" w:color="auto" w:fill="1F3A5F"/>
          </w:tcPr>
          <w:p>
            <w:pPr>
              <w:spacing w:after="40" w:line="240" w:lineRule="auto"/>
              <w:jc w:val="center"/>
            </w:pPr>
            <w:r/>
            <w:r>
              <w:rPr>
                <w:rFonts w:ascii="Cambria" w:hAnsi="Cambria" w:eastAsia="Cambria"/>
                <w:b/>
                <w:i w:val="0"/>
                <w:color w:val="FFFFFF"/>
                <w:sz w:val="22"/>
              </w:rPr>
              <w:t>Overall Framework</w:t>
            </w:r>
          </w:p>
        </w:tc>
      </w:tr>
      <w:tr>
        <w:tc>
          <w:tcPr>
            <w:tcW w:type="dxa" w:w="2438"/>
          </w:tcPr>
          <w:p>
            <w:pPr>
              <w:spacing w:after="40" w:line="240" w:lineRule="auto"/>
              <w:jc w:val="left"/>
            </w:pPr>
            <w:r/>
            <w:r>
              <w:rPr>
                <w:rFonts w:ascii="Cambria" w:hAnsi="Cambria" w:eastAsia="Cambria"/>
                <w:b w:val="0"/>
                <w:i w:val="0"/>
                <w:sz w:val="22"/>
              </w:rPr>
              <w:t>Teaching, Learning &amp; Resources (TLR)</w:t>
            </w:r>
          </w:p>
        </w:tc>
        <w:tc>
          <w:tcPr>
            <w:tcW w:type="dxa" w:w="3487"/>
          </w:tcPr>
          <w:p>
            <w:pPr>
              <w:spacing w:after="40" w:line="240" w:lineRule="auto"/>
              <w:jc w:val="center"/>
            </w:pPr>
            <w:r/>
            <w:r>
              <w:rPr>
                <w:rFonts w:ascii="Cambria" w:hAnsi="Cambria" w:eastAsia="Cambria"/>
                <w:b w:val="0"/>
                <w:i w:val="0"/>
                <w:sz w:val="22"/>
              </w:rPr>
              <w:t>Not applicable</w:t>
            </w:r>
          </w:p>
        </w:tc>
        <w:tc>
          <w:tcPr>
            <w:tcW w:type="dxa" w:w="3487"/>
          </w:tcPr>
          <w:p>
            <w:pPr>
              <w:spacing w:after="40" w:line="240" w:lineRule="auto"/>
              <w:jc w:val="center"/>
            </w:pPr>
            <w:r/>
            <w:r>
              <w:rPr>
                <w:rFonts w:ascii="Cambria" w:hAnsi="Cambria" w:eastAsia="Cambria"/>
                <w:b w:val="0"/>
                <w:i w:val="0"/>
                <w:sz w:val="22"/>
              </w:rPr>
              <w:t>100 marks (30%)</w:t>
              <w:br/>
              <w:t>SS (20)</w:t>
              <w:br/>
              <w:t>FSR (25)</w:t>
              <w:br/>
              <w:t>FQE (20)</w:t>
              <w:br/>
              <w:t>FRU (20)</w:t>
              <w:br/>
              <w:t>OE (10)</w:t>
              <w:br/>
              <w:t>MIR (5)</w:t>
            </w:r>
          </w:p>
        </w:tc>
      </w:tr>
      <w:tr>
        <w:tc>
          <w:tcPr>
            <w:tcW w:type="dxa" w:w="2438"/>
            <w:shd w:val="clear" w:color="auto" w:fill="DCE6F1"/>
          </w:tcPr>
          <w:p>
            <w:pPr>
              <w:spacing w:after="40" w:line="240" w:lineRule="auto"/>
              <w:jc w:val="left"/>
            </w:pPr>
            <w:r/>
            <w:r>
              <w:rPr>
                <w:rFonts w:ascii="Cambria" w:hAnsi="Cambria" w:eastAsia="Cambria"/>
                <w:b w:val="0"/>
                <w:i w:val="0"/>
                <w:sz w:val="22"/>
              </w:rPr>
              <w:t>Quantitative Research (QNR)</w:t>
              <w:br/>
              <w:t>Weight = 0.30</w:t>
            </w:r>
          </w:p>
        </w:tc>
        <w:tc>
          <w:tcPr>
            <w:tcW w:type="dxa" w:w="3487"/>
            <w:shd w:val="clear" w:color="auto" w:fill="DCE6F1"/>
          </w:tcPr>
          <w:p>
            <w:pPr>
              <w:spacing w:after="40" w:line="240" w:lineRule="auto"/>
              <w:jc w:val="center"/>
            </w:pPr>
            <w:r/>
            <w:r>
              <w:rPr>
                <w:rFonts w:ascii="Cambria" w:hAnsi="Cambria" w:eastAsia="Cambria"/>
                <w:b w:val="0"/>
                <w:i w:val="0"/>
                <w:sz w:val="22"/>
              </w:rPr>
              <w:t>100 marks</w:t>
              <w:br/>
              <w:t>Publications (PU – 50)</w:t>
              <w:br/>
              <w:t>Citations Index (CI – 25)</w:t>
              <w:br/>
              <w:t>Projects/Practice (FPPP – 25)</w:t>
            </w:r>
          </w:p>
        </w:tc>
        <w:tc>
          <w:tcPr>
            <w:tcW w:type="dxa" w:w="3487"/>
            <w:shd w:val="clear" w:color="auto" w:fill="DCE6F1"/>
          </w:tcPr>
          <w:p>
            <w:pPr>
              <w:spacing w:after="40" w:line="240" w:lineRule="auto"/>
              <w:jc w:val="center"/>
            </w:pPr>
            <w:r/>
            <w:r>
              <w:rPr>
                <w:rFonts w:ascii="Cambria" w:hAnsi="Cambria" w:eastAsia="Cambria"/>
                <w:b w:val="0"/>
                <w:i w:val="0"/>
                <w:sz w:val="22"/>
              </w:rPr>
              <w:t>–</w:t>
            </w:r>
          </w:p>
        </w:tc>
      </w:tr>
      <w:tr>
        <w:tc>
          <w:tcPr>
            <w:tcW w:type="dxa" w:w="2438"/>
          </w:tcPr>
          <w:p>
            <w:pPr>
              <w:spacing w:after="40" w:line="240" w:lineRule="auto"/>
              <w:jc w:val="left"/>
            </w:pPr>
            <w:r/>
            <w:r>
              <w:rPr>
                <w:rFonts w:ascii="Cambria" w:hAnsi="Cambria" w:eastAsia="Cambria"/>
                <w:b w:val="0"/>
                <w:i w:val="0"/>
                <w:sz w:val="22"/>
              </w:rPr>
              <w:t>Qualitative Research (QLR)</w:t>
              <w:br/>
              <w:t>Weight = 0.30</w:t>
            </w:r>
          </w:p>
        </w:tc>
        <w:tc>
          <w:tcPr>
            <w:tcW w:type="dxa" w:w="3487"/>
          </w:tcPr>
          <w:p>
            <w:pPr>
              <w:spacing w:after="40" w:line="240" w:lineRule="auto"/>
              <w:jc w:val="center"/>
            </w:pPr>
            <w:r/>
            <w:r>
              <w:rPr>
                <w:rFonts w:ascii="Cambria" w:hAnsi="Cambria" w:eastAsia="Cambria"/>
                <w:b w:val="0"/>
                <w:i w:val="0"/>
                <w:sz w:val="22"/>
              </w:rPr>
              <w:t>100 marks</w:t>
              <w:br/>
              <w:t>Q1 Journals (JCRQ1 – 30)</w:t>
              <w:br/>
              <w:t>Top 25% Publications (TOP25 – 30)</w:t>
              <w:br/>
              <w:t>IPR &amp; Patents (20)</w:t>
              <w:br/>
              <w:t>H-Index (20)</w:t>
            </w:r>
          </w:p>
        </w:tc>
        <w:tc>
          <w:tcPr>
            <w:tcW w:type="dxa" w:w="3487"/>
          </w:tcPr>
          <w:p>
            <w:pPr>
              <w:spacing w:after="40" w:line="240" w:lineRule="auto"/>
              <w:jc w:val="center"/>
            </w:pPr>
            <w:r/>
            <w:r>
              <w:rPr>
                <w:rFonts w:ascii="Cambria" w:hAnsi="Cambria" w:eastAsia="Cambria"/>
                <w:b w:val="0"/>
                <w:i w:val="0"/>
                <w:sz w:val="22"/>
              </w:rPr>
              <w:t>–</w:t>
            </w:r>
          </w:p>
        </w:tc>
      </w:tr>
      <w:tr>
        <w:tc>
          <w:tcPr>
            <w:tcW w:type="dxa" w:w="2438"/>
            <w:shd w:val="clear" w:color="auto" w:fill="DCE6F1"/>
          </w:tcPr>
          <w:p>
            <w:pPr>
              <w:spacing w:after="40" w:line="240" w:lineRule="auto"/>
              <w:jc w:val="left"/>
            </w:pPr>
            <w:r/>
            <w:r>
              <w:rPr>
                <w:rFonts w:ascii="Cambria" w:hAnsi="Cambria" w:eastAsia="Cambria"/>
                <w:b w:val="0"/>
                <w:i w:val="0"/>
                <w:sz w:val="22"/>
              </w:rPr>
              <w:t>Research &amp; Professional Practice (RP)</w:t>
            </w:r>
          </w:p>
        </w:tc>
        <w:tc>
          <w:tcPr>
            <w:tcW w:type="dxa" w:w="3487"/>
            <w:shd w:val="clear" w:color="auto" w:fill="DCE6F1"/>
          </w:tcPr>
          <w:p>
            <w:pPr>
              <w:spacing w:after="40" w:line="240" w:lineRule="auto"/>
              <w:jc w:val="center"/>
            </w:pPr>
            <w:r/>
            <w:r>
              <w:rPr>
                <w:rFonts w:ascii="Cambria" w:hAnsi="Cambria" w:eastAsia="Cambria"/>
                <w:b w:val="0"/>
                <w:i w:val="0"/>
                <w:sz w:val="22"/>
              </w:rPr>
              <w:t>–</w:t>
            </w:r>
          </w:p>
        </w:tc>
        <w:tc>
          <w:tcPr>
            <w:tcW w:type="dxa" w:w="3487"/>
            <w:shd w:val="clear" w:color="auto" w:fill="DCE6F1"/>
          </w:tcPr>
          <w:p>
            <w:pPr>
              <w:spacing w:after="40" w:line="240" w:lineRule="auto"/>
              <w:jc w:val="center"/>
            </w:pPr>
            <w:r/>
            <w:r>
              <w:rPr>
                <w:rFonts w:ascii="Cambria" w:hAnsi="Cambria" w:eastAsia="Cambria"/>
                <w:b w:val="0"/>
                <w:i w:val="0"/>
                <w:sz w:val="22"/>
              </w:rPr>
              <w:t>100 marks (30%)</w:t>
              <w:br/>
              <w:t>PU (30)</w:t>
              <w:br/>
              <w:t>QP (30)</w:t>
              <w:br/>
              <w:t>IPR (15)</w:t>
              <w:br/>
              <w:t>FPPP (15)</w:t>
              <w:br/>
              <w:t>PSDGs (10)</w:t>
            </w:r>
          </w:p>
        </w:tc>
      </w:tr>
      <w:tr>
        <w:tc>
          <w:tcPr>
            <w:tcW w:type="dxa" w:w="2438"/>
          </w:tcPr>
          <w:p>
            <w:pPr>
              <w:spacing w:after="40" w:line="240" w:lineRule="auto"/>
              <w:jc w:val="left"/>
            </w:pPr>
            <w:r/>
            <w:r>
              <w:rPr>
                <w:rFonts w:ascii="Cambria" w:hAnsi="Cambria" w:eastAsia="Cambria"/>
                <w:b w:val="0"/>
                <w:i w:val="0"/>
                <w:sz w:val="22"/>
              </w:rPr>
              <w:t>Students &amp; Faculty Contribution (SFC)</w:t>
              <w:br/>
              <w:t>Weight = 0.20</w:t>
            </w:r>
          </w:p>
        </w:tc>
        <w:tc>
          <w:tcPr>
            <w:tcW w:type="dxa" w:w="3487"/>
          </w:tcPr>
          <w:p>
            <w:pPr>
              <w:spacing w:after="40" w:line="240" w:lineRule="auto"/>
              <w:jc w:val="center"/>
            </w:pPr>
            <w:r/>
            <w:r>
              <w:rPr>
                <w:rFonts w:ascii="Cambria" w:hAnsi="Cambria" w:eastAsia="Cambria"/>
                <w:b w:val="0"/>
                <w:i w:val="0"/>
                <w:sz w:val="22"/>
              </w:rPr>
              <w:t>100 marks</w:t>
              <w:br/>
              <w:t>FQE (40)</w:t>
              <w:br/>
              <w:t>Student Strength (30)</w:t>
              <w:br/>
              <w:t>Ph.D. Graduates (30)</w:t>
            </w:r>
          </w:p>
        </w:tc>
        <w:tc>
          <w:tcPr>
            <w:tcW w:type="dxa" w:w="3487"/>
          </w:tcPr>
          <w:p>
            <w:pPr>
              <w:spacing w:after="40" w:line="240" w:lineRule="auto"/>
              <w:jc w:val="center"/>
            </w:pPr>
            <w:r/>
            <w:r>
              <w:rPr>
                <w:rFonts w:ascii="Cambria" w:hAnsi="Cambria" w:eastAsia="Cambria"/>
                <w:b w:val="0"/>
                <w:i w:val="0"/>
                <w:sz w:val="22"/>
              </w:rPr>
              <w:t>–</w:t>
            </w:r>
          </w:p>
        </w:tc>
      </w:tr>
      <w:tr>
        <w:tc>
          <w:tcPr>
            <w:tcW w:type="dxa" w:w="2438"/>
            <w:shd w:val="clear" w:color="auto" w:fill="DCE6F1"/>
          </w:tcPr>
          <w:p>
            <w:pPr>
              <w:spacing w:after="40" w:line="240" w:lineRule="auto"/>
              <w:jc w:val="left"/>
            </w:pPr>
            <w:r/>
            <w:r>
              <w:rPr>
                <w:rFonts w:ascii="Cambria" w:hAnsi="Cambria" w:eastAsia="Cambria"/>
                <w:b w:val="0"/>
                <w:i w:val="0"/>
                <w:sz w:val="22"/>
              </w:rPr>
              <w:t>Graduation Outcomes (GO)</w:t>
            </w:r>
          </w:p>
        </w:tc>
        <w:tc>
          <w:tcPr>
            <w:tcW w:type="dxa" w:w="3487"/>
            <w:shd w:val="clear" w:color="auto" w:fill="DCE6F1"/>
          </w:tcPr>
          <w:p>
            <w:pPr>
              <w:spacing w:after="40" w:line="240" w:lineRule="auto"/>
              <w:jc w:val="center"/>
            </w:pPr>
            <w:r/>
            <w:r>
              <w:rPr>
                <w:rFonts w:ascii="Cambria" w:hAnsi="Cambria" w:eastAsia="Cambria"/>
                <w:b w:val="0"/>
                <w:i w:val="0"/>
                <w:sz w:val="22"/>
              </w:rPr>
              <w:t>–</w:t>
            </w:r>
          </w:p>
        </w:tc>
        <w:tc>
          <w:tcPr>
            <w:tcW w:type="dxa" w:w="3487"/>
            <w:shd w:val="clear" w:color="auto" w:fill="DCE6F1"/>
          </w:tcPr>
          <w:p>
            <w:pPr>
              <w:spacing w:after="40" w:line="240" w:lineRule="auto"/>
              <w:jc w:val="center"/>
            </w:pPr>
            <w:r/>
            <w:r>
              <w:rPr>
                <w:rFonts w:ascii="Cambria" w:hAnsi="Cambria" w:eastAsia="Cambria"/>
                <w:b w:val="0"/>
                <w:i w:val="0"/>
                <w:sz w:val="22"/>
              </w:rPr>
              <w:t>100 marks (20%)</w:t>
              <w:br/>
              <w:t>GUE (60)</w:t>
              <w:br/>
              <w:t>GPHD (40)</w:t>
            </w:r>
          </w:p>
        </w:tc>
      </w:tr>
      <w:tr>
        <w:tc>
          <w:tcPr>
            <w:tcW w:type="dxa" w:w="2438"/>
          </w:tcPr>
          <w:p>
            <w:pPr>
              <w:spacing w:after="40" w:line="240" w:lineRule="auto"/>
              <w:jc w:val="left"/>
            </w:pPr>
            <w:r/>
            <w:r>
              <w:rPr>
                <w:rFonts w:ascii="Cambria" w:hAnsi="Cambria" w:eastAsia="Cambria"/>
                <w:b w:val="0"/>
                <w:i w:val="0"/>
                <w:sz w:val="22"/>
              </w:rPr>
              <w:t>Outreach &amp; Inclusivity (OI)</w:t>
              <w:br/>
              <w:t>Weight = 0.10</w:t>
            </w:r>
          </w:p>
        </w:tc>
        <w:tc>
          <w:tcPr>
            <w:tcW w:type="dxa" w:w="3487"/>
          </w:tcPr>
          <w:p>
            <w:pPr>
              <w:spacing w:after="40" w:line="240" w:lineRule="auto"/>
              <w:jc w:val="center"/>
            </w:pPr>
            <w:r/>
            <w:r>
              <w:rPr>
                <w:rFonts w:ascii="Cambria" w:hAnsi="Cambria" w:eastAsia="Cambria"/>
                <w:b w:val="0"/>
                <w:i w:val="0"/>
                <w:sz w:val="22"/>
              </w:rPr>
              <w:t>100 marks</w:t>
              <w:br/>
              <w:t>RD (30)</w:t>
              <w:br/>
              <w:t>WD (30)</w:t>
              <w:br/>
              <w:t>SC/ST (20)</w:t>
              <w:br/>
              <w:t>PCS (20)</w:t>
            </w:r>
          </w:p>
        </w:tc>
        <w:tc>
          <w:tcPr>
            <w:tcW w:type="dxa" w:w="3487"/>
          </w:tcPr>
          <w:p>
            <w:pPr>
              <w:spacing w:after="40" w:line="240" w:lineRule="auto"/>
              <w:jc w:val="center"/>
            </w:pPr>
            <w:r/>
            <w:r>
              <w:rPr>
                <w:rFonts w:ascii="Cambria" w:hAnsi="Cambria" w:eastAsia="Cambria"/>
                <w:b w:val="0"/>
                <w:i w:val="0"/>
                <w:sz w:val="22"/>
              </w:rPr>
              <w:t>100 marks (10%)</w:t>
              <w:br/>
              <w:t>RD (30)</w:t>
              <w:br/>
              <w:t>WD (30)</w:t>
              <w:br/>
              <w:t>ESCS (20)</w:t>
              <w:br/>
              <w:t>PCS (20)</w:t>
            </w:r>
          </w:p>
        </w:tc>
      </w:tr>
      <w:tr>
        <w:tc>
          <w:tcPr>
            <w:tcW w:type="dxa" w:w="2438"/>
            <w:shd w:val="clear" w:color="auto" w:fill="DCE6F1"/>
          </w:tcPr>
          <w:p>
            <w:pPr>
              <w:spacing w:after="40" w:line="240" w:lineRule="auto"/>
              <w:jc w:val="left"/>
            </w:pPr>
            <w:r/>
            <w:r>
              <w:rPr>
                <w:rFonts w:ascii="Cambria" w:hAnsi="Cambria" w:eastAsia="Cambria"/>
                <w:b w:val="0"/>
                <w:i w:val="0"/>
                <w:sz w:val="22"/>
              </w:rPr>
              <w:t>Perception (PR)</w:t>
              <w:br/>
              <w:t>Weight = 0.10</w:t>
            </w:r>
          </w:p>
        </w:tc>
        <w:tc>
          <w:tcPr>
            <w:tcW w:type="dxa" w:w="3487"/>
            <w:shd w:val="clear" w:color="auto" w:fill="DCE6F1"/>
          </w:tcPr>
          <w:p>
            <w:pPr>
              <w:spacing w:after="40" w:line="240" w:lineRule="auto"/>
              <w:jc w:val="center"/>
            </w:pPr>
            <w:r/>
            <w:r>
              <w:rPr>
                <w:rFonts w:ascii="Cambria" w:hAnsi="Cambria" w:eastAsia="Cambria"/>
                <w:b w:val="0"/>
                <w:i w:val="0"/>
                <w:sz w:val="22"/>
              </w:rPr>
              <w:t>100 marks</w:t>
              <w:br/>
              <w:t>PR (100)</w:t>
            </w:r>
          </w:p>
        </w:tc>
        <w:tc>
          <w:tcPr>
            <w:tcW w:type="dxa" w:w="3487"/>
            <w:shd w:val="clear" w:color="auto" w:fill="DCE6F1"/>
          </w:tcPr>
          <w:p>
            <w:pPr>
              <w:spacing w:after="40" w:line="240" w:lineRule="auto"/>
              <w:jc w:val="center"/>
            </w:pPr>
            <w:r/>
            <w:r>
              <w:rPr>
                <w:rFonts w:ascii="Cambria" w:hAnsi="Cambria" w:eastAsia="Cambria"/>
                <w:b w:val="0"/>
                <w:i w:val="0"/>
                <w:sz w:val="22"/>
              </w:rPr>
              <w:t>100 marks (10%)</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Research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Entirely research-driven → QNR (30%) + QLR (30%) = 60% weight on research output &amp;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SFC (20%) replaces Teaching &amp; GO, focusing on faculty qualifications, doctoral training, and student contribution.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OI differs slightly → includes SC/ST student representation instead of ESCS (economic criteria).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Framework: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Balanced focus on teaching (30%), research (30%), graduation outcomes (20%), and inclusivity (10%).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NEP reforms (OE &amp; MIR) and SDG-linked publications.</w:t>
      </w:r>
    </w:p>
    <w:p>
      <w:r>
        <w:br w:type="page"/>
      </w:r>
    </w:p>
    <w:p>
      <w:pPr>
        <w:keepNext/>
        <w:spacing w:before="360" w:after="160"/>
      </w:pPr>
      <w:r>
        <w:rPr>
          <w:rFonts w:ascii="Cambria" w:hAnsi="Cambria" w:eastAsia="Cambria"/>
          <w:b/>
          <w:i w:val="0"/>
          <w:color w:val="1F3A5F"/>
          <w:sz w:val="36"/>
        </w:rPr>
        <w:t>45. Metric for Quantitative Research (QNR), Which Applies to Research Institutions</w:t>
      </w:r>
    </w:p>
    <w:p>
      <w:pPr>
        <w:keepNext/>
        <w:spacing w:before="280" w:after="120"/>
      </w:pPr>
      <w:r>
        <w:rPr>
          <w:rFonts w:ascii="Cambria" w:hAnsi="Cambria" w:eastAsia="Cambria"/>
          <w:b/>
          <w:i w:val="0"/>
          <w:color w:val="1F3A5F"/>
          <w:sz w:val="30"/>
        </w:rPr>
        <w:t>1. Metric for Quantitative Research (QNR) – 100 Marks (Weight: 0.30)</w:t>
      </w:r>
    </w:p>
    <w:p>
      <w:pPr>
        <w:spacing w:after="80" w:line="276" w:lineRule="auto"/>
      </w:pPr>
      <w:r>
        <w:rPr>
          <w:rFonts w:ascii="Cambria" w:hAnsi="Cambria" w:eastAsia="Cambria"/>
          <w:b w:val="0"/>
          <w:i w:val="0"/>
          <w:sz w:val="22"/>
        </w:rPr>
        <w:t>This parameter evaluates the research volume and measurable outputs of an institution. It emphasizes the scale of scientific productivity, impact, and professional engagements.</w:t>
      </w:r>
    </w:p>
    <w:p>
      <w:pPr>
        <w:spacing w:after="40" w:line="276" w:lineRule="auto"/>
      </w:pPr>
      <w:r>
        <w:rPr>
          <w:rFonts w:ascii="Cambria" w:hAnsi="Cambria" w:eastAsia="Cambria"/>
          <w:b/>
          <w:i w:val="0"/>
          <w:sz w:val="22"/>
        </w:rPr>
        <w:t>A. Combined Metric for Publications (PU) – 50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captures: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weighted count of research publications in Scopus/Web of Science/SCI-indexed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collaborative and multi-author research, normalized by faculty strength.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Publications are the primary evidence of research productivity.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higher number of quality publications indicates strong research culture and faculty engagement.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Source: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Third-party databases (Scopus, WoS, PubMed, etc.) verified by NIRF.</w:t>
      </w:r>
    </w:p>
    <w:p>
      <w:pPr>
        <w:spacing w:after="40" w:line="276" w:lineRule="auto"/>
      </w:pPr>
      <w:r>
        <w:rPr>
          <w:rFonts w:ascii="Cambria" w:hAnsi="Cambria" w:eastAsia="Cambria"/>
          <w:b/>
          <w:i w:val="0"/>
          <w:sz w:val="22"/>
        </w:rPr>
        <w:t>B. Combined Metric for Citations Index (CI) – 25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captures: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total number of citations received by institutional publications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Normalized against faculty strength (FRQ: maximum of required FSR-based faculty or actual).</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Citations are a proxy for research quality and influence.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 citations indicate that the institution's research is recognized, used, and extended by peers globally.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Source: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Bibliometric databases like Scopus, WoS, Google Scholar, or InCites.</w:t>
      </w:r>
    </w:p>
    <w:p>
      <w:pPr>
        <w:spacing w:after="40" w:line="276" w:lineRule="auto"/>
      </w:pPr>
      <w:r>
        <w:rPr>
          <w:rFonts w:ascii="Cambria" w:hAnsi="Cambria" w:eastAsia="Cambria"/>
          <w:b/>
          <w:i w:val="0"/>
          <w:sz w:val="22"/>
        </w:rPr>
        <w:t>C. Footprint of Projects &amp; Professional Practice (FPPP) – 25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What it captures: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annual research funding earned, consultancy income, and professional practice revenue over the past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government-funded projects, industry-sponsored projects, consultancy contracts, and technology services.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Why it matters: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the institution's ability to attract external funding, build industry partnerships, and apply research in real-world settings.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institutional credibility and relevance to national development and industry needs.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Data Source: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Primary data provided by institutions (audited accounts, project sanction letters, consultancy receipts).</w:t>
      </w:r>
    </w:p>
    <w:p>
      <w:pPr>
        <w:spacing w:after="40" w:line="276" w:lineRule="auto"/>
      </w:pPr>
      <w:r>
        <w:rPr>
          <w:rFonts w:ascii="Cambria" w:hAnsi="Cambria" w:eastAsia="Cambria"/>
          <w:b/>
          <w:i w:val="0"/>
          <w:sz w:val="22"/>
        </w:rPr>
        <w:t>Scoring Distribution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Publications (PU): 50 marks</w:t>
      </w:r>
      <w:r>
        <w:rPr>
          <w:rFonts w:ascii="Cambria" w:hAnsi="Cambria" w:eastAsia="Cambria"/>
          <w:b w:val="0"/>
          <w:i w:val="0"/>
          <w:sz w:val="22"/>
        </w:rPr>
        <w:t xml:space="preserve"> → highest weight, reflecting volume of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Citations (CI): 25 marks</w:t>
      </w:r>
      <w:r>
        <w:rPr>
          <w:rFonts w:ascii="Cambria" w:hAnsi="Cambria" w:eastAsia="Cambria"/>
          <w:b w:val="0"/>
          <w:i w:val="0"/>
          <w:sz w:val="22"/>
        </w:rPr>
        <w:t xml:space="preserve"> → captures quality and impact of research.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Projects &amp; Professional Practice (FPPP): 25 marks</w:t>
      </w:r>
      <w:r>
        <w:rPr>
          <w:rFonts w:ascii="Cambria" w:hAnsi="Cambria" w:eastAsia="Cambria"/>
          <w:b w:val="0"/>
          <w:i w:val="0"/>
          <w:sz w:val="22"/>
        </w:rPr>
        <w:t xml:space="preserve"> → balances funding and applied engagement.</w:t>
      </w:r>
    </w:p>
    <w:p>
      <w:pPr>
        <w:spacing w:after="40" w:line="276" w:lineRule="auto"/>
      </w:pPr>
      <w:r>
        <w:rPr>
          <w:rFonts w:ascii="Cambria" w:hAnsi="Cambria" w:eastAsia="Cambria"/>
          <w:b/>
          <w:i w:val="0"/>
          <w:sz w:val="22"/>
        </w:rPr>
        <w:t>Key Insights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QNR = 30% weight in the Research Institutions framework → indicates that quantitative outputs are the strongest determinant of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 (50%) + CI (25%) = 75% of QNR → ensures both volume and impact of publications matter.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FPPP (25%) ensures institutions are judged not only by publications but also by practical, funded research contributions.</w:t>
      </w:r>
    </w:p>
    <w:p>
      <w:pPr>
        <w:keepNext/>
        <w:spacing w:before="200" w:after="100"/>
      </w:pPr>
      <w:r>
        <w:rPr>
          <w:rFonts w:ascii="Cambria" w:hAnsi="Cambria" w:eastAsia="Cambria"/>
          <w:b/>
          <w:i w:val="0"/>
          <w:color w:val="1F3A5F"/>
          <w:sz w:val="26"/>
        </w:rPr>
        <w:t>Prescribed Format Table – QNR</w:t>
      </w:r>
    </w:p>
    <w:tbl>
      <w:tblPr>
        <w:tblW w:type="dxa" w:w="9412"/>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1134"/>
            <w:shd w:val="clear" w:color="auto" w:fill="1F3A5F"/>
          </w:tcPr>
          <w:p>
            <w:pPr>
              <w:spacing w:after="40" w:line="240" w:lineRule="auto"/>
              <w:jc w:val="center"/>
            </w:pPr>
            <w:r/>
            <w:r>
              <w:rPr>
                <w:rFonts w:ascii="Cambria" w:hAnsi="Cambria" w:eastAsia="Cambria"/>
                <w:b/>
                <w:i w:val="0"/>
                <w:color w:val="FFFFFF"/>
                <w:sz w:val="22"/>
              </w:rPr>
              <w:t>Year</w:t>
            </w:r>
          </w:p>
        </w:tc>
        <w:tc>
          <w:tcPr>
            <w:tcW w:type="dxa" w:w="1701"/>
            <w:shd w:val="clear" w:color="auto" w:fill="1F3A5F"/>
          </w:tcPr>
          <w:p>
            <w:pPr>
              <w:spacing w:after="40" w:line="240" w:lineRule="auto"/>
              <w:jc w:val="center"/>
            </w:pPr>
            <w:r/>
            <w:r>
              <w:rPr>
                <w:rFonts w:ascii="Cambria" w:hAnsi="Cambria" w:eastAsia="Cambria"/>
                <w:b/>
                <w:i w:val="0"/>
                <w:color w:val="FFFFFF"/>
                <w:sz w:val="22"/>
              </w:rPr>
              <w:t>Publications (PU)</w:t>
              <w:br/>
              <w:t>Source: Scopus/WoS/SCI</w:t>
            </w:r>
          </w:p>
        </w:tc>
        <w:tc>
          <w:tcPr>
            <w:tcW w:type="dxa" w:w="1134"/>
            <w:shd w:val="clear" w:color="auto" w:fill="1F3A5F"/>
          </w:tcPr>
          <w:p>
            <w:pPr>
              <w:spacing w:after="40" w:line="240" w:lineRule="auto"/>
              <w:jc w:val="center"/>
            </w:pPr>
            <w:r/>
            <w:r>
              <w:rPr>
                <w:rFonts w:ascii="Cambria" w:hAnsi="Cambria" w:eastAsia="Cambria"/>
                <w:b/>
                <w:i w:val="0"/>
                <w:color w:val="FFFFFF"/>
                <w:sz w:val="22"/>
              </w:rPr>
              <w:t>Citations</w:t>
              <w:br/>
              <w:t>(CI)</w:t>
            </w:r>
          </w:p>
        </w:tc>
        <w:tc>
          <w:tcPr>
            <w:tcW w:type="dxa" w:w="1304"/>
            <w:shd w:val="clear" w:color="auto" w:fill="1F3A5F"/>
          </w:tcPr>
          <w:p>
            <w:pPr>
              <w:spacing w:after="40" w:line="240" w:lineRule="auto"/>
              <w:jc w:val="center"/>
            </w:pPr>
            <w:r/>
            <w:r>
              <w:rPr>
                <w:rFonts w:ascii="Cambria" w:hAnsi="Cambria" w:eastAsia="Cambria"/>
                <w:b/>
                <w:i w:val="0"/>
                <w:color w:val="FFFFFF"/>
                <w:sz w:val="22"/>
              </w:rPr>
              <w:t>Research Funding</w:t>
              <w:br/>
              <w:t>(₹ Lakhs)</w:t>
            </w:r>
          </w:p>
        </w:tc>
        <w:tc>
          <w:tcPr>
            <w:tcW w:type="dxa" w:w="1417"/>
            <w:shd w:val="clear" w:color="auto" w:fill="1F3A5F"/>
          </w:tcPr>
          <w:p>
            <w:pPr>
              <w:spacing w:after="40" w:line="240" w:lineRule="auto"/>
              <w:jc w:val="center"/>
            </w:pPr>
            <w:r/>
            <w:r>
              <w:rPr>
                <w:rFonts w:ascii="Cambria" w:hAnsi="Cambria" w:eastAsia="Cambria"/>
                <w:b/>
                <w:i w:val="0"/>
                <w:color w:val="FFFFFF"/>
                <w:sz w:val="22"/>
              </w:rPr>
              <w:t>Consultancy Earnings</w:t>
              <w:br/>
              <w:t>(₹ Lakhs)</w:t>
            </w:r>
          </w:p>
        </w:tc>
        <w:tc>
          <w:tcPr>
            <w:tcW w:type="dxa" w:w="1190"/>
            <w:shd w:val="clear" w:color="auto" w:fill="1F3A5F"/>
          </w:tcPr>
          <w:p>
            <w:pPr>
              <w:spacing w:after="40" w:line="240" w:lineRule="auto"/>
              <w:jc w:val="center"/>
            </w:pPr>
            <w:r/>
            <w:r>
              <w:rPr>
                <w:rFonts w:ascii="Cambria" w:hAnsi="Cambria" w:eastAsia="Cambria"/>
                <w:b/>
                <w:i w:val="0"/>
                <w:color w:val="FFFFFF"/>
                <w:sz w:val="22"/>
              </w:rPr>
              <w:t>FPPP Score</w:t>
              <w:br/>
              <w:t>(out of 25)</w:t>
            </w:r>
          </w:p>
        </w:tc>
        <w:tc>
          <w:tcPr>
            <w:tcW w:type="dxa" w:w="1530"/>
            <w:shd w:val="clear" w:color="auto" w:fill="1F3A5F"/>
          </w:tcPr>
          <w:p>
            <w:pPr>
              <w:spacing w:after="40" w:line="240" w:lineRule="auto"/>
              <w:jc w:val="center"/>
            </w:pPr>
            <w:r/>
            <w:r>
              <w:rPr>
                <w:rFonts w:ascii="Cambria" w:hAnsi="Cambria" w:eastAsia="Cambria"/>
                <w:b/>
                <w:i w:val="0"/>
                <w:color w:val="FFFFFF"/>
                <w:sz w:val="22"/>
              </w:rPr>
              <w:t>Total QNR Score</w:t>
              <w:br/>
              <w:t>(out of 100)</w:t>
            </w:r>
          </w:p>
        </w:tc>
      </w:tr>
      <w:tr>
        <w:tc>
          <w:tcPr>
            <w:tcW w:type="dxa" w:w="1134"/>
          </w:tcPr>
          <w:p>
            <w:pPr>
              <w:spacing w:after="40" w:line="240" w:lineRule="auto"/>
              <w:jc w:val="left"/>
            </w:pPr>
            <w:r/>
            <w:r>
              <w:rPr>
                <w:rFonts w:ascii="Cambria" w:hAnsi="Cambria" w:eastAsia="Cambria"/>
                <w:b w:val="0"/>
                <w:i w:val="0"/>
                <w:sz w:val="22"/>
              </w:rPr>
              <w:t>2020–21</w:t>
            </w:r>
          </w:p>
        </w:tc>
        <w:tc>
          <w:tcPr>
            <w:tcW w:type="dxa" w:w="1701"/>
          </w:tcPr>
          <w:p>
            <w:pPr>
              <w:spacing w:after="40" w:line="240" w:lineRule="auto"/>
              <w:jc w:val="center"/>
            </w:pPr>
            <w:r/>
            <w:r>
              <w:rPr>
                <w:rFonts w:ascii="Cambria" w:hAnsi="Cambria" w:eastAsia="Cambria"/>
                <w:b w:val="0"/>
                <w:i w:val="0"/>
                <w:sz w:val="22"/>
              </w:rPr>
              <w:t>1,250</w:t>
            </w:r>
          </w:p>
        </w:tc>
        <w:tc>
          <w:tcPr>
            <w:tcW w:type="dxa" w:w="1134"/>
          </w:tcPr>
          <w:p>
            <w:pPr>
              <w:spacing w:after="40" w:line="240" w:lineRule="auto"/>
              <w:jc w:val="center"/>
            </w:pPr>
            <w:r/>
            <w:r>
              <w:rPr>
                <w:rFonts w:ascii="Cambria" w:hAnsi="Cambria" w:eastAsia="Cambria"/>
                <w:b w:val="0"/>
                <w:i w:val="0"/>
                <w:sz w:val="22"/>
              </w:rPr>
              <w:t>15,600</w:t>
            </w:r>
          </w:p>
        </w:tc>
        <w:tc>
          <w:tcPr>
            <w:tcW w:type="dxa" w:w="1304"/>
          </w:tcPr>
          <w:p>
            <w:pPr>
              <w:spacing w:after="40" w:line="240" w:lineRule="auto"/>
              <w:jc w:val="center"/>
            </w:pPr>
            <w:r/>
            <w:r>
              <w:rPr>
                <w:rFonts w:ascii="Cambria" w:hAnsi="Cambria" w:eastAsia="Cambria"/>
                <w:b w:val="0"/>
                <w:i w:val="0"/>
                <w:sz w:val="22"/>
              </w:rPr>
              <w:t>2,800</w:t>
            </w:r>
          </w:p>
        </w:tc>
        <w:tc>
          <w:tcPr>
            <w:tcW w:type="dxa" w:w="1417"/>
          </w:tcPr>
          <w:p>
            <w:pPr>
              <w:spacing w:after="40" w:line="240" w:lineRule="auto"/>
              <w:jc w:val="center"/>
            </w:pPr>
            <w:r/>
            <w:r>
              <w:rPr>
                <w:rFonts w:ascii="Cambria" w:hAnsi="Cambria" w:eastAsia="Cambria"/>
                <w:b w:val="0"/>
                <w:i w:val="0"/>
                <w:sz w:val="22"/>
              </w:rPr>
              <w:t>450</w:t>
            </w:r>
          </w:p>
        </w:tc>
        <w:tc>
          <w:tcPr>
            <w:tcW w:type="dxa" w:w="1190"/>
          </w:tcPr>
          <w:p>
            <w:pPr>
              <w:spacing w:after="40" w:line="240" w:lineRule="auto"/>
              <w:jc w:val="center"/>
            </w:pPr>
            <w:r/>
            <w:r>
              <w:rPr>
                <w:rFonts w:ascii="Cambria" w:hAnsi="Cambria" w:eastAsia="Cambria"/>
                <w:b w:val="0"/>
                <w:i w:val="0"/>
                <w:sz w:val="22"/>
              </w:rPr>
              <w:t>18.5</w:t>
            </w:r>
          </w:p>
        </w:tc>
        <w:tc>
          <w:tcPr>
            <w:tcW w:type="dxa" w:w="1530"/>
          </w:tcPr>
          <w:p>
            <w:pPr>
              <w:spacing w:after="40" w:line="240" w:lineRule="auto"/>
              <w:jc w:val="center"/>
            </w:pPr>
            <w:r/>
            <w:r>
              <w:rPr>
                <w:rFonts w:ascii="Cambria" w:hAnsi="Cambria" w:eastAsia="Cambria"/>
                <w:b w:val="0"/>
                <w:i w:val="0"/>
                <w:sz w:val="22"/>
              </w:rPr>
              <w:t>72.0</w:t>
            </w:r>
          </w:p>
        </w:tc>
      </w:tr>
      <w:tr>
        <w:tc>
          <w:tcPr>
            <w:tcW w:type="dxa" w:w="1134"/>
            <w:shd w:val="clear" w:color="auto" w:fill="DCE6F1"/>
          </w:tcPr>
          <w:p>
            <w:pPr>
              <w:spacing w:after="40" w:line="240" w:lineRule="auto"/>
              <w:jc w:val="left"/>
            </w:pPr>
            <w:r/>
            <w:r>
              <w:rPr>
                <w:rFonts w:ascii="Cambria" w:hAnsi="Cambria" w:eastAsia="Cambria"/>
                <w:b w:val="0"/>
                <w:i w:val="0"/>
                <w:sz w:val="22"/>
              </w:rPr>
              <w:t>2021–22</w:t>
            </w:r>
          </w:p>
        </w:tc>
        <w:tc>
          <w:tcPr>
            <w:tcW w:type="dxa" w:w="1701"/>
            <w:shd w:val="clear" w:color="auto" w:fill="DCE6F1"/>
          </w:tcPr>
          <w:p>
            <w:pPr>
              <w:spacing w:after="40" w:line="240" w:lineRule="auto"/>
              <w:jc w:val="center"/>
            </w:pPr>
            <w:r/>
            <w:r>
              <w:rPr>
                <w:rFonts w:ascii="Cambria" w:hAnsi="Cambria" w:eastAsia="Cambria"/>
                <w:b w:val="0"/>
                <w:i w:val="0"/>
                <w:sz w:val="22"/>
              </w:rPr>
              <w:t>1,350</w:t>
            </w:r>
          </w:p>
        </w:tc>
        <w:tc>
          <w:tcPr>
            <w:tcW w:type="dxa" w:w="1134"/>
            <w:shd w:val="clear" w:color="auto" w:fill="DCE6F1"/>
          </w:tcPr>
          <w:p>
            <w:pPr>
              <w:spacing w:after="40" w:line="240" w:lineRule="auto"/>
              <w:jc w:val="center"/>
            </w:pPr>
            <w:r/>
            <w:r>
              <w:rPr>
                <w:rFonts w:ascii="Cambria" w:hAnsi="Cambria" w:eastAsia="Cambria"/>
                <w:b w:val="0"/>
                <w:i w:val="0"/>
                <w:sz w:val="22"/>
              </w:rPr>
              <w:t>16,800</w:t>
            </w:r>
          </w:p>
        </w:tc>
        <w:tc>
          <w:tcPr>
            <w:tcW w:type="dxa" w:w="1304"/>
            <w:shd w:val="clear" w:color="auto" w:fill="DCE6F1"/>
          </w:tcPr>
          <w:p>
            <w:pPr>
              <w:spacing w:after="40" w:line="240" w:lineRule="auto"/>
              <w:jc w:val="center"/>
            </w:pPr>
            <w:r/>
            <w:r>
              <w:rPr>
                <w:rFonts w:ascii="Cambria" w:hAnsi="Cambria" w:eastAsia="Cambria"/>
                <w:b w:val="0"/>
                <w:i w:val="0"/>
                <w:sz w:val="22"/>
              </w:rPr>
              <w:t>3,200</w:t>
            </w:r>
          </w:p>
        </w:tc>
        <w:tc>
          <w:tcPr>
            <w:tcW w:type="dxa" w:w="1417"/>
            <w:shd w:val="clear" w:color="auto" w:fill="DCE6F1"/>
          </w:tcPr>
          <w:p>
            <w:pPr>
              <w:spacing w:after="40" w:line="240" w:lineRule="auto"/>
              <w:jc w:val="center"/>
            </w:pPr>
            <w:r/>
            <w:r>
              <w:rPr>
                <w:rFonts w:ascii="Cambria" w:hAnsi="Cambria" w:eastAsia="Cambria"/>
                <w:b w:val="0"/>
                <w:i w:val="0"/>
                <w:sz w:val="22"/>
              </w:rPr>
              <w:t>520</w:t>
            </w:r>
          </w:p>
        </w:tc>
        <w:tc>
          <w:tcPr>
            <w:tcW w:type="dxa" w:w="1190"/>
            <w:shd w:val="clear" w:color="auto" w:fill="DCE6F1"/>
          </w:tcPr>
          <w:p>
            <w:pPr>
              <w:spacing w:after="40" w:line="240" w:lineRule="auto"/>
              <w:jc w:val="center"/>
            </w:pPr>
            <w:r/>
            <w:r>
              <w:rPr>
                <w:rFonts w:ascii="Cambria" w:hAnsi="Cambria" w:eastAsia="Cambria"/>
                <w:b w:val="0"/>
                <w:i w:val="0"/>
                <w:sz w:val="22"/>
              </w:rPr>
              <w:t>20.0</w:t>
            </w:r>
          </w:p>
        </w:tc>
        <w:tc>
          <w:tcPr>
            <w:tcW w:type="dxa" w:w="1530"/>
            <w:shd w:val="clear" w:color="auto" w:fill="DCE6F1"/>
          </w:tcPr>
          <w:p>
            <w:pPr>
              <w:spacing w:after="40" w:line="240" w:lineRule="auto"/>
              <w:jc w:val="center"/>
            </w:pPr>
            <w:r/>
            <w:r>
              <w:rPr>
                <w:rFonts w:ascii="Cambria" w:hAnsi="Cambria" w:eastAsia="Cambria"/>
                <w:b w:val="0"/>
                <w:i w:val="0"/>
                <w:sz w:val="22"/>
              </w:rPr>
              <w:t>78.5</w:t>
            </w:r>
          </w:p>
        </w:tc>
      </w:tr>
      <w:tr>
        <w:tc>
          <w:tcPr>
            <w:tcW w:type="dxa" w:w="1134"/>
          </w:tcPr>
          <w:p>
            <w:pPr>
              <w:spacing w:after="40" w:line="240" w:lineRule="auto"/>
              <w:jc w:val="left"/>
            </w:pPr>
            <w:r/>
            <w:r>
              <w:rPr>
                <w:rFonts w:ascii="Cambria" w:hAnsi="Cambria" w:eastAsia="Cambria"/>
                <w:b w:val="0"/>
                <w:i w:val="0"/>
                <w:sz w:val="22"/>
              </w:rPr>
              <w:t>2022–23</w:t>
            </w:r>
          </w:p>
        </w:tc>
        <w:tc>
          <w:tcPr>
            <w:tcW w:type="dxa" w:w="1701"/>
          </w:tcPr>
          <w:p>
            <w:pPr>
              <w:spacing w:after="40" w:line="240" w:lineRule="auto"/>
              <w:jc w:val="center"/>
            </w:pPr>
            <w:r/>
            <w:r>
              <w:rPr>
                <w:rFonts w:ascii="Cambria" w:hAnsi="Cambria" w:eastAsia="Cambria"/>
                <w:b w:val="0"/>
                <w:i w:val="0"/>
                <w:sz w:val="22"/>
              </w:rPr>
              <w:t>1,500</w:t>
            </w:r>
          </w:p>
        </w:tc>
        <w:tc>
          <w:tcPr>
            <w:tcW w:type="dxa" w:w="1134"/>
          </w:tcPr>
          <w:p>
            <w:pPr>
              <w:spacing w:after="40" w:line="240" w:lineRule="auto"/>
              <w:jc w:val="center"/>
            </w:pPr>
            <w:r/>
            <w:r>
              <w:rPr>
                <w:rFonts w:ascii="Cambria" w:hAnsi="Cambria" w:eastAsia="Cambria"/>
                <w:b w:val="0"/>
                <w:i w:val="0"/>
                <w:sz w:val="22"/>
              </w:rPr>
              <w:t>18,200</w:t>
            </w:r>
          </w:p>
        </w:tc>
        <w:tc>
          <w:tcPr>
            <w:tcW w:type="dxa" w:w="1304"/>
          </w:tcPr>
          <w:p>
            <w:pPr>
              <w:spacing w:after="40" w:line="240" w:lineRule="auto"/>
              <w:jc w:val="center"/>
            </w:pPr>
            <w:r/>
            <w:r>
              <w:rPr>
                <w:rFonts w:ascii="Cambria" w:hAnsi="Cambria" w:eastAsia="Cambria"/>
                <w:b w:val="0"/>
                <w:i w:val="0"/>
                <w:sz w:val="22"/>
              </w:rPr>
              <w:t>3,600</w:t>
            </w:r>
          </w:p>
        </w:tc>
        <w:tc>
          <w:tcPr>
            <w:tcW w:type="dxa" w:w="1417"/>
          </w:tcPr>
          <w:p>
            <w:pPr>
              <w:spacing w:after="40" w:line="240" w:lineRule="auto"/>
              <w:jc w:val="center"/>
            </w:pPr>
            <w:r/>
            <w:r>
              <w:rPr>
                <w:rFonts w:ascii="Cambria" w:hAnsi="Cambria" w:eastAsia="Cambria"/>
                <w:b w:val="0"/>
                <w:i w:val="0"/>
                <w:sz w:val="22"/>
              </w:rPr>
              <w:t>600</w:t>
            </w:r>
          </w:p>
        </w:tc>
        <w:tc>
          <w:tcPr>
            <w:tcW w:type="dxa" w:w="1190"/>
          </w:tcPr>
          <w:p>
            <w:pPr>
              <w:spacing w:after="40" w:line="240" w:lineRule="auto"/>
              <w:jc w:val="center"/>
            </w:pPr>
            <w:r/>
            <w:r>
              <w:rPr>
                <w:rFonts w:ascii="Cambria" w:hAnsi="Cambria" w:eastAsia="Cambria"/>
                <w:b w:val="0"/>
                <w:i w:val="0"/>
                <w:sz w:val="22"/>
              </w:rPr>
              <w:t>22.0</w:t>
            </w:r>
          </w:p>
        </w:tc>
        <w:tc>
          <w:tcPr>
            <w:tcW w:type="dxa" w:w="1530"/>
          </w:tcPr>
          <w:p>
            <w:pPr>
              <w:spacing w:after="40" w:line="240" w:lineRule="auto"/>
              <w:jc w:val="center"/>
            </w:pPr>
            <w:r/>
            <w:r>
              <w:rPr>
                <w:rFonts w:ascii="Cambria" w:hAnsi="Cambria" w:eastAsia="Cambria"/>
                <w:b w:val="0"/>
                <w:i w:val="0"/>
                <w:sz w:val="22"/>
              </w:rPr>
              <w:t>83.0</w:t>
            </w:r>
          </w:p>
        </w:tc>
      </w:tr>
      <w:tr>
        <w:tc>
          <w:tcPr>
            <w:tcW w:type="dxa" w:w="1134"/>
            <w:shd w:val="clear" w:color="auto" w:fill="DCE6F1"/>
          </w:tcPr>
          <w:p>
            <w:pPr>
              <w:spacing w:after="40" w:line="240" w:lineRule="auto"/>
              <w:jc w:val="left"/>
            </w:pPr>
            <w:r/>
            <w:r>
              <w:rPr>
                <w:rFonts w:ascii="Cambria" w:hAnsi="Cambria" w:eastAsia="Cambria"/>
                <w:b w:val="0"/>
                <w:i w:val="0"/>
                <w:sz w:val="22"/>
              </w:rPr>
              <w:t>3-Year Avg.</w:t>
            </w:r>
          </w:p>
        </w:tc>
        <w:tc>
          <w:tcPr>
            <w:tcW w:type="dxa" w:w="1701"/>
            <w:shd w:val="clear" w:color="auto" w:fill="DCE6F1"/>
          </w:tcPr>
          <w:p>
            <w:pPr>
              <w:spacing w:after="40" w:line="240" w:lineRule="auto"/>
              <w:jc w:val="center"/>
            </w:pPr>
            <w:r/>
            <w:r>
              <w:rPr>
                <w:rFonts w:ascii="Cambria" w:hAnsi="Cambria" w:eastAsia="Cambria"/>
                <w:b w:val="0"/>
                <w:i w:val="0"/>
                <w:sz w:val="22"/>
              </w:rPr>
              <w:t>1,367</w:t>
            </w:r>
          </w:p>
        </w:tc>
        <w:tc>
          <w:tcPr>
            <w:tcW w:type="dxa" w:w="1134"/>
            <w:shd w:val="clear" w:color="auto" w:fill="DCE6F1"/>
          </w:tcPr>
          <w:p>
            <w:pPr>
              <w:spacing w:after="40" w:line="240" w:lineRule="auto"/>
              <w:jc w:val="center"/>
            </w:pPr>
            <w:r/>
            <w:r>
              <w:rPr>
                <w:rFonts w:ascii="Cambria" w:hAnsi="Cambria" w:eastAsia="Cambria"/>
                <w:b w:val="0"/>
                <w:i w:val="0"/>
                <w:sz w:val="22"/>
              </w:rPr>
              <w:t>16,867</w:t>
            </w:r>
          </w:p>
        </w:tc>
        <w:tc>
          <w:tcPr>
            <w:tcW w:type="dxa" w:w="1304"/>
            <w:shd w:val="clear" w:color="auto" w:fill="DCE6F1"/>
          </w:tcPr>
          <w:p>
            <w:pPr>
              <w:spacing w:after="40" w:line="240" w:lineRule="auto"/>
              <w:jc w:val="center"/>
            </w:pPr>
            <w:r/>
            <w:r>
              <w:rPr>
                <w:rFonts w:ascii="Cambria" w:hAnsi="Cambria" w:eastAsia="Cambria"/>
                <w:b w:val="0"/>
                <w:i w:val="0"/>
                <w:sz w:val="22"/>
              </w:rPr>
              <w:t>3,200</w:t>
            </w:r>
          </w:p>
        </w:tc>
        <w:tc>
          <w:tcPr>
            <w:tcW w:type="dxa" w:w="1417"/>
            <w:shd w:val="clear" w:color="auto" w:fill="DCE6F1"/>
          </w:tcPr>
          <w:p>
            <w:pPr>
              <w:spacing w:after="40" w:line="240" w:lineRule="auto"/>
              <w:jc w:val="center"/>
            </w:pPr>
            <w:r/>
            <w:r>
              <w:rPr>
                <w:rFonts w:ascii="Cambria" w:hAnsi="Cambria" w:eastAsia="Cambria"/>
                <w:b w:val="0"/>
                <w:i w:val="0"/>
                <w:sz w:val="22"/>
              </w:rPr>
              <w:t>523</w:t>
            </w:r>
          </w:p>
        </w:tc>
        <w:tc>
          <w:tcPr>
            <w:tcW w:type="dxa" w:w="1190"/>
            <w:shd w:val="clear" w:color="auto" w:fill="DCE6F1"/>
          </w:tcPr>
          <w:p>
            <w:pPr>
              <w:spacing w:after="40" w:line="240" w:lineRule="auto"/>
              <w:jc w:val="center"/>
            </w:pPr>
            <w:r/>
            <w:r>
              <w:rPr>
                <w:rFonts w:ascii="Cambria" w:hAnsi="Cambria" w:eastAsia="Cambria"/>
                <w:b w:val="0"/>
                <w:i w:val="0"/>
                <w:sz w:val="22"/>
              </w:rPr>
              <w:t>20.2</w:t>
            </w:r>
          </w:p>
        </w:tc>
        <w:tc>
          <w:tcPr>
            <w:tcW w:type="dxa" w:w="1530"/>
            <w:shd w:val="clear" w:color="auto" w:fill="DCE6F1"/>
          </w:tcPr>
          <w:p>
            <w:pPr>
              <w:spacing w:after="40" w:line="240" w:lineRule="auto"/>
              <w:jc w:val="center"/>
            </w:pPr>
            <w:r/>
            <w:r>
              <w:rPr>
                <w:rFonts w:ascii="Cambria" w:hAnsi="Cambria" w:eastAsia="Cambria"/>
                <w:b w:val="0"/>
                <w:i w:val="0"/>
                <w:sz w:val="22"/>
              </w:rPr>
              <w:t>77.8</w:t>
            </w:r>
          </w:p>
        </w:tc>
      </w:tr>
    </w:tbl>
    <w:p>
      <w:pPr>
        <w:spacing w:after="40" w:line="276" w:lineRule="auto"/>
      </w:pPr>
      <w:r>
        <w:rPr>
          <w:rFonts w:ascii="Cambria" w:hAnsi="Cambria" w:eastAsia="Cambria"/>
          <w:b/>
          <w:i w:val="0"/>
          <w:sz w:val="22"/>
        </w:rPr>
        <w:t>Explanation of Columns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t>
      </w:r>
      <w:r>
        <w:rPr>
          <w:rFonts w:ascii="Cambria" w:hAnsi="Cambria" w:eastAsia="Cambria"/>
          <w:b w:val="0"/>
          <w:i w:val="0"/>
          <w:sz w:val="22"/>
        </w:rPr>
        <w:t xml:space="preserve"> → Academic year of reporting.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Publications (PU)</w:t>
      </w:r>
      <w:r>
        <w:rPr>
          <w:rFonts w:ascii="Cambria" w:hAnsi="Cambria" w:eastAsia="Cambria"/>
          <w:b w:val="0"/>
          <w:i w:val="0"/>
          <w:sz w:val="22"/>
        </w:rPr>
        <w:t xml:space="preserve"> → Weighted publication count as per Scopus/WoS/SCI databases.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Citations (CI)</w:t>
      </w:r>
      <w:r>
        <w:rPr>
          <w:rFonts w:ascii="Cambria" w:hAnsi="Cambria" w:eastAsia="Cambria"/>
          <w:b w:val="0"/>
          <w:i w:val="0"/>
          <w:sz w:val="22"/>
        </w:rPr>
        <w:t xml:space="preserve"> → Total citation count (normalized).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Research Funding</w:t>
      </w:r>
      <w:r>
        <w:rPr>
          <w:rFonts w:ascii="Cambria" w:hAnsi="Cambria" w:eastAsia="Cambria"/>
          <w:b w:val="0"/>
          <w:i w:val="0"/>
          <w:sz w:val="22"/>
        </w:rPr>
        <w:t xml:space="preserve"> → External project grants received (Govt/Private/International).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Consultancy Earnings</w:t>
      </w:r>
      <w:r>
        <w:rPr>
          <w:rFonts w:ascii="Cambria" w:hAnsi="Cambria" w:eastAsia="Cambria"/>
          <w:b w:val="0"/>
          <w:i w:val="0"/>
          <w:sz w:val="22"/>
        </w:rPr>
        <w:t xml:space="preserve"> → Income from professional/industry consultancy.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FPPP Score (25 Marks)</w:t>
      </w:r>
      <w:r>
        <w:rPr>
          <w:rFonts w:ascii="Cambria" w:hAnsi="Cambria" w:eastAsia="Cambria"/>
          <w:b w:val="0"/>
          <w:i w:val="0"/>
          <w:sz w:val="22"/>
        </w:rPr>
        <w:t xml:space="preserve"> → Derived from average of Research Funding + Consultancy normalized.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Total QNR Score (100 Marks)</w:t>
      </w:r>
      <w:r>
        <w:rPr>
          <w:rFonts w:ascii="Cambria" w:hAnsi="Cambria" w:eastAsia="Cambria"/>
          <w:b w:val="0"/>
          <w:i w:val="0"/>
          <w:sz w:val="22"/>
        </w:rPr>
        <w:t xml:space="preserve"> = PU Score (50) + CI Score (25) + FPPP Score (25).</w:t>
      </w:r>
    </w:p>
    <w:p>
      <w:r>
        <w:br w:type="page"/>
      </w:r>
    </w:p>
    <w:p>
      <w:pPr>
        <w:keepNext/>
        <w:spacing w:before="360" w:after="160"/>
      </w:pPr>
      <w:r>
        <w:rPr>
          <w:rFonts w:ascii="Cambria" w:hAnsi="Cambria" w:eastAsia="Cambria"/>
          <w:b/>
          <w:i w:val="0"/>
          <w:color w:val="1F3A5F"/>
          <w:sz w:val="36"/>
        </w:rPr>
        <w:t>46. H-Index (HI)</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 = 20 × f(Hinst / Hbench)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Hinst = Institution's H-Index (over the last 3 years or cumulative as defined by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Hbench = Benchmark H-Index set by NIRF for maximum score.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if institutional H-Index ≥ benchmark.</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Research Productivity + Impact Combined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H-Index balances number of publications and citations received.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 H = 50 → institution has 50 papers with ≥50 citations each.</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Institutional Research Reputation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H-Index indicates a consistent track record of impactful publications, not just isolated papers.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Benchmarking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a single, holistic metric widely recognized in global research evaluation.</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H-Index (Hbench) = 120.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H-Index (Hinst) = 90.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90 ÷ 120 = 0.75.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 Score = 20 × 0.75 = 15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(Third Party):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Web of Science, Scopus, or Google Scholar (institutional profile).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databases that compute H-Index automatically.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Supporting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publication/citation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Reports from bibliometric tools like InCites, SciVal.</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H-Index captures sustained, long-term research performance, not just recent bursts.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Prevents over-reliance on volume metrics (PU) or citation-only metrics (CI).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build consistent, impactful research output.</w:t>
      </w:r>
    </w:p>
    <w:p>
      <w:pPr>
        <w:spacing w:after="40" w:line="276" w:lineRule="auto"/>
      </w:pPr>
      <w:r>
        <w:rPr>
          <w:rFonts w:ascii="Cambria" w:hAnsi="Cambria" w:eastAsia="Cambria"/>
          <w:b/>
          <w:i w:val="0"/>
          <w:sz w:val="22"/>
        </w:rPr>
        <w:t>Primary Data (Third Party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Web of Science (WoS)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publication counts, citation counts, and institutional H-index.</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extracted via Organization-Enhanced ID.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Scopus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Offers comprehensive citation data, h-index, and field-weighted citation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extracted using Scopus Affiliation ID.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Google Scholar (Institutional Profile)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citations, h-index, and i10-index at institution level.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Less standardized than WoS/Scopus, but still used for supplementary validation.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Citation Databases Computing H-Index Automatically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Both WoS and Scopus compute H-index based on institutional publication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H-index = Maximum “h” such that h papers have at least h citations each.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an objective measure of research quality &amp; impact.</w:t>
      </w:r>
    </w:p>
    <w:p>
      <w:pPr>
        <w:spacing w:after="40" w:line="276" w:lineRule="auto"/>
      </w:pPr>
      <w:r>
        <w:rPr>
          <w:rFonts w:ascii="Cambria" w:hAnsi="Cambria" w:eastAsia="Cambria"/>
          <w:b/>
          <w:i w:val="0"/>
          <w:sz w:val="22"/>
        </w:rPr>
        <w:t>Institutional Supporting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Publication/Citation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consolidated faculty-wise data:</w:t>
      </w:r>
    </w:p>
    <w:p>
      <w:pPr>
        <w:spacing w:after="40"/>
        <w:ind w:left="1644" w:hanging="357"/>
      </w:pPr>
      <w:r>
        <w:rPr>
          <w:rFonts w:ascii="Cambria" w:hAnsi="Cambria" w:eastAsia="Cambria"/>
          <w:b w:val="0"/>
          <w:i w:val="0"/>
          <w:sz w:val="22"/>
        </w:rPr>
        <w:t>▪</w:t>
        <w:tab/>
      </w:r>
      <w:r>
        <w:rPr>
          <w:rFonts w:ascii="Cambria" w:hAnsi="Cambria" w:eastAsia="Cambria"/>
          <w:b w:val="0"/>
          <w:i w:val="0"/>
          <w:sz w:val="22"/>
        </w:rPr>
        <w:t>Publications (title, journal, year).</w:t>
      </w:r>
    </w:p>
    <w:p>
      <w:pPr>
        <w:spacing w:after="40"/>
        <w:ind w:left="1644" w:hanging="357"/>
      </w:pPr>
      <w:r>
        <w:rPr>
          <w:rFonts w:ascii="Cambria" w:hAnsi="Cambria" w:eastAsia="Cambria"/>
          <w:b w:val="0"/>
          <w:i w:val="0"/>
          <w:sz w:val="22"/>
        </w:rPr>
        <w:t>▪</w:t>
        <w:tab/>
      </w:r>
      <w:r>
        <w:rPr>
          <w:rFonts w:ascii="Cambria" w:hAnsi="Cambria" w:eastAsia="Cambria"/>
          <w:b w:val="0"/>
          <w:i w:val="0"/>
          <w:sz w:val="22"/>
        </w:rPr>
        <w:t>Citation counts.</w:t>
      </w:r>
    </w:p>
    <w:p>
      <w:pPr>
        <w:spacing w:after="40"/>
        <w:ind w:left="1644" w:hanging="357"/>
      </w:pPr>
      <w:r>
        <w:rPr>
          <w:rFonts w:ascii="Cambria" w:hAnsi="Cambria" w:eastAsia="Cambria"/>
          <w:b w:val="0"/>
          <w:i w:val="0"/>
          <w:sz w:val="22"/>
        </w:rPr>
        <w:t>▪</w:t>
        <w:tab/>
      </w:r>
      <w:r>
        <w:rPr>
          <w:rFonts w:ascii="Cambria" w:hAnsi="Cambria" w:eastAsia="Cambria"/>
          <w:b w:val="0"/>
          <w:i w:val="0"/>
          <w:sz w:val="22"/>
        </w:rPr>
        <w:t>Indexed database source (Scopus/WoS).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reconcile third-party bibliometric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Reports from Bibliometric Tools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InCites (WoS) or SciVal (Scopus) generate detailed analytics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support:</w:t>
      </w:r>
    </w:p>
    <w:p>
      <w:pPr>
        <w:spacing w:after="40"/>
        <w:ind w:left="1644" w:hanging="357"/>
      </w:pPr>
      <w:r>
        <w:rPr>
          <w:rFonts w:ascii="Cambria" w:hAnsi="Cambria" w:eastAsia="Cambria"/>
          <w:b w:val="0"/>
          <w:i w:val="0"/>
          <w:sz w:val="22"/>
        </w:rPr>
        <w:t>▪</w:t>
        <w:tab/>
      </w:r>
      <w:r>
        <w:rPr>
          <w:rFonts w:ascii="Cambria" w:hAnsi="Cambria" w:eastAsia="Cambria"/>
          <w:b w:val="0"/>
          <w:i w:val="0"/>
          <w:sz w:val="22"/>
        </w:rPr>
        <w:t>Subject-area normalized impact.</w:t>
      </w:r>
    </w:p>
    <w:p>
      <w:pPr>
        <w:spacing w:after="40"/>
        <w:ind w:left="1644" w:hanging="357"/>
      </w:pPr>
      <w:r>
        <w:rPr>
          <w:rFonts w:ascii="Cambria" w:hAnsi="Cambria" w:eastAsia="Cambria"/>
          <w:b w:val="0"/>
          <w:i w:val="0"/>
          <w:sz w:val="22"/>
        </w:rPr>
        <w:t>▪</w:t>
        <w:tab/>
      </w:r>
      <w:r>
        <w:rPr>
          <w:rFonts w:ascii="Cambria" w:hAnsi="Cambria" w:eastAsia="Cambria"/>
          <w:b w:val="0"/>
          <w:i w:val="0"/>
          <w:sz w:val="22"/>
        </w:rPr>
        <w:t>International collaboration metrics.</w:t>
      </w:r>
    </w:p>
    <w:p>
      <w:pPr>
        <w:spacing w:after="40"/>
        <w:ind w:left="1644" w:hanging="357"/>
      </w:pPr>
      <w:r>
        <w:rPr>
          <w:rFonts w:ascii="Cambria" w:hAnsi="Cambria" w:eastAsia="Cambria"/>
          <w:b w:val="0"/>
          <w:i w:val="0"/>
          <w:sz w:val="22"/>
        </w:rPr>
        <w:t>▪</w:t>
        <w:tab/>
      </w:r>
      <w:r>
        <w:rPr>
          <w:rFonts w:ascii="Cambria" w:hAnsi="Cambria" w:eastAsia="Cambria"/>
          <w:b w:val="0"/>
          <w:i w:val="0"/>
          <w:sz w:val="22"/>
        </w:rPr>
        <w:t>Citation benchmarks.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external validation of institutional claims.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Third-party bibliometric databases (Scopus/WoS) → trusted source for NIRF.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ID mapping ensures correct attribution (avoids mixing with similarly named institutions).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Cross-check with faculty lists &amp; bibliometric tool reports to prevent omissions or over-reporting.</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Citation and H-index data are core parts of Research &amp; Professional Practice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quality, visibility, and global recognition of institutional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institutions are benchmarked against reliable, globally accepted data sources.</w:t>
      </w:r>
    </w:p>
    <w:p>
      <w:r>
        <w:br w:type="page"/>
      </w:r>
    </w:p>
    <w:p>
      <w:pPr>
        <w:keepNext/>
        <w:spacing w:before="360" w:after="160"/>
      </w:pPr>
      <w:r>
        <w:rPr>
          <w:rFonts w:ascii="Cambria" w:hAnsi="Cambria" w:eastAsia="Cambria"/>
          <w:b/>
          <w:i w:val="0"/>
          <w:color w:val="1F3A5F"/>
          <w:sz w:val="36"/>
        </w:rPr>
        <w:t>47. Student Strength (SS)</w:t>
      </w:r>
    </w:p>
    <w:p>
      <w:pPr>
        <w:spacing w:after="40" w:line="276" w:lineRule="auto"/>
      </w:pPr>
      <w:r>
        <w:rPr>
          <w:rFonts w:ascii="Cambria" w:hAnsi="Cambria" w:eastAsia="Cambria"/>
          <w:b/>
          <w:i w:val="0"/>
          <w:sz w:val="22"/>
        </w:rPr>
        <w:t>1. 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SS = f(NT, NE) × 20 + f(Np) × 10</w:t>
      </w:r>
    </w:p>
    <w:p>
      <w:pPr>
        <w:spacing w:after="40" w:line="276" w:lineRule="auto"/>
      </w:pPr>
      <w:r>
        <w:rPr>
          <w:rFonts w:ascii="Cambria" w:hAnsi="Cambria" w:eastAsia="Cambria"/>
          <w:b/>
          <w:i w:val="0"/>
          <w:sz w:val="22"/>
        </w:rPr>
        <w:t>Where: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NT</w:t>
      </w:r>
      <w:r>
        <w:rPr>
          <w:rFonts w:ascii="Cambria" w:hAnsi="Cambria" w:eastAsia="Cambria"/>
          <w:b w:val="0"/>
          <w:i w:val="0"/>
          <w:sz w:val="22"/>
        </w:rPr>
        <w:t xml:space="preserve"> = Total sanctioned intake in UG &amp; PG programs (as per AICTE/UGC/Statutory approvals).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NE</w:t>
      </w:r>
      <w:r>
        <w:rPr>
          <w:rFonts w:ascii="Cambria" w:hAnsi="Cambria" w:eastAsia="Cambria"/>
          <w:b w:val="0"/>
          <w:i w:val="0"/>
          <w:sz w:val="22"/>
        </w:rPr>
        <w:t xml:space="preserve"> = Total enrolled students in UG &amp; PG programs (actual strength).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Np</w:t>
      </w:r>
      <w:r>
        <w:rPr>
          <w:rFonts w:ascii="Cambria" w:hAnsi="Cambria" w:eastAsia="Cambria"/>
          <w:b w:val="0"/>
          <w:i w:val="0"/>
          <w:sz w:val="22"/>
        </w:rPr>
        <w:t xml:space="preserve"> = Total doctoral (Ph.D.) enrollment till the previous academic year.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w:t>
      </w:r>
      <w:r>
        <w:rPr>
          <w:rFonts w:ascii="Cambria" w:hAnsi="Cambria" w:eastAsia="Cambria"/>
          <w:b w:val="0"/>
          <w:i w:val="0"/>
          <w:sz w:val="22"/>
        </w:rPr>
        <w:t xml:space="preserve"> = Normalization function decided by NIRF for scale and discipline fairness.</w:t>
      </w:r>
    </w:p>
    <w:p>
      <w:pPr>
        <w:spacing w:after="40" w:line="276" w:lineRule="auto"/>
      </w:pPr>
      <w:r>
        <w:rPr>
          <w:rFonts w:ascii="Cambria" w:hAnsi="Cambria" w:eastAsia="Cambria"/>
          <w:b/>
          <w:i w:val="0"/>
          <w:sz w:val="22"/>
        </w:rPr>
        <w:t>2. Subcomponents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UG/PG Strength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f(NT, NE) reflects how well the institution fills its approved intake capacity.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student enrollment closer to approved intake = higher score.</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Ph.D. Strength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f(Np) gives weightage to institutions with strong doctoral programs, showing advanced research culture.</w:t>
      </w:r>
    </w:p>
    <w:p>
      <w:pPr>
        <w:spacing w:after="40" w:line="276" w:lineRule="auto"/>
      </w:pPr>
      <w:r>
        <w:rPr>
          <w:rFonts w:ascii="Cambria" w:hAnsi="Cambria" w:eastAsia="Cambria"/>
          <w:b/>
          <w:i w:val="0"/>
          <w:sz w:val="22"/>
        </w:rPr>
        <w:t>3. Interpretation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 a healthy ratio between sanctioned intake and actual enrollment.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 doctoral education, which drives research &amp; innovation.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 balanced UG, PG, and Ph.D. student distribution is rewarded.</w:t>
      </w:r>
    </w:p>
    <w:p>
      <w:pPr>
        <w:spacing w:after="40" w:line="276" w:lineRule="auto"/>
      </w:pPr>
      <w:r>
        <w:rPr>
          <w:rFonts w:ascii="Cambria" w:hAnsi="Cambria" w:eastAsia="Cambria"/>
          <w:b/>
          <w:i w:val="0"/>
          <w:sz w:val="22"/>
        </w:rPr>
        <w:t>4. Example Calculation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NT = 2,000 (sanctioned intake across UG/PG).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NE = 1,800 (actual enrollment, i.e., 90% fill rate).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Np = 300 (Ph.D. students enrolled).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f(NT, NE) = 0.9 and f(Np) = 0.75 (illustrative values):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UG/PG Score = 0.9 × 20 = 18</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Ph.D. Score = 0.75 × 10 = 7.5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SS = 18 + 7.5 = 25.5 / 30 Marks</w:t>
      </w:r>
    </w:p>
    <w:p>
      <w:pPr>
        <w:spacing w:after="40" w:line="276" w:lineRule="auto"/>
      </w:pPr>
      <w:r>
        <w:rPr>
          <w:rFonts w:ascii="Cambria" w:hAnsi="Cambria" w:eastAsia="Cambria"/>
          <w:b/>
          <w:i w:val="0"/>
          <w:sz w:val="22"/>
        </w:rPr>
        <w:t>5. 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Sanctioned intake program-wise (UG + 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Actual enrollment program-wise (UG + 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Ph.D. student list with enrollment year.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AICTE/UGC/Statutory approvals.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University/Institution admission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Ph.D. enrollment registers.</w:t>
      </w:r>
    </w:p>
    <w:p>
      <w:pPr>
        <w:spacing w:after="40" w:line="276" w:lineRule="auto"/>
      </w:pPr>
      <w:r>
        <w:rPr>
          <w:rFonts w:ascii="Cambria" w:hAnsi="Cambria" w:eastAsia="Cambria"/>
          <w:b/>
          <w:i w:val="0"/>
          <w:sz w:val="22"/>
        </w:rPr>
        <w:t>6. 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maximize utilization of intake capacity.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those with a strong doctoral base to support research excellence.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Creates a balanced academic ecosystem from UG through Ph.D.</w:t>
      </w:r>
    </w:p>
    <w:p>
      <w:r>
        <w:br w:type="page"/>
      </w:r>
    </w:p>
    <w:p>
      <w:pPr>
        <w:keepNext/>
        <w:spacing w:before="360" w:after="160"/>
      </w:pPr>
      <w:r>
        <w:rPr>
          <w:rFonts w:ascii="Cambria" w:hAnsi="Cambria" w:eastAsia="Cambria"/>
          <w:b/>
          <w:i w:val="0"/>
          <w:color w:val="1F3A5F"/>
          <w:sz w:val="36"/>
        </w:rPr>
        <w:t>48. FQE Metric</w:t>
      </w:r>
    </w:p>
    <w:p>
      <w:pPr>
        <w:spacing w:after="40" w:line="276" w:lineRule="auto"/>
      </w:pPr>
      <w:r>
        <w:rPr>
          <w:rFonts w:ascii="Cambria" w:hAnsi="Cambria" w:eastAsia="Cambria"/>
          <w:b/>
          <w:i w:val="0"/>
          <w:sz w:val="22"/>
        </w:rPr>
        <w:t>1. Sub-Components</w:t>
      </w:r>
    </w:p>
    <w:p>
      <w:pPr>
        <w:spacing w:line="276" w:lineRule="auto" w:after="80"/>
        <w:ind w:left="357" w:hanging="357"/>
      </w:pPr>
      <w:r>
        <w:rPr>
          <w:rFonts w:ascii="Cambria" w:hAnsi="Cambria" w:eastAsia="Cambria"/>
          <w:b w:val="0"/>
          <w:i w:val="0"/>
          <w:sz w:val="22"/>
        </w:rPr>
        <w:t>·</w:t>
        <w:tab/>
      </w:r>
      <w:r>
        <w:rPr>
          <w:rFonts w:ascii="Cambria" w:hAnsi="Cambria" w:eastAsia="Cambria"/>
          <w:b/>
          <w:i/>
          <w:sz w:val="22"/>
        </w:rPr>
        <w:t>FQ (20 Marks)</w:t>
      </w:r>
      <w:r>
        <w:rPr>
          <w:rFonts w:ascii="Cambria" w:hAnsi="Cambria" w:eastAsia="Cambria"/>
          <w:b w:val="0"/>
          <w:i w:val="0"/>
          <w:sz w:val="22"/>
        </w:rPr>
        <w:t xml:space="preserve"> → Faculty Qualification (Ph.D. or equivalent).</w:t>
      </w:r>
    </w:p>
    <w:p>
      <w:pPr>
        <w:spacing w:line="276" w:lineRule="auto" w:after="80"/>
        <w:ind w:left="357" w:hanging="357"/>
      </w:pPr>
      <w:r>
        <w:rPr>
          <w:rFonts w:ascii="Cambria" w:hAnsi="Cambria" w:eastAsia="Cambria"/>
          <w:b w:val="0"/>
          <w:i w:val="0"/>
          <w:sz w:val="22"/>
        </w:rPr>
        <w:t>·</w:t>
        <w:tab/>
      </w:r>
      <w:r>
        <w:rPr>
          <w:rFonts w:ascii="Cambria" w:hAnsi="Cambria" w:eastAsia="Cambria"/>
          <w:b/>
          <w:i/>
          <w:sz w:val="22"/>
        </w:rPr>
        <w:t>FE (20 Marks)</w:t>
      </w:r>
      <w:r>
        <w:rPr>
          <w:rFonts w:ascii="Cambria" w:hAnsi="Cambria" w:eastAsia="Cambria"/>
          <w:b w:val="0"/>
          <w:i w:val="0"/>
          <w:sz w:val="22"/>
        </w:rPr>
        <w:t xml:space="preserve"> → Faculty Experience (distribution across categories).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FQE = FQ + FE (Max = 40 Marks).</w:t>
      </w:r>
    </w:p>
    <w:p>
      <w:pPr>
        <w:spacing w:after="40" w:line="276" w:lineRule="auto"/>
      </w:pPr>
      <w:r>
        <w:rPr>
          <w:rFonts w:ascii="Cambria" w:hAnsi="Cambria" w:eastAsia="Cambria"/>
          <w:b/>
          <w:i w:val="0"/>
          <w:sz w:val="22"/>
        </w:rPr>
        <w:t>2. Faculty Qualification (FQ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FRA &lt; 95% → FQ = 20 × (FRA ÷ 95)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FRA ≥ 95% → FQ = 20 (full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FRA = % of faculty with Ph.D. (or equivalent) relative to whichever is higher: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Required Faculty (as per FSR 1:15), OR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Actual Faculty available.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Interpretation: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where most faculty are Ph.D. holders.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At least 95% Ph.D. faculty = full marks.</w:t>
      </w:r>
    </w:p>
    <w:p>
      <w:pPr>
        <w:spacing w:after="40" w:line="276" w:lineRule="auto"/>
      </w:pPr>
      <w:r>
        <w:rPr>
          <w:rFonts w:ascii="Cambria" w:hAnsi="Cambria" w:eastAsia="Cambria"/>
          <w:b/>
          <w:i w:val="0"/>
          <w:sz w:val="22"/>
        </w:rPr>
        <w:t>3. Faculty Experience (FE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Categories: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F1 = Fraction of faculty with ≤ 8 years'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F2 = Fraction of faculty with &gt;8 to 15 years'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F3 = Fraction of faculty with &gt;15 years' experience.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Formula: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FE = 6 × min(3F1, 1) + 6 × min(3F2, 1) + 8 × min(3F3, 1)</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Rationale: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 balanced mix of young (F1), mid-career (F2), and senior (F3)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Maximum marks if ratio is close to 1:1:1.</w:t>
      </w:r>
    </w:p>
    <w:p>
      <w:pPr>
        <w:spacing w:after="40" w:line="276" w:lineRule="auto"/>
      </w:pPr>
      <w:r>
        <w:rPr>
          <w:rFonts w:ascii="Cambria" w:hAnsi="Cambria" w:eastAsia="Cambria"/>
          <w:b/>
          <w:i w:val="0"/>
          <w:sz w:val="22"/>
        </w:rPr>
        <w:t>4. Example Calculation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faculty = 120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Ph.D. faculty = 105 (FRA = 87.5%)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FQ = 20 × (87.5 ÷ 95) = 18.4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F1 = 40 faculty (40/120 = 0.33)</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F2 = 40 faculty (40/120 = 0.33)</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F3 = 40 faculty (40/120 = 0.33)</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FE = (6 × min(0.99,1)) + (6 × min(0.99,1)) + (8 × min(0.99,1))</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6 + 6 + 8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Final FQE = FQ + FE = 18.4 + 20 = 38.4 / 40</w:t>
      </w:r>
    </w:p>
    <w:p>
      <w:pPr>
        <w:spacing w:after="40" w:line="276" w:lineRule="auto"/>
      </w:pPr>
      <w:r>
        <w:rPr>
          <w:rFonts w:ascii="Cambria" w:hAnsi="Cambria" w:eastAsia="Cambria"/>
          <w:b/>
          <w:i w:val="0"/>
          <w:sz w:val="22"/>
        </w:rPr>
        <w:t>5. 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Complete faculty list with qualification &amp; years of experience.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HR records, Annual Report.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appointment and Ph.D. award certificates.</w:t>
      </w:r>
    </w:p>
    <w:p>
      <w:pPr>
        <w:spacing w:after="40" w:line="276" w:lineRule="auto"/>
      </w:pPr>
      <w:r>
        <w:rPr>
          <w:rFonts w:ascii="Cambria" w:hAnsi="Cambria" w:eastAsia="Cambria"/>
          <w:b/>
          <w:i w:val="0"/>
          <w:sz w:val="22"/>
        </w:rPr>
        <w:t>6. 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 Ph.D. % = strong academic foundation.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Balanced experience profile = effective mentoring + research output + academic quality.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Prevents skew towards either only young or only senior faculty.</w:t>
      </w:r>
    </w:p>
    <w:p>
      <w:r>
        <w:br w:type="page"/>
      </w:r>
    </w:p>
    <w:p>
      <w:pPr>
        <w:keepNext/>
        <w:spacing w:before="360" w:after="160"/>
      </w:pPr>
      <w:r>
        <w:rPr>
          <w:rFonts w:ascii="Cambria" w:hAnsi="Cambria" w:eastAsia="Cambria"/>
          <w:b/>
          <w:i w:val="0"/>
          <w:color w:val="1F3A5F"/>
          <w:sz w:val="36"/>
        </w:rPr>
        <w:t>49. Publications in 1st Quartile JCR (JCRQ1)</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JCRQ1 = 30 × f(Nq1 / 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Nq1 = Number of publications in 1st Quartile (Q1) journals according to Journal Citation Reports (JCR, Clarivate Analytics).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FRQ = Faculty Reference Quantity = max(required faculty strength as per FSR 1:15, or actual faculty strength).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if benchmark (set by NIRF) is met/exceeded.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Publication Quality Benchmark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Q1 journals = top 25% of journals in a discipline ranked by Impact Factor &amp; citation distribution.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global standard of research quality.</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Faculty Research Excellence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faculty to publish in high-impact journals, not just high volume.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Q1 publications generally have higher citations, global visibility, and prestige.</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Global Competitiveness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with higher JCRQ1 output are seen as globally competitive research leaders.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 250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Q1 Publications (last 3 years) = 300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300 ÷ 250 = 1.2</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 1.5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Normalized = 1.2 ÷ 1.5 = 0.8</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JCRQ1 Score = 30 × 0.8 = 24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(Third Party):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Web of Science + JCR (Clarivate Analytics).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Affiliation-based extraction of Q1 journal publications.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Supporting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Faculty-wise publication list with DOI, journal name, and JCR quartile classification.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Verified bibliometric reports (Scopus/Web of Science exports).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NIRF doesn't just reward publication counts, but prioritizes quality, influence, and global recognition.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India's research presence in globally competitive journals.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Provides incentive to move research from Q3/Q4 journals to Q1/Q2 outlets.</w:t>
      </w:r>
    </w:p>
    <w:p>
      <w:pPr>
        <w:spacing w:after="40" w:line="276" w:lineRule="auto"/>
      </w:pPr>
      <w:r>
        <w:rPr>
          <w:rFonts w:ascii="Cambria" w:hAnsi="Cambria" w:eastAsia="Cambria"/>
          <w:b/>
          <w:i w:val="0"/>
          <w:sz w:val="22"/>
        </w:rPr>
        <w:t>Primary Data (Third Party)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Web of Science (WoS) + Journal Citation Reports (JCR, Clarivate Analytics)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as the authoritative source to determine journal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JCR provides quartile classification (Q1–Q4) based on Impact Factor rankings within subject categories.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Q1 journals → Top 25% of journals in their field (highest quality).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Affiliation-Based Extraction of Q1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Publications are extracted using the institution's official WoS Affiliation ID.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publications are accurately attributed to the reporting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those papers published in Q1 journals are considered for this metric.</w:t>
      </w:r>
    </w:p>
    <w:p>
      <w:pPr>
        <w:spacing w:after="40" w:line="276" w:lineRule="auto"/>
      </w:pPr>
      <w:r>
        <w:rPr>
          <w:rFonts w:ascii="Cambria" w:hAnsi="Cambria" w:eastAsia="Cambria"/>
          <w:b/>
          <w:i w:val="0"/>
          <w:sz w:val="22"/>
        </w:rPr>
        <w:t>Institutional Supporting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Faculty-Wise Publication List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prepare a detailed faculty-wise list including:</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Name</w:t>
      </w:r>
    </w:p>
    <w:p>
      <w:pPr>
        <w:spacing w:after="40"/>
        <w:ind w:left="1644" w:hanging="357"/>
      </w:pPr>
      <w:r>
        <w:rPr>
          <w:rFonts w:ascii="Cambria" w:hAnsi="Cambria" w:eastAsia="Cambria"/>
          <w:b w:val="0"/>
          <w:i w:val="0"/>
          <w:sz w:val="22"/>
        </w:rPr>
        <w:t>▪</w:t>
        <w:tab/>
      </w:r>
      <w:r>
        <w:rPr>
          <w:rFonts w:ascii="Cambria" w:hAnsi="Cambria" w:eastAsia="Cambria"/>
          <w:b w:val="0"/>
          <w:i w:val="0"/>
          <w:sz w:val="22"/>
        </w:rPr>
        <w:t>Publication Title</w:t>
      </w:r>
    </w:p>
    <w:p>
      <w:pPr>
        <w:spacing w:after="40"/>
        <w:ind w:left="1644" w:hanging="357"/>
      </w:pPr>
      <w:r>
        <w:rPr>
          <w:rFonts w:ascii="Cambria" w:hAnsi="Cambria" w:eastAsia="Cambria"/>
          <w:b w:val="0"/>
          <w:i w:val="0"/>
          <w:sz w:val="22"/>
        </w:rPr>
        <w:t>▪</w:t>
        <w:tab/>
      </w:r>
      <w:r>
        <w:rPr>
          <w:rFonts w:ascii="Cambria" w:hAnsi="Cambria" w:eastAsia="Cambria"/>
          <w:b w:val="0"/>
          <w:i w:val="0"/>
          <w:sz w:val="22"/>
        </w:rPr>
        <w:t>Journal Name</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Publication</w:t>
      </w:r>
    </w:p>
    <w:p>
      <w:pPr>
        <w:spacing w:after="40"/>
        <w:ind w:left="1644" w:hanging="357"/>
      </w:pPr>
      <w:r>
        <w:rPr>
          <w:rFonts w:ascii="Cambria" w:hAnsi="Cambria" w:eastAsia="Cambria"/>
          <w:b w:val="0"/>
          <w:i w:val="0"/>
          <w:sz w:val="22"/>
        </w:rPr>
        <w:t>▪</w:t>
        <w:tab/>
      </w:r>
      <w:r>
        <w:rPr>
          <w:rFonts w:ascii="Cambria" w:hAnsi="Cambria" w:eastAsia="Cambria"/>
          <w:b w:val="0"/>
          <w:i w:val="0"/>
          <w:sz w:val="22"/>
        </w:rPr>
        <w:t>DOI (Digital Object Identifier)</w:t>
      </w:r>
    </w:p>
    <w:p>
      <w:pPr>
        <w:spacing w:after="40"/>
        <w:ind w:left="1644" w:hanging="357"/>
      </w:pPr>
      <w:r>
        <w:rPr>
          <w:rFonts w:ascii="Cambria" w:hAnsi="Cambria" w:eastAsia="Cambria"/>
          <w:b w:val="0"/>
          <w:i w:val="0"/>
          <w:sz w:val="22"/>
        </w:rPr>
        <w:t>▪</w:t>
        <w:tab/>
      </w:r>
      <w:r>
        <w:rPr>
          <w:rFonts w:ascii="Cambria" w:hAnsi="Cambria" w:eastAsia="Cambria"/>
          <w:b w:val="0"/>
          <w:i w:val="0"/>
          <w:sz w:val="22"/>
        </w:rPr>
        <w:t>JCR Quartile Classification (Q1, Q2, Q3, Q4)</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Verified Bibliometric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Exported reports from Scopus/WoS with filters applied for Q1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May include SciVal or InCites analytics.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be consistent with the JCR quartile classification.</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Cross-check with Clarivate JCR database for quartile confirmation.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Validate using WoS exports with institution affiliation filters applied.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 DOI-level verification to prevent inclusion of predatory or non-Q1 journals.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Q1 journal publications indicate research excellence and global visibility.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Helps distinguish between volume of research vs. quality of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with global ranking methodologies (e.g., QS, THE).</w:t>
      </w:r>
    </w:p>
    <w:p>
      <w:r>
        <w:br w:type="page"/>
      </w:r>
    </w:p>
    <w:p>
      <w:pPr>
        <w:keepNext/>
        <w:spacing w:before="360" w:after="160"/>
      </w:pPr>
      <w:r>
        <w:rPr>
          <w:rFonts w:ascii="Cambria" w:hAnsi="Cambria" w:eastAsia="Cambria"/>
          <w:b/>
          <w:i w:val="0"/>
          <w:color w:val="1F3A5F"/>
          <w:sz w:val="36"/>
        </w:rPr>
        <w:t>50. Publications in Top 25% (TOP25)</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TOP25 = 30 × f(Ntop25 / 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Ntop25 = Number of publications (past 3 years) in the top 25 percentile of global journals (by Impact Factor / Citation percentile).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FRQ = Faculty Reference Quantity = max(required faculty strength as per 1:15 FSR, or actual faculty strength).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balance across institutions and disciplines.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if benchmark (set by NIRF) is met/exceeded.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Global Publication Quality Beyond Volume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how many institutional papers appear in top-cited, high-impact journals, ensuring global recognition.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Goes beyond JCR Q1 alone, as top 25% may cut across subject-specific rankings.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Research Excellence and Prestige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an institution's ability to produce research that is not only published but recognized among the best globally.</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Benchmarking Research Competitiveness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HEIs that compete with world-leading institutions in research visibility.</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FRQ = 200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Ntop25 = 220 publications in last 3 years within top 25% journals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220 ÷ 200 = 1.1</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 1.5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Normalized ratio = 1.1 ÷ 1.5 = 0.733</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TOP25 Score = 30 × 0.733 = 22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(Third Party):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Web of Science / Scopus / JCR (Clarivate) with percentile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Bibliometric services (e.g., InCites, SciVal).</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Supporting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publication lists with DOI and journal classification.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Verified exports from citation databases showing percentile.</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research quality and impact, not just quantity.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Pushes Indian HEIs toward global competitiveness in citations and journal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faculty to target top-ranked outlets, improving institutional reputation.</w:t>
      </w:r>
    </w:p>
    <w:p>
      <w:pPr>
        <w:spacing w:after="40" w:line="276" w:lineRule="auto"/>
      </w:pPr>
      <w:r>
        <w:rPr>
          <w:rFonts w:ascii="Cambria" w:hAnsi="Cambria" w:eastAsia="Cambria"/>
          <w:b/>
          <w:i w:val="0"/>
          <w:sz w:val="22"/>
        </w:rPr>
        <w:t>Primary Data (Third Party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Web of Science (WoS) / Scopus / JCR (Clarivate Analytics)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percentile rankings of journals based on Impact Factor or CiteScore.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Journals are ranked relative to others in the same subject category.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w:t>
      </w:r>
    </w:p>
    <w:p>
      <w:pPr>
        <w:spacing w:after="40"/>
        <w:ind w:left="1644" w:hanging="357"/>
      </w:pPr>
      <w:r>
        <w:rPr>
          <w:rFonts w:ascii="Cambria" w:hAnsi="Cambria" w:eastAsia="Cambria"/>
          <w:b w:val="0"/>
          <w:i w:val="0"/>
          <w:sz w:val="22"/>
        </w:rPr>
        <w:t>▪</w:t>
        <w:tab/>
      </w:r>
      <w:r>
        <w:rPr>
          <w:rFonts w:ascii="Cambria" w:hAnsi="Cambria" w:eastAsia="Cambria"/>
          <w:b w:val="0"/>
          <w:i w:val="0"/>
          <w:sz w:val="22"/>
        </w:rPr>
        <w:t>Top 10% journals → Highest impact, most prestigious.</w:t>
      </w:r>
    </w:p>
    <w:p>
      <w:pPr>
        <w:spacing w:after="40"/>
        <w:ind w:left="1644" w:hanging="357"/>
      </w:pPr>
      <w:r>
        <w:rPr>
          <w:rFonts w:ascii="Cambria" w:hAnsi="Cambria" w:eastAsia="Cambria"/>
          <w:b w:val="0"/>
          <w:i w:val="0"/>
          <w:sz w:val="22"/>
        </w:rPr>
        <w:t>▪</w:t>
        <w:tab/>
      </w:r>
      <w:r>
        <w:rPr>
          <w:rFonts w:ascii="Cambria" w:hAnsi="Cambria" w:eastAsia="Cambria"/>
          <w:b w:val="0"/>
          <w:i w:val="0"/>
          <w:sz w:val="22"/>
        </w:rPr>
        <w:t>Next 10–25% → Strong research quality.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Bibliometric Services (InCites, SciVal)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InCites (Clarivate, WoS) and SciVal (Elsevier, Scopus) provide analytics dashboards.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Generate percentile-based publication reports at institutional and faculty levels.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cross-verify institutional claims.</w:t>
      </w:r>
    </w:p>
    <w:p>
      <w:pPr>
        <w:spacing w:after="40" w:line="276" w:lineRule="auto"/>
      </w:pPr>
      <w:r>
        <w:rPr>
          <w:rFonts w:ascii="Cambria" w:hAnsi="Cambria" w:eastAsia="Cambria"/>
          <w:b/>
          <w:i w:val="0"/>
          <w:sz w:val="22"/>
        </w:rPr>
        <w:t>Institutional Supporting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Publication Lists with DOI &amp; Journal Classification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Faculty-wise list of all publications including:</w:t>
      </w:r>
    </w:p>
    <w:p>
      <w:pPr>
        <w:spacing w:after="40"/>
        <w:ind w:left="1644" w:hanging="357"/>
      </w:pPr>
      <w:r>
        <w:rPr>
          <w:rFonts w:ascii="Cambria" w:hAnsi="Cambria" w:eastAsia="Cambria"/>
          <w:b w:val="0"/>
          <w:i w:val="0"/>
          <w:sz w:val="22"/>
        </w:rPr>
        <w:t>▪</w:t>
        <w:tab/>
      </w:r>
      <w:r>
        <w:rPr>
          <w:rFonts w:ascii="Cambria" w:hAnsi="Cambria" w:eastAsia="Cambria"/>
          <w:b w:val="0"/>
          <w:i w:val="0"/>
          <w:sz w:val="22"/>
        </w:rPr>
        <w:t>Title, Journal Name, DOI.</w:t>
      </w:r>
    </w:p>
    <w:p>
      <w:pPr>
        <w:spacing w:after="40"/>
        <w:ind w:left="1644" w:hanging="357"/>
      </w:pPr>
      <w:r>
        <w:rPr>
          <w:rFonts w:ascii="Cambria" w:hAnsi="Cambria" w:eastAsia="Cambria"/>
          <w:b w:val="0"/>
          <w:i w:val="0"/>
          <w:sz w:val="22"/>
        </w:rPr>
        <w:t>▪</w:t>
        <w:tab/>
      </w:r>
      <w:r>
        <w:rPr>
          <w:rFonts w:ascii="Cambria" w:hAnsi="Cambria" w:eastAsia="Cambria"/>
          <w:b w:val="0"/>
          <w:i w:val="0"/>
          <w:sz w:val="22"/>
        </w:rPr>
        <w:t>Journal classification (percentile rank, quartile rank).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track research distribution across top-ranked journals.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Verified Exports from Citation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provide exported reports from Scopus/WoS showing journal percentiles.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Exports must be affiliation-based to avoid false attribution.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 evidence:</w:t>
      </w:r>
    </w:p>
    <w:p>
      <w:pPr>
        <w:spacing w:after="40"/>
        <w:ind w:left="1644" w:hanging="357"/>
      </w:pPr>
      <w:r>
        <w:rPr>
          <w:rFonts w:ascii="Cambria" w:hAnsi="Cambria" w:eastAsia="Cambria"/>
          <w:b w:val="0"/>
          <w:i w:val="0"/>
          <w:sz w:val="22"/>
        </w:rPr>
        <w:t>▪</w:t>
        <w:tab/>
      </w:r>
      <w:r>
        <w:rPr>
          <w:rFonts w:ascii="Cambria" w:hAnsi="Cambria" w:eastAsia="Cambria"/>
          <w:b w:val="0"/>
          <w:i w:val="0"/>
          <w:sz w:val="22"/>
        </w:rPr>
        <w:t>CSV/Excel exports from Scopus.</w:t>
      </w:r>
    </w:p>
    <w:p>
      <w:pPr>
        <w:spacing w:after="40"/>
        <w:ind w:left="1644" w:hanging="357"/>
      </w:pPr>
      <w:r>
        <w:rPr>
          <w:rFonts w:ascii="Cambria" w:hAnsi="Cambria" w:eastAsia="Cambria"/>
          <w:b w:val="0"/>
          <w:i w:val="0"/>
          <w:sz w:val="22"/>
        </w:rPr>
        <w:t>▪</w:t>
        <w:tab/>
      </w:r>
      <w:r>
        <w:rPr>
          <w:rFonts w:ascii="Cambria" w:hAnsi="Cambria" w:eastAsia="Cambria"/>
          <w:b w:val="0"/>
          <w:i w:val="0"/>
          <w:sz w:val="22"/>
        </w:rPr>
        <w:t>InCites PDF/Excel reports.</w:t>
      </w:r>
    </w:p>
    <w:p>
      <w:pPr>
        <w:spacing w:after="40"/>
        <w:ind w:left="1644" w:hanging="357"/>
      </w:pPr>
      <w:r>
        <w:rPr>
          <w:rFonts w:ascii="Cambria" w:hAnsi="Cambria" w:eastAsia="Cambria"/>
          <w:b w:val="0"/>
          <w:i w:val="0"/>
          <w:sz w:val="22"/>
        </w:rPr>
        <w:t>▪</w:t>
        <w:tab/>
      </w:r>
      <w:r>
        <w:rPr>
          <w:rFonts w:ascii="Cambria" w:hAnsi="Cambria" w:eastAsia="Cambria"/>
          <w:b w:val="0"/>
          <w:i w:val="0"/>
          <w:sz w:val="22"/>
        </w:rPr>
        <w:t>JCR percentile reports.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Cross-verified with Clarivate JCR or Elsevier Scopus percentile lists.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Checked against DOI-level metadata for accuracy.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Consistency must be maintained with: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Research outputs in Q1/Q2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Percentile rankings reported by InCites/SciVal.</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Goes beyond publication volume to measure research quality and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Incentivizes publishing in top 10% or top 25% journals globally.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with international ranking systems (QS, THE, ARWU).</w:t>
      </w:r>
    </w:p>
    <w:p>
      <w:r>
        <w:br w:type="page"/>
      </w:r>
    </w:p>
    <w:p>
      <w:pPr>
        <w:keepNext/>
        <w:spacing w:before="360" w:after="160"/>
      </w:pPr>
      <w:r>
        <w:rPr>
          <w:rFonts w:ascii="Cambria" w:hAnsi="Cambria" w:eastAsia="Cambria"/>
          <w:b/>
          <w:i w:val="0"/>
          <w:color w:val="1F3A5F"/>
          <w:sz w:val="36"/>
        </w:rPr>
        <w:t>51. NIRF 2024 Framework for Skill Universities</w:t>
      </w:r>
    </w:p>
    <w:p>
      <w:pPr>
        <w:keepNext/>
        <w:spacing w:before="280" w:after="120"/>
      </w:pPr>
      <w:r>
        <w:rPr>
          <w:rFonts w:ascii="Cambria" w:hAnsi="Cambria" w:eastAsia="Cambria"/>
          <w:b/>
          <w:i w:val="0"/>
          <w:color w:val="1F3A5F"/>
          <w:sz w:val="30"/>
        </w:rPr>
        <w:t>1. Teaching, Learning &amp; Resources (TLR) – 100 Marks (Weight: 0.40)</w:t>
      </w:r>
    </w:p>
    <w:p>
      <w:pPr>
        <w:spacing w:after="80" w:line="276" w:lineRule="auto"/>
      </w:pPr>
      <w:r>
        <w:rPr>
          <w:rFonts w:ascii="Cambria" w:hAnsi="Cambria" w:eastAsia="Cambria"/>
          <w:b w:val="0"/>
          <w:i w:val="0"/>
          <w:sz w:val="22"/>
        </w:rPr>
        <w:t>For skill universities, teaching and training infrastructure carries the highest weight (40%), as these institutions are practice- and employability-oriented.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healthy enrollment across UG, PG, diploma, and vocational courses.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institutional capacity to attract and train students.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Faculty–Student Ratio (FSR)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Adequacy of permanent faculty relative to student numbers.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Importance placed on availability of trainers and faculty mentors for vocational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Qualification &amp; Experience (FQE)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of faculty with advanced qualifications and relevant professional/industry experience.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instructors bring practical expertise into training delivery.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Utilisation (FRU)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Per-student capital and recurring expenditure on labs, equipment, training workshops, ICT, and infrastructure.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how effectively funds are utilized to support skills training.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 Vocational Certificate Courses (VCC)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Special provision for institutions offering short-term vocational training programs, aligned with NEP-2020 and Skill India initiatives.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integration of industry-relevant certifications into the curriculum.</w:t>
      </w:r>
    </w:p>
    <w:p>
      <w:pPr>
        <w:keepNext/>
        <w:spacing w:before="280" w:after="120"/>
      </w:pPr>
      <w:r>
        <w:rPr>
          <w:rFonts w:ascii="Cambria" w:hAnsi="Cambria" w:eastAsia="Cambria"/>
          <w:b/>
          <w:i w:val="0"/>
          <w:color w:val="1F3A5F"/>
          <w:sz w:val="30"/>
        </w:rPr>
        <w:t>2. Research &amp; Professional Practice (RP) – 100 Marks (Weight: 0.15)</w:t>
      </w:r>
    </w:p>
    <w:p>
      <w:pPr>
        <w:spacing w:after="80" w:line="276" w:lineRule="auto"/>
      </w:pPr>
      <w:r>
        <w:rPr>
          <w:rFonts w:ascii="Cambria" w:hAnsi="Cambria" w:eastAsia="Cambria"/>
          <w:b w:val="0"/>
          <w:i w:val="0"/>
          <w:sz w:val="22"/>
        </w:rPr>
        <w:t>Research is given lower weight (15%) compared to traditional universities, but practice-driven innovation and patents are highly emphasized.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Research output in applied sciences, technical skills, and vocational pedagogy.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metrics, journal reputation, top-cited papers.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IPR &amp; Patents (IPR)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Heavy weightage for patents published/granted, reflecting applied innovations and industry-oriented outputs.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Projects &amp; Professional Practice (FPPP)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Sponsored projects, consultancy, incubation, and professional training initiatives.</w:t>
      </w:r>
    </w:p>
    <w:p>
      <w:pPr>
        <w:keepNext/>
        <w:spacing w:before="280" w:after="120"/>
      </w:pPr>
      <w:r>
        <w:rPr>
          <w:rFonts w:ascii="Cambria" w:hAnsi="Cambria" w:eastAsia="Cambria"/>
          <w:b/>
          <w:i w:val="0"/>
          <w:color w:val="1F3A5F"/>
          <w:sz w:val="30"/>
        </w:rPr>
        <w:t>3. Graduation Outcomes (GO) – 100 Marks (Weight: 0.25)</w:t>
      </w:r>
    </w:p>
    <w:p>
      <w:pPr>
        <w:spacing w:after="80" w:line="276" w:lineRule="auto"/>
      </w:pPr>
      <w:r>
        <w:rPr>
          <w:rFonts w:ascii="Cambria" w:hAnsi="Cambria" w:eastAsia="Cambria"/>
          <w:b w:val="0"/>
          <w:i w:val="0"/>
          <w:sz w:val="22"/>
        </w:rPr>
        <w:t>Measures success in employability, higher studies, and entrepreneurship.</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Placement &amp; Higher Studies (GPH) – 35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graduates placed in jobs or admitted to higher studies.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University Examinations (GUE) – 35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On-time graduation and completion rate across programs.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Median Salary (GMS)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Median salary of placed graduates.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Placement &amp; Entrepreneurship in Certificate Programs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New metric unique to skill universities.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success of short-term certificate holders in securing jobs or starting businesses.</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Ensures skill universities cater to diverse and underrepresented groups.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from outside the home state or from abroad.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Representation of women students and faculty.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Economically &amp; Socially Challenged Students (ESCS)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tuition reimbursements, scholarships, and fee waivers for underprivileged students.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Infrastructure and support for differently-abled students (labs, hostels, ICT).</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Measures reputation among employers and peers.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Peer Perception (PR)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Based on structured surveys with employers, industry partners, and academic peers.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skill universities, perception is strongly influenced by industry linkages, placement performance, and innovation-driven training.</w:t>
      </w:r>
    </w:p>
    <w:p>
      <w:pPr>
        <w:spacing w:after="40" w:line="276" w:lineRule="auto"/>
      </w:pPr>
      <w:r>
        <w:rPr>
          <w:rFonts w:ascii="Cambria" w:hAnsi="Cambria" w:eastAsia="Cambria"/>
          <w:b/>
          <w:i w:val="0"/>
          <w:sz w:val="22"/>
        </w:rPr>
        <w:t>Key Insights for Skill University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dominates (40%), with a unique metric for vocational certificate courses (10%) → highlights skill-based training.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weight is lower (15%), but IPR &amp; patents carry the highest share (40 marks), encouraging applied innovation.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(25%) emphasizes placements, salaries, and entrepreneurship, capturing employability outcomes.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 (10% each) align with inclusivity and reputation factors common to other categories.</w:t>
      </w:r>
    </w:p>
    <w:p>
      <w:pPr>
        <w:keepNext/>
        <w:spacing w:before="200" w:after="100"/>
      </w:pPr>
      <w:r>
        <w:rPr>
          <w:rFonts w:ascii="Cambria" w:hAnsi="Cambria" w:eastAsia="Cambria"/>
          <w:b/>
          <w:i w:val="0"/>
          <w:color w:val="1F3A5F"/>
          <w:sz w:val="26"/>
        </w:rPr>
        <w:t>NIRF 2024 – Overall vs Skill Universities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211"/>
            <w:shd w:val="clear" w:color="auto" w:fill="1F3A5F"/>
          </w:tcPr>
          <w:p>
            <w:pPr>
              <w:spacing w:after="40" w:line="240" w:lineRule="auto"/>
              <w:jc w:val="center"/>
            </w:pPr>
            <w:r/>
            <w:r>
              <w:rPr>
                <w:rFonts w:ascii="Cambria" w:hAnsi="Cambria" w:eastAsia="Cambria"/>
                <w:b/>
                <w:i w:val="0"/>
                <w:color w:val="FFFFFF"/>
                <w:sz w:val="22"/>
              </w:rPr>
              <w:t>Parameter</w:t>
            </w:r>
          </w:p>
        </w:tc>
        <w:tc>
          <w:tcPr>
            <w:tcW w:type="dxa" w:w="3600"/>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600"/>
            <w:shd w:val="clear" w:color="auto" w:fill="1F3A5F"/>
          </w:tcPr>
          <w:p>
            <w:pPr>
              <w:spacing w:after="40" w:line="240" w:lineRule="auto"/>
              <w:jc w:val="center"/>
            </w:pPr>
            <w:r/>
            <w:r>
              <w:rPr>
                <w:rFonts w:ascii="Cambria" w:hAnsi="Cambria" w:eastAsia="Cambria"/>
                <w:b/>
                <w:i w:val="0"/>
                <w:color w:val="FFFFFF"/>
                <w:sz w:val="22"/>
              </w:rPr>
              <w:t>Skill Universities Framework</w:t>
            </w:r>
          </w:p>
        </w:tc>
      </w:tr>
      <w:tr>
        <w:tc>
          <w:tcPr>
            <w:tcW w:type="dxa" w:w="2211"/>
          </w:tcPr>
          <w:p>
            <w:pPr>
              <w:spacing w:after="40" w:line="240" w:lineRule="auto"/>
              <w:jc w:val="left"/>
            </w:pPr>
            <w:r/>
            <w:r>
              <w:rPr>
                <w:rFonts w:ascii="Cambria" w:hAnsi="Cambria" w:eastAsia="Cambria"/>
                <w:b w:val="0"/>
                <w:i w:val="0"/>
                <w:sz w:val="22"/>
              </w:rPr>
              <w:t>Teaching, Learning &amp; Resources (TLR)</w:t>
            </w:r>
          </w:p>
        </w:tc>
        <w:tc>
          <w:tcPr>
            <w:tcW w:type="dxa" w:w="3600"/>
          </w:tcPr>
          <w:p>
            <w:pPr>
              <w:spacing w:after="40" w:line="240" w:lineRule="auto"/>
              <w:jc w:val="center"/>
            </w:pPr>
            <w:r/>
            <w:r>
              <w:rPr>
                <w:rFonts w:ascii="Cambria" w:hAnsi="Cambria" w:eastAsia="Cambria"/>
                <w:b w:val="0"/>
                <w:i w:val="0"/>
                <w:sz w:val="22"/>
              </w:rPr>
              <w:t>100 marks (30%)</w:t>
              <w:br/>
              <w:t>SS (20)</w:t>
              <w:br/>
              <w:t>FSR (25)</w:t>
              <w:br/>
              <w:t>FQE (20)</w:t>
              <w:br/>
              <w:t>FRU (20)</w:t>
              <w:br/>
              <w:t>OE (10)</w:t>
              <w:br/>
              <w:t>MIR (5)</w:t>
            </w:r>
          </w:p>
        </w:tc>
        <w:tc>
          <w:tcPr>
            <w:tcW w:type="dxa" w:w="3600"/>
          </w:tcPr>
          <w:p>
            <w:pPr>
              <w:spacing w:after="40" w:line="240" w:lineRule="auto"/>
              <w:jc w:val="center"/>
            </w:pPr>
            <w:r/>
            <w:r>
              <w:rPr>
                <w:rFonts w:ascii="Cambria" w:hAnsi="Cambria" w:eastAsia="Cambria"/>
                <w:b w:val="0"/>
                <w:i w:val="0"/>
                <w:sz w:val="22"/>
              </w:rPr>
              <w:t>100 marks (40%)</w:t>
              <w:br/>
              <w:t>SS (20)</w:t>
              <w:br/>
              <w:t>FSR (25)</w:t>
              <w:br/>
              <w:t>FQE (20)</w:t>
              <w:br/>
              <w:t>FRU (25)</w:t>
              <w:br/>
              <w:t>Vocational Certificate Courses (10)</w:t>
            </w:r>
          </w:p>
        </w:tc>
      </w:tr>
      <w:tr>
        <w:tc>
          <w:tcPr>
            <w:tcW w:type="dxa" w:w="2211"/>
            <w:shd w:val="clear" w:color="auto" w:fill="DCE6F1"/>
          </w:tcPr>
          <w:p>
            <w:pPr>
              <w:spacing w:after="40" w:line="240" w:lineRule="auto"/>
              <w:jc w:val="left"/>
            </w:pPr>
            <w:r/>
            <w:r>
              <w:rPr>
                <w:rFonts w:ascii="Cambria" w:hAnsi="Cambria" w:eastAsia="Cambria"/>
                <w:b w:val="0"/>
                <w:i w:val="0"/>
                <w:sz w:val="22"/>
              </w:rPr>
              <w:t>Research &amp; Professional Practice (RP)</w:t>
            </w:r>
          </w:p>
        </w:tc>
        <w:tc>
          <w:tcPr>
            <w:tcW w:type="dxa" w:w="3600"/>
            <w:shd w:val="clear" w:color="auto" w:fill="DCE6F1"/>
          </w:tcPr>
          <w:p>
            <w:pPr>
              <w:spacing w:after="40" w:line="240" w:lineRule="auto"/>
              <w:jc w:val="center"/>
            </w:pPr>
            <w:r/>
            <w:r>
              <w:rPr>
                <w:rFonts w:ascii="Cambria" w:hAnsi="Cambria" w:eastAsia="Cambria"/>
                <w:b w:val="0"/>
                <w:i w:val="0"/>
                <w:sz w:val="22"/>
              </w:rPr>
              <w:t>100 marks (30%)</w:t>
              <w:br/>
              <w:t>PU (30)</w:t>
              <w:br/>
              <w:t>QP (30)</w:t>
              <w:br/>
              <w:t>IPR (15)</w:t>
              <w:br/>
              <w:t>FPPP (15)</w:t>
              <w:br/>
              <w:t>PSDGs (10)</w:t>
            </w:r>
          </w:p>
        </w:tc>
        <w:tc>
          <w:tcPr>
            <w:tcW w:type="dxa" w:w="3600"/>
            <w:shd w:val="clear" w:color="auto" w:fill="DCE6F1"/>
          </w:tcPr>
          <w:p>
            <w:pPr>
              <w:spacing w:after="40" w:line="240" w:lineRule="auto"/>
              <w:jc w:val="center"/>
            </w:pPr>
            <w:r/>
            <w:r>
              <w:rPr>
                <w:rFonts w:ascii="Cambria" w:hAnsi="Cambria" w:eastAsia="Cambria"/>
                <w:b w:val="0"/>
                <w:i w:val="0"/>
                <w:sz w:val="22"/>
              </w:rPr>
              <w:t>100 marks (15%)</w:t>
              <w:br/>
              <w:t>PU (20)</w:t>
              <w:br/>
              <w:t>QP (20)</w:t>
              <w:br/>
              <w:t>IPR (40)</w:t>
              <w:br/>
              <w:t>FPPP (20)</w:t>
            </w:r>
          </w:p>
        </w:tc>
      </w:tr>
      <w:tr>
        <w:tc>
          <w:tcPr>
            <w:tcW w:type="dxa" w:w="2211"/>
          </w:tcPr>
          <w:p>
            <w:pPr>
              <w:spacing w:after="40" w:line="240" w:lineRule="auto"/>
              <w:jc w:val="left"/>
            </w:pPr>
            <w:r/>
            <w:r>
              <w:rPr>
                <w:rFonts w:ascii="Cambria" w:hAnsi="Cambria" w:eastAsia="Cambria"/>
                <w:b w:val="0"/>
                <w:i w:val="0"/>
                <w:sz w:val="22"/>
              </w:rPr>
              <w:t>Graduation Outcomes (GO)</w:t>
            </w:r>
          </w:p>
        </w:tc>
        <w:tc>
          <w:tcPr>
            <w:tcW w:type="dxa" w:w="3600"/>
          </w:tcPr>
          <w:p>
            <w:pPr>
              <w:spacing w:after="40" w:line="240" w:lineRule="auto"/>
              <w:jc w:val="center"/>
            </w:pPr>
            <w:r/>
            <w:r>
              <w:rPr>
                <w:rFonts w:ascii="Cambria" w:hAnsi="Cambria" w:eastAsia="Cambria"/>
                <w:b w:val="0"/>
                <w:i w:val="0"/>
                <w:sz w:val="22"/>
              </w:rPr>
              <w:t>100 marks (20%)</w:t>
              <w:br/>
              <w:t>GUE (60)</w:t>
              <w:br/>
              <w:t>GPHD (40)</w:t>
            </w:r>
          </w:p>
        </w:tc>
        <w:tc>
          <w:tcPr>
            <w:tcW w:type="dxa" w:w="3600"/>
          </w:tcPr>
          <w:p>
            <w:pPr>
              <w:spacing w:after="40" w:line="240" w:lineRule="auto"/>
              <w:jc w:val="center"/>
            </w:pPr>
            <w:r/>
            <w:r>
              <w:rPr>
                <w:rFonts w:ascii="Cambria" w:hAnsi="Cambria" w:eastAsia="Cambria"/>
                <w:b w:val="0"/>
                <w:i w:val="0"/>
                <w:sz w:val="22"/>
              </w:rPr>
              <w:t>100 marks (25%)</w:t>
              <w:br/>
              <w:t>GPH (35)</w:t>
              <w:br/>
              <w:t>GUE (35)</w:t>
              <w:br/>
              <w:t>GMS (20)</w:t>
              <w:br/>
              <w:t>Placement &amp; Entrepreneurship in Certificate Programs (10)</w:t>
            </w:r>
          </w:p>
        </w:tc>
      </w:tr>
      <w:tr>
        <w:tc>
          <w:tcPr>
            <w:tcW w:type="dxa" w:w="2211"/>
            <w:shd w:val="clear" w:color="auto" w:fill="DCE6F1"/>
          </w:tcPr>
          <w:p>
            <w:pPr>
              <w:spacing w:after="40" w:line="240" w:lineRule="auto"/>
              <w:jc w:val="left"/>
            </w:pPr>
            <w:r/>
            <w:r>
              <w:rPr>
                <w:rFonts w:ascii="Cambria" w:hAnsi="Cambria" w:eastAsia="Cambria"/>
                <w:b w:val="0"/>
                <w:i w:val="0"/>
                <w:sz w:val="22"/>
              </w:rPr>
              <w:t>Outreach &amp; Inclusivity (OI)</w:t>
            </w:r>
          </w:p>
        </w:tc>
        <w:tc>
          <w:tcPr>
            <w:tcW w:type="dxa" w:w="3600"/>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c>
          <w:tcPr>
            <w:tcW w:type="dxa" w:w="3600"/>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r>
      <w:tr>
        <w:tc>
          <w:tcPr>
            <w:tcW w:type="dxa" w:w="2211"/>
          </w:tcPr>
          <w:p>
            <w:pPr>
              <w:spacing w:after="40" w:line="240" w:lineRule="auto"/>
              <w:jc w:val="left"/>
            </w:pPr>
            <w:r/>
            <w:r>
              <w:rPr>
                <w:rFonts w:ascii="Cambria" w:hAnsi="Cambria" w:eastAsia="Cambria"/>
                <w:b w:val="0"/>
                <w:i w:val="0"/>
                <w:sz w:val="22"/>
              </w:rPr>
              <w:t>Perception (PR)</w:t>
            </w:r>
          </w:p>
        </w:tc>
        <w:tc>
          <w:tcPr>
            <w:tcW w:type="dxa" w:w="3600"/>
          </w:tcPr>
          <w:p>
            <w:pPr>
              <w:spacing w:after="40" w:line="240" w:lineRule="auto"/>
              <w:jc w:val="center"/>
            </w:pPr>
            <w:r/>
            <w:r>
              <w:rPr>
                <w:rFonts w:ascii="Cambria" w:hAnsi="Cambria" w:eastAsia="Cambria"/>
                <w:b w:val="0"/>
                <w:i w:val="0"/>
                <w:sz w:val="22"/>
              </w:rPr>
              <w:t>100 marks (10%)</w:t>
              <w:br/>
              <w:t>PR (100)</w:t>
            </w:r>
          </w:p>
        </w:tc>
        <w:tc>
          <w:tcPr>
            <w:tcW w:type="dxa" w:w="3600"/>
          </w:tcPr>
          <w:p>
            <w:pPr>
              <w:spacing w:after="40" w:line="240" w:lineRule="auto"/>
              <w:jc w:val="center"/>
            </w:pPr>
            <w:r/>
            <w:r>
              <w:rPr>
                <w:rFonts w:ascii="Cambria" w:hAnsi="Cambria" w:eastAsia="Cambria"/>
                <w:b w:val="0"/>
                <w:i w:val="0"/>
                <w:sz w:val="22"/>
              </w:rPr>
              <w:t>100 marks (10%)</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NEP-driven Online Education (10) and MIR (5).</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Skill Universities</w:t>
      </w:r>
      <w:r>
        <w:rPr>
          <w:rFonts w:ascii="Cambria" w:hAnsi="Cambria" w:eastAsia="Cambria"/>
          <w:b w:val="0"/>
          <w:i w:val="0"/>
          <w:sz w:val="22"/>
        </w:rPr>
        <w:t xml:space="preserve"> emphasize Vocational Certificate Courses (10) and assign higher overall weight (40%).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balanced across publications, quality, patents, projects, and SDG-linked research.</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Skill Universities</w:t>
      </w:r>
      <w:r>
        <w:rPr>
          <w:rFonts w:ascii="Cambria" w:hAnsi="Cambria" w:eastAsia="Cambria"/>
          <w:b w:val="0"/>
          <w:i w:val="0"/>
          <w:sz w:val="22"/>
        </w:rPr>
        <w:t xml:space="preserve"> = lighter RP weight (15%), but patents/IPR dominate (40 marks), reflecting applied innovation.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Exams (60) + Ph.D.s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Skill Universities</w:t>
      </w:r>
      <w:r>
        <w:rPr>
          <w:rFonts w:ascii="Cambria" w:hAnsi="Cambria" w:eastAsia="Cambria"/>
          <w:b w:val="0"/>
          <w:i w:val="0"/>
          <w:sz w:val="22"/>
        </w:rPr>
        <w:t xml:space="preserve"> = expanded to include Placements (35), Exams (35), Median Salary (20), and Entrepreneurship in Certificate Programs (10).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Identical across both frameworks.</w:t>
      </w:r>
    </w:p>
    <w:p>
      <w:r>
        <w:br w:type="page"/>
      </w:r>
    </w:p>
    <w:p>
      <w:pPr>
        <w:keepNext/>
        <w:spacing w:before="360" w:after="160"/>
      </w:pPr>
      <w:r>
        <w:rPr>
          <w:rFonts w:ascii="Cambria" w:hAnsi="Cambria" w:eastAsia="Cambria"/>
          <w:b/>
          <w:i w:val="0"/>
          <w:color w:val="1F3A5F"/>
          <w:sz w:val="36"/>
        </w:rPr>
        <w:t>52. Metric for Vocational Certificate Courses (VCC)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encourage higher education institutions, especially Skill Universities, to integrate short-term, industry-relevant vocational training into their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Supports the Skill India Mission and NEP-2020 emphasis on multiple entry/exit and flexible learning pathways.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What It Captures: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number, diversity, and effectiveness of vocational certificate courses offered.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enrollment, completion rates, industry recognition, and employability outcomes of these programs.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Expected Coverage: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Skill-oriented courses of 3–12 months duration, aligned with:</w:t>
      </w:r>
    </w:p>
    <w:p>
      <w:pPr>
        <w:spacing w:after="40"/>
        <w:ind w:left="1644" w:hanging="357"/>
      </w:pPr>
      <w:r>
        <w:rPr>
          <w:rFonts w:ascii="Cambria" w:hAnsi="Cambria" w:eastAsia="Cambria"/>
          <w:b w:val="0"/>
          <w:i w:val="0"/>
          <w:sz w:val="22"/>
        </w:rPr>
        <w:t>▪</w:t>
        <w:tab/>
      </w:r>
      <w:r>
        <w:rPr>
          <w:rFonts w:ascii="Cambria" w:hAnsi="Cambria" w:eastAsia="Cambria"/>
          <w:b w:val="0"/>
          <w:i w:val="0"/>
          <w:sz w:val="22"/>
        </w:rPr>
        <w:t>National Skills Qualifications Framework (NSQF) levels.</w:t>
      </w:r>
    </w:p>
    <w:p>
      <w:pPr>
        <w:spacing w:after="40"/>
        <w:ind w:left="1644" w:hanging="357"/>
      </w:pPr>
      <w:r>
        <w:rPr>
          <w:rFonts w:ascii="Cambria" w:hAnsi="Cambria" w:eastAsia="Cambria"/>
          <w:b w:val="0"/>
          <w:i w:val="0"/>
          <w:sz w:val="22"/>
        </w:rPr>
        <w:t>▪</w:t>
        <w:tab/>
      </w:r>
      <w:r>
        <w:rPr>
          <w:rFonts w:ascii="Cambria" w:hAnsi="Cambria" w:eastAsia="Cambria"/>
          <w:b w:val="0"/>
          <w:i w:val="0"/>
          <w:sz w:val="22"/>
        </w:rPr>
        <w:t>Sector Skill Councils (SSC) or National Skill Development Corporation (NSDC) approvals.</w:t>
      </w:r>
    </w:p>
    <w:p>
      <w:pPr>
        <w:spacing w:after="40"/>
        <w:ind w:left="1644" w:hanging="357"/>
      </w:pPr>
      <w:r>
        <w:rPr>
          <w:rFonts w:ascii="Cambria" w:hAnsi="Cambria" w:eastAsia="Cambria"/>
          <w:b w:val="0"/>
          <w:i w:val="0"/>
          <w:sz w:val="22"/>
        </w:rPr>
        <w:t>▪</w:t>
        <w:tab/>
      </w:r>
      <w:r>
        <w:rPr>
          <w:rFonts w:ascii="Cambria" w:hAnsi="Cambria" w:eastAsia="Cambria"/>
          <w:b w:val="0"/>
          <w:i w:val="0"/>
          <w:sz w:val="22"/>
        </w:rPr>
        <w:t>Industry-partnered certification (e.g., construction, IT, healthcare, retail, tourism).</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Assessment Basis: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certificate programs offered in the previous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Enrollment and completion rates of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Industry/sector recognition (DPIIT, SSC, NSDC, UGC approval).</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Employability impact</w:t>
      </w:r>
      <w:r>
        <w:rPr>
          <w:rFonts w:ascii="Cambria" w:hAnsi="Cambria" w:eastAsia="Cambria"/>
          <w:b w:val="0"/>
          <w:i w:val="0"/>
          <w:sz w:val="22"/>
        </w:rPr>
        <w:t xml:space="preserve"> – percentage of certificate holders securing jobs, apprenticeships, or self-employment.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Integration with regular degree pathways (credits for upward mobility).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Data Source: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Primary data to be provided by the institution in a prescribed format.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Supported by certificates issued, placement records, MoUs with industry partners, and accreditation from skill councils.</w:t>
      </w:r>
    </w:p>
    <w:p>
      <w:pPr>
        <w:spacing w:after="40" w:line="276" w:lineRule="auto"/>
      </w:pPr>
      <w:r>
        <w:rPr>
          <w:rFonts w:ascii="Cambria" w:hAnsi="Cambria" w:eastAsia="Cambria"/>
          <w:b/>
          <w:i w:val="0"/>
          <w:sz w:val="22"/>
        </w:rPr>
        <w:t>Scoring Logic (10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offering multiple, well-recognized certificate courses with high employability outcomes → closer to full 10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offering limited or low-impact certificate programs → partial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with no vocational certificate programs → zero marks.</w:t>
      </w:r>
    </w:p>
    <w:p>
      <w:pPr>
        <w:keepNext/>
        <w:spacing w:before="200" w:after="100"/>
      </w:pPr>
      <w:r>
        <w:rPr>
          <w:rFonts w:ascii="Cambria" w:hAnsi="Cambria" w:eastAsia="Cambria"/>
          <w:b/>
          <w:i w:val="0"/>
          <w:color w:val="1F3A5F"/>
          <w:sz w:val="26"/>
        </w:rPr>
        <w:t>Vocational Certificate Courses – Prescribed Format (Sample)</w:t>
      </w:r>
    </w:p>
    <w:p>
      <w:pPr>
        <w:keepNext/>
        <w:spacing w:before="160" w:after="80"/>
      </w:pPr>
      <w:r>
        <w:rPr>
          <w:rFonts w:ascii="Cambria" w:hAnsi="Cambria" w:eastAsia="Cambria"/>
          <w:b/>
          <w:i w:val="0"/>
          <w:color w:val="1F3A5F"/>
          <w:sz w:val="23"/>
        </w:rPr>
        <w:t>Certificate in Dairy Processing</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Duration (Months)</w:t>
            </w:r>
          </w:p>
        </w:tc>
        <w:tc>
          <w:tcPr>
            <w:tcW w:type="dxa" w:w="6860"/>
          </w:tcPr>
          <w:p>
            <w:pPr>
              <w:spacing w:after="40" w:line="240" w:lineRule="auto"/>
            </w:pPr>
            <w:r/>
            <w:r>
              <w:rPr>
                <w:rFonts w:ascii="Cambria" w:hAnsi="Cambria" w:eastAsia="Cambria"/>
                <w:b w:val="0"/>
                <w:i w:val="0"/>
                <w:sz w:val="22"/>
              </w:rPr>
              <w:t>6</w:t>
            </w:r>
          </w:p>
        </w:tc>
      </w:tr>
      <w:tr>
        <w:tc>
          <w:tcPr>
            <w:tcW w:type="dxa" w:w="2551"/>
            <w:shd w:val="clear" w:color="auto" w:fill="DCE6F1"/>
          </w:tcPr>
          <w:p>
            <w:pPr>
              <w:spacing w:after="40" w:line="240" w:lineRule="auto"/>
            </w:pPr>
            <w:r/>
            <w:r>
              <w:rPr>
                <w:rFonts w:ascii="Cambria" w:hAnsi="Cambria" w:eastAsia="Cambria"/>
                <w:b/>
                <w:i w:val="0"/>
                <w:sz w:val="22"/>
              </w:rPr>
              <w:t>NSQF Level</w:t>
            </w:r>
          </w:p>
        </w:tc>
        <w:tc>
          <w:tcPr>
            <w:tcW w:type="dxa" w:w="6860"/>
            <w:shd w:val="clear" w:color="auto" w:fill="DCE6F1"/>
          </w:tcPr>
          <w:p>
            <w:pPr>
              <w:spacing w:after="40" w:line="240" w:lineRule="auto"/>
            </w:pPr>
            <w:r/>
            <w:r>
              <w:rPr>
                <w:rFonts w:ascii="Cambria" w:hAnsi="Cambria" w:eastAsia="Cambria"/>
                <w:b w:val="0"/>
                <w:i w:val="0"/>
                <w:sz w:val="22"/>
              </w:rPr>
              <w:t>Level 4</w:t>
            </w:r>
          </w:p>
        </w:tc>
      </w:tr>
      <w:tr>
        <w:tc>
          <w:tcPr>
            <w:tcW w:type="dxa" w:w="2551"/>
          </w:tcPr>
          <w:p>
            <w:pPr>
              <w:spacing w:after="40" w:line="240" w:lineRule="auto"/>
            </w:pPr>
            <w:r/>
            <w:r>
              <w:rPr>
                <w:rFonts w:ascii="Cambria" w:hAnsi="Cambria" w:eastAsia="Cambria"/>
                <w:b/>
                <w:i w:val="0"/>
                <w:sz w:val="22"/>
              </w:rPr>
              <w:t>Enrollments</w:t>
            </w:r>
          </w:p>
        </w:tc>
        <w:tc>
          <w:tcPr>
            <w:tcW w:type="dxa" w:w="6860"/>
          </w:tcPr>
          <w:p>
            <w:pPr>
              <w:spacing w:after="40" w:line="240" w:lineRule="auto"/>
            </w:pPr>
            <w:r/>
            <w:r>
              <w:rPr>
                <w:rFonts w:ascii="Cambria" w:hAnsi="Cambria" w:eastAsia="Cambria"/>
                <w:b w:val="0"/>
                <w:i w:val="0"/>
                <w:sz w:val="22"/>
              </w:rPr>
              <w:t>120</w:t>
            </w:r>
          </w:p>
        </w:tc>
      </w:tr>
      <w:tr>
        <w:tc>
          <w:tcPr>
            <w:tcW w:type="dxa" w:w="2551"/>
            <w:shd w:val="clear" w:color="auto" w:fill="DCE6F1"/>
          </w:tcPr>
          <w:p>
            <w:pPr>
              <w:spacing w:after="40" w:line="240" w:lineRule="auto"/>
            </w:pPr>
            <w:r/>
            <w:r>
              <w:rPr>
                <w:rFonts w:ascii="Cambria" w:hAnsi="Cambria" w:eastAsia="Cambria"/>
                <w:b/>
                <w:i w:val="0"/>
                <w:sz w:val="22"/>
              </w:rPr>
              <w:t>Completions</w:t>
            </w:r>
          </w:p>
        </w:tc>
        <w:tc>
          <w:tcPr>
            <w:tcW w:type="dxa" w:w="6860"/>
            <w:shd w:val="clear" w:color="auto" w:fill="DCE6F1"/>
          </w:tcPr>
          <w:p>
            <w:pPr>
              <w:spacing w:after="40" w:line="240" w:lineRule="auto"/>
            </w:pPr>
            <w:r/>
            <w:r>
              <w:rPr>
                <w:rFonts w:ascii="Cambria" w:hAnsi="Cambria" w:eastAsia="Cambria"/>
                <w:b w:val="0"/>
                <w:i w:val="0"/>
                <w:sz w:val="22"/>
              </w:rPr>
              <w:t>105</w:t>
            </w:r>
          </w:p>
        </w:tc>
      </w:tr>
      <w:tr>
        <w:tc>
          <w:tcPr>
            <w:tcW w:type="dxa" w:w="2551"/>
          </w:tcPr>
          <w:p>
            <w:pPr>
              <w:spacing w:after="40" w:line="240" w:lineRule="auto"/>
            </w:pPr>
            <w:r/>
            <w:r>
              <w:rPr>
                <w:rFonts w:ascii="Cambria" w:hAnsi="Cambria" w:eastAsia="Cambria"/>
                <w:b/>
                <w:i w:val="0"/>
                <w:sz w:val="22"/>
              </w:rPr>
              <w:t>Industry Partner / SSC</w:t>
            </w:r>
          </w:p>
        </w:tc>
        <w:tc>
          <w:tcPr>
            <w:tcW w:type="dxa" w:w="6860"/>
          </w:tcPr>
          <w:p>
            <w:pPr>
              <w:spacing w:after="40" w:line="240" w:lineRule="auto"/>
            </w:pPr>
            <w:r/>
            <w:r>
              <w:rPr>
                <w:rFonts w:ascii="Cambria" w:hAnsi="Cambria" w:eastAsia="Cambria"/>
                <w:b w:val="0"/>
                <w:i w:val="0"/>
                <w:sz w:val="22"/>
              </w:rPr>
              <w:t>National Dairy Development Board (NDDB)</w:t>
            </w:r>
          </w:p>
        </w:tc>
      </w:tr>
      <w:tr>
        <w:tc>
          <w:tcPr>
            <w:tcW w:type="dxa" w:w="2551"/>
            <w:shd w:val="clear" w:color="auto" w:fill="DCE6F1"/>
          </w:tcPr>
          <w:p>
            <w:pPr>
              <w:spacing w:after="40" w:line="240" w:lineRule="auto"/>
            </w:pPr>
            <w:r/>
            <w:r>
              <w:rPr>
                <w:rFonts w:ascii="Cambria" w:hAnsi="Cambria" w:eastAsia="Cambria"/>
                <w:b/>
                <w:i w:val="0"/>
                <w:sz w:val="22"/>
              </w:rPr>
              <w:t>Placement / Entrepreneurship Outcome (%)</w:t>
            </w:r>
          </w:p>
        </w:tc>
        <w:tc>
          <w:tcPr>
            <w:tcW w:type="dxa" w:w="6860"/>
            <w:shd w:val="clear" w:color="auto" w:fill="DCE6F1"/>
          </w:tcPr>
          <w:p>
            <w:pPr>
              <w:spacing w:after="40" w:line="240" w:lineRule="auto"/>
            </w:pPr>
            <w:r/>
            <w:r>
              <w:rPr>
                <w:rFonts w:ascii="Cambria" w:hAnsi="Cambria" w:eastAsia="Cambria"/>
                <w:b w:val="0"/>
                <w:i w:val="0"/>
                <w:sz w:val="22"/>
              </w:rPr>
              <w:t>70%</w:t>
            </w:r>
          </w:p>
        </w:tc>
      </w:tr>
      <w:tr>
        <w:tc>
          <w:tcPr>
            <w:tcW w:type="dxa" w:w="2551"/>
          </w:tcPr>
          <w:p>
            <w:pPr>
              <w:spacing w:after="40" w:line="240" w:lineRule="auto"/>
            </w:pPr>
            <w:r/>
            <w:r>
              <w:rPr>
                <w:rFonts w:ascii="Cambria" w:hAnsi="Cambria" w:eastAsia="Cambria"/>
                <w:b/>
                <w:i w:val="0"/>
                <w:sz w:val="22"/>
              </w:rPr>
              <w:t>Score Contribution</w:t>
            </w:r>
          </w:p>
        </w:tc>
        <w:tc>
          <w:tcPr>
            <w:tcW w:type="dxa" w:w="6860"/>
          </w:tcPr>
          <w:p>
            <w:pPr>
              <w:spacing w:after="40" w:line="240" w:lineRule="auto"/>
            </w:pPr>
            <w:r/>
            <w:r>
              <w:rPr>
                <w:rFonts w:ascii="Cambria" w:hAnsi="Cambria" w:eastAsia="Cambria"/>
                <w:b w:val="0"/>
                <w:i w:val="0"/>
                <w:sz w:val="22"/>
              </w:rPr>
              <w:t>2.0</w:t>
            </w:r>
          </w:p>
        </w:tc>
      </w:tr>
    </w:tbl>
    <w:p>
      <w:pPr>
        <w:spacing w:after="80"/>
      </w:pPr>
    </w:p>
    <w:p>
      <w:r>
        <w:br w:type="page"/>
      </w:r>
    </w:p>
    <w:p>
      <w:pPr>
        <w:keepNext/>
        <w:spacing w:before="160" w:after="80"/>
      </w:pPr>
      <w:r>
        <w:rPr>
          <w:rFonts w:ascii="Cambria" w:hAnsi="Cambria" w:eastAsia="Cambria"/>
          <w:b/>
          <w:i w:val="0"/>
          <w:color w:val="1F3A5F"/>
          <w:sz w:val="23"/>
        </w:rPr>
        <w:t>Certificate in Solar Energy Systems</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Duration (Months)</w:t>
            </w:r>
          </w:p>
        </w:tc>
        <w:tc>
          <w:tcPr>
            <w:tcW w:type="dxa" w:w="6860"/>
          </w:tcPr>
          <w:p>
            <w:pPr>
              <w:spacing w:after="40" w:line="240" w:lineRule="auto"/>
            </w:pPr>
            <w:r/>
            <w:r>
              <w:rPr>
                <w:rFonts w:ascii="Cambria" w:hAnsi="Cambria" w:eastAsia="Cambria"/>
                <w:b w:val="0"/>
                <w:i w:val="0"/>
                <w:sz w:val="22"/>
              </w:rPr>
              <w:t>3</w:t>
            </w:r>
          </w:p>
        </w:tc>
      </w:tr>
      <w:tr>
        <w:tc>
          <w:tcPr>
            <w:tcW w:type="dxa" w:w="2551"/>
            <w:shd w:val="clear" w:color="auto" w:fill="DCE6F1"/>
          </w:tcPr>
          <w:p>
            <w:pPr>
              <w:spacing w:after="40" w:line="240" w:lineRule="auto"/>
            </w:pPr>
            <w:r/>
            <w:r>
              <w:rPr>
                <w:rFonts w:ascii="Cambria" w:hAnsi="Cambria" w:eastAsia="Cambria"/>
                <w:b/>
                <w:i w:val="0"/>
                <w:sz w:val="22"/>
              </w:rPr>
              <w:t>NSQF Level</w:t>
            </w:r>
          </w:p>
        </w:tc>
        <w:tc>
          <w:tcPr>
            <w:tcW w:type="dxa" w:w="6860"/>
            <w:shd w:val="clear" w:color="auto" w:fill="DCE6F1"/>
          </w:tcPr>
          <w:p>
            <w:pPr>
              <w:spacing w:after="40" w:line="240" w:lineRule="auto"/>
            </w:pPr>
            <w:r/>
            <w:r>
              <w:rPr>
                <w:rFonts w:ascii="Cambria" w:hAnsi="Cambria" w:eastAsia="Cambria"/>
                <w:b w:val="0"/>
                <w:i w:val="0"/>
                <w:sz w:val="22"/>
              </w:rPr>
              <w:t>Level 5</w:t>
            </w:r>
          </w:p>
        </w:tc>
      </w:tr>
      <w:tr>
        <w:tc>
          <w:tcPr>
            <w:tcW w:type="dxa" w:w="2551"/>
          </w:tcPr>
          <w:p>
            <w:pPr>
              <w:spacing w:after="40" w:line="240" w:lineRule="auto"/>
            </w:pPr>
            <w:r/>
            <w:r>
              <w:rPr>
                <w:rFonts w:ascii="Cambria" w:hAnsi="Cambria" w:eastAsia="Cambria"/>
                <w:b/>
                <w:i w:val="0"/>
                <w:sz w:val="22"/>
              </w:rPr>
              <w:t>Enrollments</w:t>
            </w:r>
          </w:p>
        </w:tc>
        <w:tc>
          <w:tcPr>
            <w:tcW w:type="dxa" w:w="6860"/>
          </w:tcPr>
          <w:p>
            <w:pPr>
              <w:spacing w:after="40" w:line="240" w:lineRule="auto"/>
            </w:pPr>
            <w:r/>
            <w:r>
              <w:rPr>
                <w:rFonts w:ascii="Cambria" w:hAnsi="Cambria" w:eastAsia="Cambria"/>
                <w:b w:val="0"/>
                <w:i w:val="0"/>
                <w:sz w:val="22"/>
              </w:rPr>
              <w:t>80</w:t>
            </w:r>
          </w:p>
        </w:tc>
      </w:tr>
      <w:tr>
        <w:tc>
          <w:tcPr>
            <w:tcW w:type="dxa" w:w="2551"/>
            <w:shd w:val="clear" w:color="auto" w:fill="DCE6F1"/>
          </w:tcPr>
          <w:p>
            <w:pPr>
              <w:spacing w:after="40" w:line="240" w:lineRule="auto"/>
            </w:pPr>
            <w:r/>
            <w:r>
              <w:rPr>
                <w:rFonts w:ascii="Cambria" w:hAnsi="Cambria" w:eastAsia="Cambria"/>
                <w:b/>
                <w:i w:val="0"/>
                <w:sz w:val="22"/>
              </w:rPr>
              <w:t>Completions</w:t>
            </w:r>
          </w:p>
        </w:tc>
        <w:tc>
          <w:tcPr>
            <w:tcW w:type="dxa" w:w="6860"/>
            <w:shd w:val="clear" w:color="auto" w:fill="DCE6F1"/>
          </w:tcPr>
          <w:p>
            <w:pPr>
              <w:spacing w:after="40" w:line="240" w:lineRule="auto"/>
            </w:pPr>
            <w:r/>
            <w:r>
              <w:rPr>
                <w:rFonts w:ascii="Cambria" w:hAnsi="Cambria" w:eastAsia="Cambria"/>
                <w:b w:val="0"/>
                <w:i w:val="0"/>
                <w:sz w:val="22"/>
              </w:rPr>
              <w:t>75</w:t>
            </w:r>
          </w:p>
        </w:tc>
      </w:tr>
      <w:tr>
        <w:tc>
          <w:tcPr>
            <w:tcW w:type="dxa" w:w="2551"/>
          </w:tcPr>
          <w:p>
            <w:pPr>
              <w:spacing w:after="40" w:line="240" w:lineRule="auto"/>
            </w:pPr>
            <w:r/>
            <w:r>
              <w:rPr>
                <w:rFonts w:ascii="Cambria" w:hAnsi="Cambria" w:eastAsia="Cambria"/>
                <w:b/>
                <w:i w:val="0"/>
                <w:sz w:val="22"/>
              </w:rPr>
              <w:t>Industry Partner / SSC</w:t>
            </w:r>
          </w:p>
        </w:tc>
        <w:tc>
          <w:tcPr>
            <w:tcW w:type="dxa" w:w="6860"/>
          </w:tcPr>
          <w:p>
            <w:pPr>
              <w:spacing w:after="40" w:line="240" w:lineRule="auto"/>
            </w:pPr>
            <w:r/>
            <w:r>
              <w:rPr>
                <w:rFonts w:ascii="Cambria" w:hAnsi="Cambria" w:eastAsia="Cambria"/>
                <w:b w:val="0"/>
                <w:i w:val="0"/>
                <w:sz w:val="22"/>
              </w:rPr>
              <w:t>Ministry of Renewable Energy / Skill Council for Green Jobs</w:t>
            </w:r>
          </w:p>
        </w:tc>
      </w:tr>
      <w:tr>
        <w:tc>
          <w:tcPr>
            <w:tcW w:type="dxa" w:w="2551"/>
            <w:shd w:val="clear" w:color="auto" w:fill="DCE6F1"/>
          </w:tcPr>
          <w:p>
            <w:pPr>
              <w:spacing w:after="40" w:line="240" w:lineRule="auto"/>
            </w:pPr>
            <w:r/>
            <w:r>
              <w:rPr>
                <w:rFonts w:ascii="Cambria" w:hAnsi="Cambria" w:eastAsia="Cambria"/>
                <w:b/>
                <w:i w:val="0"/>
                <w:sz w:val="22"/>
              </w:rPr>
              <w:t>Placement / Entrepreneurship Outcome (%)</w:t>
            </w:r>
          </w:p>
        </w:tc>
        <w:tc>
          <w:tcPr>
            <w:tcW w:type="dxa" w:w="6860"/>
            <w:shd w:val="clear" w:color="auto" w:fill="DCE6F1"/>
          </w:tcPr>
          <w:p>
            <w:pPr>
              <w:spacing w:after="40" w:line="240" w:lineRule="auto"/>
            </w:pPr>
            <w:r/>
            <w:r>
              <w:rPr>
                <w:rFonts w:ascii="Cambria" w:hAnsi="Cambria" w:eastAsia="Cambria"/>
                <w:b w:val="0"/>
                <w:i w:val="0"/>
                <w:sz w:val="22"/>
              </w:rPr>
              <w:t>65%</w:t>
            </w:r>
          </w:p>
        </w:tc>
      </w:tr>
      <w:tr>
        <w:tc>
          <w:tcPr>
            <w:tcW w:type="dxa" w:w="2551"/>
          </w:tcPr>
          <w:p>
            <w:pPr>
              <w:spacing w:after="40" w:line="240" w:lineRule="auto"/>
            </w:pPr>
            <w:r/>
            <w:r>
              <w:rPr>
                <w:rFonts w:ascii="Cambria" w:hAnsi="Cambria" w:eastAsia="Cambria"/>
                <w:b/>
                <w:i w:val="0"/>
                <w:sz w:val="22"/>
              </w:rPr>
              <w:t>Score Contribution</w:t>
            </w:r>
          </w:p>
        </w:tc>
        <w:tc>
          <w:tcPr>
            <w:tcW w:type="dxa" w:w="6860"/>
          </w:tcPr>
          <w:p>
            <w:pPr>
              <w:spacing w:after="40" w:line="240" w:lineRule="auto"/>
            </w:pPr>
            <w:r/>
            <w:r>
              <w:rPr>
                <w:rFonts w:ascii="Cambria" w:hAnsi="Cambria" w:eastAsia="Cambria"/>
                <w:b w:val="0"/>
                <w:i w:val="0"/>
                <w:sz w:val="22"/>
              </w:rPr>
              <w:t>1.5</w:t>
            </w:r>
          </w:p>
        </w:tc>
      </w:tr>
    </w:tbl>
    <w:p>
      <w:pPr>
        <w:spacing w:after="80"/>
      </w:pPr>
    </w:p>
    <w:p>
      <w:pPr>
        <w:keepNext/>
        <w:spacing w:before="160" w:after="80"/>
      </w:pPr>
      <w:r>
        <w:rPr>
          <w:rFonts w:ascii="Cambria" w:hAnsi="Cambria" w:eastAsia="Cambria"/>
          <w:b/>
          <w:i w:val="0"/>
          <w:color w:val="1F3A5F"/>
          <w:sz w:val="23"/>
        </w:rPr>
        <w:t>Certificate in Retail Management</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Duration (Months)</w:t>
            </w:r>
          </w:p>
        </w:tc>
        <w:tc>
          <w:tcPr>
            <w:tcW w:type="dxa" w:w="6860"/>
          </w:tcPr>
          <w:p>
            <w:pPr>
              <w:spacing w:after="40" w:line="240" w:lineRule="auto"/>
            </w:pPr>
            <w:r/>
            <w:r>
              <w:rPr>
                <w:rFonts w:ascii="Cambria" w:hAnsi="Cambria" w:eastAsia="Cambria"/>
                <w:b w:val="0"/>
                <w:i w:val="0"/>
                <w:sz w:val="22"/>
              </w:rPr>
              <w:t>6</w:t>
            </w:r>
          </w:p>
        </w:tc>
      </w:tr>
      <w:tr>
        <w:tc>
          <w:tcPr>
            <w:tcW w:type="dxa" w:w="2551"/>
            <w:shd w:val="clear" w:color="auto" w:fill="DCE6F1"/>
          </w:tcPr>
          <w:p>
            <w:pPr>
              <w:spacing w:after="40" w:line="240" w:lineRule="auto"/>
            </w:pPr>
            <w:r/>
            <w:r>
              <w:rPr>
                <w:rFonts w:ascii="Cambria" w:hAnsi="Cambria" w:eastAsia="Cambria"/>
                <w:b/>
                <w:i w:val="0"/>
                <w:sz w:val="22"/>
              </w:rPr>
              <w:t>NSQF Level</w:t>
            </w:r>
          </w:p>
        </w:tc>
        <w:tc>
          <w:tcPr>
            <w:tcW w:type="dxa" w:w="6860"/>
            <w:shd w:val="clear" w:color="auto" w:fill="DCE6F1"/>
          </w:tcPr>
          <w:p>
            <w:pPr>
              <w:spacing w:after="40" w:line="240" w:lineRule="auto"/>
            </w:pPr>
            <w:r/>
            <w:r>
              <w:rPr>
                <w:rFonts w:ascii="Cambria" w:hAnsi="Cambria" w:eastAsia="Cambria"/>
                <w:b w:val="0"/>
                <w:i w:val="0"/>
                <w:sz w:val="22"/>
              </w:rPr>
              <w:t>Level 4</w:t>
            </w:r>
          </w:p>
        </w:tc>
      </w:tr>
      <w:tr>
        <w:tc>
          <w:tcPr>
            <w:tcW w:type="dxa" w:w="2551"/>
          </w:tcPr>
          <w:p>
            <w:pPr>
              <w:spacing w:after="40" w:line="240" w:lineRule="auto"/>
            </w:pPr>
            <w:r/>
            <w:r>
              <w:rPr>
                <w:rFonts w:ascii="Cambria" w:hAnsi="Cambria" w:eastAsia="Cambria"/>
                <w:b/>
                <w:i w:val="0"/>
                <w:sz w:val="22"/>
              </w:rPr>
              <w:t>Enrollments</w:t>
            </w:r>
          </w:p>
        </w:tc>
        <w:tc>
          <w:tcPr>
            <w:tcW w:type="dxa" w:w="6860"/>
          </w:tcPr>
          <w:p>
            <w:pPr>
              <w:spacing w:after="40" w:line="240" w:lineRule="auto"/>
            </w:pPr>
            <w:r/>
            <w:r>
              <w:rPr>
                <w:rFonts w:ascii="Cambria" w:hAnsi="Cambria" w:eastAsia="Cambria"/>
                <w:b w:val="0"/>
                <w:i w:val="0"/>
                <w:sz w:val="22"/>
              </w:rPr>
              <w:t>150</w:t>
            </w:r>
          </w:p>
        </w:tc>
      </w:tr>
      <w:tr>
        <w:tc>
          <w:tcPr>
            <w:tcW w:type="dxa" w:w="2551"/>
            <w:shd w:val="clear" w:color="auto" w:fill="DCE6F1"/>
          </w:tcPr>
          <w:p>
            <w:pPr>
              <w:spacing w:after="40" w:line="240" w:lineRule="auto"/>
            </w:pPr>
            <w:r/>
            <w:r>
              <w:rPr>
                <w:rFonts w:ascii="Cambria" w:hAnsi="Cambria" w:eastAsia="Cambria"/>
                <w:b/>
                <w:i w:val="0"/>
                <w:sz w:val="22"/>
              </w:rPr>
              <w:t>Completions</w:t>
            </w:r>
          </w:p>
        </w:tc>
        <w:tc>
          <w:tcPr>
            <w:tcW w:type="dxa" w:w="6860"/>
            <w:shd w:val="clear" w:color="auto" w:fill="DCE6F1"/>
          </w:tcPr>
          <w:p>
            <w:pPr>
              <w:spacing w:after="40" w:line="240" w:lineRule="auto"/>
            </w:pPr>
            <w:r/>
            <w:r>
              <w:rPr>
                <w:rFonts w:ascii="Cambria" w:hAnsi="Cambria" w:eastAsia="Cambria"/>
                <w:b w:val="0"/>
                <w:i w:val="0"/>
                <w:sz w:val="22"/>
              </w:rPr>
              <w:t>140</w:t>
            </w:r>
          </w:p>
        </w:tc>
      </w:tr>
      <w:tr>
        <w:tc>
          <w:tcPr>
            <w:tcW w:type="dxa" w:w="2551"/>
          </w:tcPr>
          <w:p>
            <w:pPr>
              <w:spacing w:after="40" w:line="240" w:lineRule="auto"/>
            </w:pPr>
            <w:r/>
            <w:r>
              <w:rPr>
                <w:rFonts w:ascii="Cambria" w:hAnsi="Cambria" w:eastAsia="Cambria"/>
                <w:b/>
                <w:i w:val="0"/>
                <w:sz w:val="22"/>
              </w:rPr>
              <w:t>Industry Partner / SSC</w:t>
            </w:r>
          </w:p>
        </w:tc>
        <w:tc>
          <w:tcPr>
            <w:tcW w:type="dxa" w:w="6860"/>
          </w:tcPr>
          <w:p>
            <w:pPr>
              <w:spacing w:after="40" w:line="240" w:lineRule="auto"/>
            </w:pPr>
            <w:r/>
            <w:r>
              <w:rPr>
                <w:rFonts w:ascii="Cambria" w:hAnsi="Cambria" w:eastAsia="Cambria"/>
                <w:b w:val="0"/>
                <w:i w:val="0"/>
                <w:sz w:val="22"/>
              </w:rPr>
              <w:t>Retailers Association of India</w:t>
            </w:r>
          </w:p>
        </w:tc>
      </w:tr>
      <w:tr>
        <w:tc>
          <w:tcPr>
            <w:tcW w:type="dxa" w:w="2551"/>
            <w:shd w:val="clear" w:color="auto" w:fill="DCE6F1"/>
          </w:tcPr>
          <w:p>
            <w:pPr>
              <w:spacing w:after="40" w:line="240" w:lineRule="auto"/>
            </w:pPr>
            <w:r/>
            <w:r>
              <w:rPr>
                <w:rFonts w:ascii="Cambria" w:hAnsi="Cambria" w:eastAsia="Cambria"/>
                <w:b/>
                <w:i w:val="0"/>
                <w:sz w:val="22"/>
              </w:rPr>
              <w:t>Placement / Entrepreneurship Outcome (%)</w:t>
            </w:r>
          </w:p>
        </w:tc>
        <w:tc>
          <w:tcPr>
            <w:tcW w:type="dxa" w:w="6860"/>
            <w:shd w:val="clear" w:color="auto" w:fill="DCE6F1"/>
          </w:tcPr>
          <w:p>
            <w:pPr>
              <w:spacing w:after="40" w:line="240" w:lineRule="auto"/>
            </w:pPr>
            <w:r/>
            <w:r>
              <w:rPr>
                <w:rFonts w:ascii="Cambria" w:hAnsi="Cambria" w:eastAsia="Cambria"/>
                <w:b w:val="0"/>
                <w:i w:val="0"/>
                <w:sz w:val="22"/>
              </w:rPr>
              <w:t>80%</w:t>
            </w:r>
          </w:p>
        </w:tc>
      </w:tr>
      <w:tr>
        <w:tc>
          <w:tcPr>
            <w:tcW w:type="dxa" w:w="2551"/>
          </w:tcPr>
          <w:p>
            <w:pPr>
              <w:spacing w:after="40" w:line="240" w:lineRule="auto"/>
            </w:pPr>
            <w:r/>
            <w:r>
              <w:rPr>
                <w:rFonts w:ascii="Cambria" w:hAnsi="Cambria" w:eastAsia="Cambria"/>
                <w:b/>
                <w:i w:val="0"/>
                <w:sz w:val="22"/>
              </w:rPr>
              <w:t>Score Contribution</w:t>
            </w:r>
          </w:p>
        </w:tc>
        <w:tc>
          <w:tcPr>
            <w:tcW w:type="dxa" w:w="6860"/>
          </w:tcPr>
          <w:p>
            <w:pPr>
              <w:spacing w:after="40" w:line="240" w:lineRule="auto"/>
            </w:pPr>
            <w:r/>
            <w:r>
              <w:rPr>
                <w:rFonts w:ascii="Cambria" w:hAnsi="Cambria" w:eastAsia="Cambria"/>
                <w:b w:val="0"/>
                <w:i w:val="0"/>
                <w:sz w:val="22"/>
              </w:rPr>
              <w:t>2.5</w:t>
            </w:r>
          </w:p>
        </w:tc>
      </w:tr>
    </w:tbl>
    <w:p>
      <w:pPr>
        <w:spacing w:after="80"/>
      </w:pPr>
    </w:p>
    <w:p>
      <w:pPr>
        <w:keepNext/>
        <w:spacing w:before="160" w:after="80"/>
      </w:pPr>
      <w:r>
        <w:rPr>
          <w:rFonts w:ascii="Cambria" w:hAnsi="Cambria" w:eastAsia="Cambria"/>
          <w:b/>
          <w:i w:val="0"/>
          <w:color w:val="1F3A5F"/>
          <w:sz w:val="23"/>
        </w:rPr>
        <w:t>Certificate in Healthcare Assistant</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Duration (Months)</w:t>
            </w:r>
          </w:p>
        </w:tc>
        <w:tc>
          <w:tcPr>
            <w:tcW w:type="dxa" w:w="6860"/>
          </w:tcPr>
          <w:p>
            <w:pPr>
              <w:spacing w:after="40" w:line="240" w:lineRule="auto"/>
            </w:pPr>
            <w:r/>
            <w:r>
              <w:rPr>
                <w:rFonts w:ascii="Cambria" w:hAnsi="Cambria" w:eastAsia="Cambria"/>
                <w:b w:val="0"/>
                <w:i w:val="0"/>
                <w:sz w:val="22"/>
              </w:rPr>
              <w:t>12</w:t>
            </w:r>
          </w:p>
        </w:tc>
      </w:tr>
      <w:tr>
        <w:tc>
          <w:tcPr>
            <w:tcW w:type="dxa" w:w="2551"/>
            <w:shd w:val="clear" w:color="auto" w:fill="DCE6F1"/>
          </w:tcPr>
          <w:p>
            <w:pPr>
              <w:spacing w:after="40" w:line="240" w:lineRule="auto"/>
            </w:pPr>
            <w:r/>
            <w:r>
              <w:rPr>
                <w:rFonts w:ascii="Cambria" w:hAnsi="Cambria" w:eastAsia="Cambria"/>
                <w:b/>
                <w:i w:val="0"/>
                <w:sz w:val="22"/>
              </w:rPr>
              <w:t>NSQF Level</w:t>
            </w:r>
          </w:p>
        </w:tc>
        <w:tc>
          <w:tcPr>
            <w:tcW w:type="dxa" w:w="6860"/>
            <w:shd w:val="clear" w:color="auto" w:fill="DCE6F1"/>
          </w:tcPr>
          <w:p>
            <w:pPr>
              <w:spacing w:after="40" w:line="240" w:lineRule="auto"/>
            </w:pPr>
            <w:r/>
            <w:r>
              <w:rPr>
                <w:rFonts w:ascii="Cambria" w:hAnsi="Cambria" w:eastAsia="Cambria"/>
                <w:b w:val="0"/>
                <w:i w:val="0"/>
                <w:sz w:val="22"/>
              </w:rPr>
              <w:t>Level 5</w:t>
            </w:r>
          </w:p>
        </w:tc>
      </w:tr>
      <w:tr>
        <w:tc>
          <w:tcPr>
            <w:tcW w:type="dxa" w:w="2551"/>
          </w:tcPr>
          <w:p>
            <w:pPr>
              <w:spacing w:after="40" w:line="240" w:lineRule="auto"/>
            </w:pPr>
            <w:r/>
            <w:r>
              <w:rPr>
                <w:rFonts w:ascii="Cambria" w:hAnsi="Cambria" w:eastAsia="Cambria"/>
                <w:b/>
                <w:i w:val="0"/>
                <w:sz w:val="22"/>
              </w:rPr>
              <w:t>Enrollments</w:t>
            </w:r>
          </w:p>
        </w:tc>
        <w:tc>
          <w:tcPr>
            <w:tcW w:type="dxa" w:w="6860"/>
          </w:tcPr>
          <w:p>
            <w:pPr>
              <w:spacing w:after="40" w:line="240" w:lineRule="auto"/>
            </w:pPr>
            <w:r/>
            <w:r>
              <w:rPr>
                <w:rFonts w:ascii="Cambria" w:hAnsi="Cambria" w:eastAsia="Cambria"/>
                <w:b w:val="0"/>
                <w:i w:val="0"/>
                <w:sz w:val="22"/>
              </w:rPr>
              <w:t>100</w:t>
            </w:r>
          </w:p>
        </w:tc>
      </w:tr>
      <w:tr>
        <w:tc>
          <w:tcPr>
            <w:tcW w:type="dxa" w:w="2551"/>
            <w:shd w:val="clear" w:color="auto" w:fill="DCE6F1"/>
          </w:tcPr>
          <w:p>
            <w:pPr>
              <w:spacing w:after="40" w:line="240" w:lineRule="auto"/>
            </w:pPr>
            <w:r/>
            <w:r>
              <w:rPr>
                <w:rFonts w:ascii="Cambria" w:hAnsi="Cambria" w:eastAsia="Cambria"/>
                <w:b/>
                <w:i w:val="0"/>
                <w:sz w:val="22"/>
              </w:rPr>
              <w:t>Completions</w:t>
            </w:r>
          </w:p>
        </w:tc>
        <w:tc>
          <w:tcPr>
            <w:tcW w:type="dxa" w:w="6860"/>
            <w:shd w:val="clear" w:color="auto" w:fill="DCE6F1"/>
          </w:tcPr>
          <w:p>
            <w:pPr>
              <w:spacing w:after="40" w:line="240" w:lineRule="auto"/>
            </w:pPr>
            <w:r/>
            <w:r>
              <w:rPr>
                <w:rFonts w:ascii="Cambria" w:hAnsi="Cambria" w:eastAsia="Cambria"/>
                <w:b w:val="0"/>
                <w:i w:val="0"/>
                <w:sz w:val="22"/>
              </w:rPr>
              <w:t>95</w:t>
            </w:r>
          </w:p>
        </w:tc>
      </w:tr>
      <w:tr>
        <w:tc>
          <w:tcPr>
            <w:tcW w:type="dxa" w:w="2551"/>
          </w:tcPr>
          <w:p>
            <w:pPr>
              <w:spacing w:after="40" w:line="240" w:lineRule="auto"/>
            </w:pPr>
            <w:r/>
            <w:r>
              <w:rPr>
                <w:rFonts w:ascii="Cambria" w:hAnsi="Cambria" w:eastAsia="Cambria"/>
                <w:b/>
                <w:i w:val="0"/>
                <w:sz w:val="22"/>
              </w:rPr>
              <w:t>Industry Partner / SSC</w:t>
            </w:r>
          </w:p>
        </w:tc>
        <w:tc>
          <w:tcPr>
            <w:tcW w:type="dxa" w:w="6860"/>
          </w:tcPr>
          <w:p>
            <w:pPr>
              <w:spacing w:after="40" w:line="240" w:lineRule="auto"/>
            </w:pPr>
            <w:r/>
            <w:r>
              <w:rPr>
                <w:rFonts w:ascii="Cambria" w:hAnsi="Cambria" w:eastAsia="Cambria"/>
                <w:b w:val="0"/>
                <w:i w:val="0"/>
                <w:sz w:val="22"/>
              </w:rPr>
              <w:t>Healthcare Sector Skill Council</w:t>
            </w:r>
          </w:p>
        </w:tc>
      </w:tr>
      <w:tr>
        <w:tc>
          <w:tcPr>
            <w:tcW w:type="dxa" w:w="2551"/>
            <w:shd w:val="clear" w:color="auto" w:fill="DCE6F1"/>
          </w:tcPr>
          <w:p>
            <w:pPr>
              <w:spacing w:after="40" w:line="240" w:lineRule="auto"/>
            </w:pPr>
            <w:r/>
            <w:r>
              <w:rPr>
                <w:rFonts w:ascii="Cambria" w:hAnsi="Cambria" w:eastAsia="Cambria"/>
                <w:b/>
                <w:i w:val="0"/>
                <w:sz w:val="22"/>
              </w:rPr>
              <w:t>Placement / Entrepreneurship Outcome (%)</w:t>
            </w:r>
          </w:p>
        </w:tc>
        <w:tc>
          <w:tcPr>
            <w:tcW w:type="dxa" w:w="6860"/>
            <w:shd w:val="clear" w:color="auto" w:fill="DCE6F1"/>
          </w:tcPr>
          <w:p>
            <w:pPr>
              <w:spacing w:after="40" w:line="240" w:lineRule="auto"/>
            </w:pPr>
            <w:r/>
            <w:r>
              <w:rPr>
                <w:rFonts w:ascii="Cambria" w:hAnsi="Cambria" w:eastAsia="Cambria"/>
                <w:b w:val="0"/>
                <w:i w:val="0"/>
                <w:sz w:val="22"/>
              </w:rPr>
              <w:t>85%</w:t>
            </w:r>
          </w:p>
        </w:tc>
      </w:tr>
      <w:tr>
        <w:tc>
          <w:tcPr>
            <w:tcW w:type="dxa" w:w="2551"/>
          </w:tcPr>
          <w:p>
            <w:pPr>
              <w:spacing w:after="40" w:line="240" w:lineRule="auto"/>
            </w:pPr>
            <w:r/>
            <w:r>
              <w:rPr>
                <w:rFonts w:ascii="Cambria" w:hAnsi="Cambria" w:eastAsia="Cambria"/>
                <w:b/>
                <w:i w:val="0"/>
                <w:sz w:val="22"/>
              </w:rPr>
              <w:t>Score Contribution</w:t>
            </w:r>
          </w:p>
        </w:tc>
        <w:tc>
          <w:tcPr>
            <w:tcW w:type="dxa" w:w="6860"/>
          </w:tcPr>
          <w:p>
            <w:pPr>
              <w:spacing w:after="40" w:line="240" w:lineRule="auto"/>
            </w:pPr>
            <w:r/>
            <w:r>
              <w:rPr>
                <w:rFonts w:ascii="Cambria" w:hAnsi="Cambria" w:eastAsia="Cambria"/>
                <w:b w:val="0"/>
                <w:i w:val="0"/>
                <w:sz w:val="22"/>
              </w:rPr>
              <w:t>3.0</w:t>
            </w:r>
          </w:p>
        </w:tc>
      </w:tr>
    </w:tbl>
    <w:p>
      <w:pPr>
        <w:spacing w:after="80"/>
      </w:pPr>
    </w:p>
    <w:p>
      <w:pPr>
        <w:keepNext/>
        <w:spacing w:before="160" w:after="80"/>
      </w:pPr>
      <w:r>
        <w:rPr>
          <w:rFonts w:ascii="Cambria" w:hAnsi="Cambria" w:eastAsia="Cambria"/>
          <w:b/>
          <w:i w:val="0"/>
          <w:color w:val="1F3A5F"/>
          <w:sz w:val="23"/>
        </w:rPr>
        <w:t>Certificate in Web Development</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Duration (Months)</w:t>
            </w:r>
          </w:p>
        </w:tc>
        <w:tc>
          <w:tcPr>
            <w:tcW w:type="dxa" w:w="6860"/>
          </w:tcPr>
          <w:p>
            <w:pPr>
              <w:spacing w:after="40" w:line="240" w:lineRule="auto"/>
            </w:pPr>
            <w:r/>
            <w:r>
              <w:rPr>
                <w:rFonts w:ascii="Cambria" w:hAnsi="Cambria" w:eastAsia="Cambria"/>
                <w:b w:val="0"/>
                <w:i w:val="0"/>
                <w:sz w:val="22"/>
              </w:rPr>
              <w:t>6</w:t>
            </w:r>
          </w:p>
        </w:tc>
      </w:tr>
      <w:tr>
        <w:tc>
          <w:tcPr>
            <w:tcW w:type="dxa" w:w="2551"/>
            <w:shd w:val="clear" w:color="auto" w:fill="DCE6F1"/>
          </w:tcPr>
          <w:p>
            <w:pPr>
              <w:spacing w:after="40" w:line="240" w:lineRule="auto"/>
            </w:pPr>
            <w:r/>
            <w:r>
              <w:rPr>
                <w:rFonts w:ascii="Cambria" w:hAnsi="Cambria" w:eastAsia="Cambria"/>
                <w:b/>
                <w:i w:val="0"/>
                <w:sz w:val="22"/>
              </w:rPr>
              <w:t>NSQF Level</w:t>
            </w:r>
          </w:p>
        </w:tc>
        <w:tc>
          <w:tcPr>
            <w:tcW w:type="dxa" w:w="6860"/>
            <w:shd w:val="clear" w:color="auto" w:fill="DCE6F1"/>
          </w:tcPr>
          <w:p>
            <w:pPr>
              <w:spacing w:after="40" w:line="240" w:lineRule="auto"/>
            </w:pPr>
            <w:r/>
            <w:r>
              <w:rPr>
                <w:rFonts w:ascii="Cambria" w:hAnsi="Cambria" w:eastAsia="Cambria"/>
                <w:b w:val="0"/>
                <w:i w:val="0"/>
                <w:sz w:val="22"/>
              </w:rPr>
              <w:t>Level 5</w:t>
            </w:r>
          </w:p>
        </w:tc>
      </w:tr>
      <w:tr>
        <w:tc>
          <w:tcPr>
            <w:tcW w:type="dxa" w:w="2551"/>
          </w:tcPr>
          <w:p>
            <w:pPr>
              <w:spacing w:after="40" w:line="240" w:lineRule="auto"/>
            </w:pPr>
            <w:r/>
            <w:r>
              <w:rPr>
                <w:rFonts w:ascii="Cambria" w:hAnsi="Cambria" w:eastAsia="Cambria"/>
                <w:b/>
                <w:i w:val="0"/>
                <w:sz w:val="22"/>
              </w:rPr>
              <w:t>Enrollments</w:t>
            </w:r>
          </w:p>
        </w:tc>
        <w:tc>
          <w:tcPr>
            <w:tcW w:type="dxa" w:w="6860"/>
          </w:tcPr>
          <w:p>
            <w:pPr>
              <w:spacing w:after="40" w:line="240" w:lineRule="auto"/>
            </w:pPr>
            <w:r/>
            <w:r>
              <w:rPr>
                <w:rFonts w:ascii="Cambria" w:hAnsi="Cambria" w:eastAsia="Cambria"/>
                <w:b w:val="0"/>
                <w:i w:val="0"/>
                <w:sz w:val="22"/>
              </w:rPr>
              <w:t>90</w:t>
            </w:r>
          </w:p>
        </w:tc>
      </w:tr>
      <w:tr>
        <w:tc>
          <w:tcPr>
            <w:tcW w:type="dxa" w:w="2551"/>
            <w:shd w:val="clear" w:color="auto" w:fill="DCE6F1"/>
          </w:tcPr>
          <w:p>
            <w:pPr>
              <w:spacing w:after="40" w:line="240" w:lineRule="auto"/>
            </w:pPr>
            <w:r/>
            <w:r>
              <w:rPr>
                <w:rFonts w:ascii="Cambria" w:hAnsi="Cambria" w:eastAsia="Cambria"/>
                <w:b/>
                <w:i w:val="0"/>
                <w:sz w:val="22"/>
              </w:rPr>
              <w:t>Completions</w:t>
            </w:r>
          </w:p>
        </w:tc>
        <w:tc>
          <w:tcPr>
            <w:tcW w:type="dxa" w:w="6860"/>
            <w:shd w:val="clear" w:color="auto" w:fill="DCE6F1"/>
          </w:tcPr>
          <w:p>
            <w:pPr>
              <w:spacing w:after="40" w:line="240" w:lineRule="auto"/>
            </w:pPr>
            <w:r/>
            <w:r>
              <w:rPr>
                <w:rFonts w:ascii="Cambria" w:hAnsi="Cambria" w:eastAsia="Cambria"/>
                <w:b w:val="0"/>
                <w:i w:val="0"/>
                <w:sz w:val="22"/>
              </w:rPr>
              <w:t>85</w:t>
            </w:r>
          </w:p>
        </w:tc>
      </w:tr>
      <w:tr>
        <w:tc>
          <w:tcPr>
            <w:tcW w:type="dxa" w:w="2551"/>
          </w:tcPr>
          <w:p>
            <w:pPr>
              <w:spacing w:after="40" w:line="240" w:lineRule="auto"/>
            </w:pPr>
            <w:r/>
            <w:r>
              <w:rPr>
                <w:rFonts w:ascii="Cambria" w:hAnsi="Cambria" w:eastAsia="Cambria"/>
                <w:b/>
                <w:i w:val="0"/>
                <w:sz w:val="22"/>
              </w:rPr>
              <w:t>Industry Partner / SSC</w:t>
            </w:r>
          </w:p>
        </w:tc>
        <w:tc>
          <w:tcPr>
            <w:tcW w:type="dxa" w:w="6860"/>
          </w:tcPr>
          <w:p>
            <w:pPr>
              <w:spacing w:after="40" w:line="240" w:lineRule="auto"/>
            </w:pPr>
            <w:r/>
            <w:r>
              <w:rPr>
                <w:rFonts w:ascii="Cambria" w:hAnsi="Cambria" w:eastAsia="Cambria"/>
                <w:b w:val="0"/>
                <w:i w:val="0"/>
                <w:sz w:val="22"/>
              </w:rPr>
              <w:t>NASSCOM / IT-ITES SSC</w:t>
            </w:r>
          </w:p>
        </w:tc>
      </w:tr>
      <w:tr>
        <w:tc>
          <w:tcPr>
            <w:tcW w:type="dxa" w:w="2551"/>
            <w:shd w:val="clear" w:color="auto" w:fill="DCE6F1"/>
          </w:tcPr>
          <w:p>
            <w:pPr>
              <w:spacing w:after="40" w:line="240" w:lineRule="auto"/>
            </w:pPr>
            <w:r/>
            <w:r>
              <w:rPr>
                <w:rFonts w:ascii="Cambria" w:hAnsi="Cambria" w:eastAsia="Cambria"/>
                <w:b/>
                <w:i w:val="0"/>
                <w:sz w:val="22"/>
              </w:rPr>
              <w:t>Placement / Entrepreneurship Outcome (%)</w:t>
            </w:r>
          </w:p>
        </w:tc>
        <w:tc>
          <w:tcPr>
            <w:tcW w:type="dxa" w:w="6860"/>
            <w:shd w:val="clear" w:color="auto" w:fill="DCE6F1"/>
          </w:tcPr>
          <w:p>
            <w:pPr>
              <w:spacing w:after="40" w:line="240" w:lineRule="auto"/>
            </w:pPr>
            <w:r/>
            <w:r>
              <w:rPr>
                <w:rFonts w:ascii="Cambria" w:hAnsi="Cambria" w:eastAsia="Cambria"/>
                <w:b w:val="0"/>
                <w:i w:val="0"/>
                <w:sz w:val="22"/>
              </w:rPr>
              <w:t>75%</w:t>
            </w:r>
          </w:p>
        </w:tc>
      </w:tr>
      <w:tr>
        <w:tc>
          <w:tcPr>
            <w:tcW w:type="dxa" w:w="2551"/>
          </w:tcPr>
          <w:p>
            <w:pPr>
              <w:spacing w:after="40" w:line="240" w:lineRule="auto"/>
            </w:pPr>
            <w:r/>
            <w:r>
              <w:rPr>
                <w:rFonts w:ascii="Cambria" w:hAnsi="Cambria" w:eastAsia="Cambria"/>
                <w:b/>
                <w:i w:val="0"/>
                <w:sz w:val="22"/>
              </w:rPr>
              <w:t>Score Contribution</w:t>
            </w:r>
          </w:p>
        </w:tc>
        <w:tc>
          <w:tcPr>
            <w:tcW w:type="dxa" w:w="6860"/>
          </w:tcPr>
          <w:p>
            <w:pPr>
              <w:spacing w:after="40" w:line="240" w:lineRule="auto"/>
            </w:pPr>
            <w:r/>
            <w:r>
              <w:rPr>
                <w:rFonts w:ascii="Cambria" w:hAnsi="Cambria" w:eastAsia="Cambria"/>
                <w:b w:val="0"/>
                <w:i w:val="0"/>
                <w:sz w:val="22"/>
              </w:rPr>
              <w:t>1.0</w:t>
            </w:r>
          </w:p>
        </w:tc>
      </w:tr>
    </w:tbl>
    <w:p>
      <w:pPr>
        <w:spacing w:after="80"/>
      </w:pPr>
    </w:p>
    <w:p>
      <w:pPr>
        <w:keepNext/>
        <w:spacing w:before="160" w:after="80"/>
      </w:pPr>
      <w:r>
        <w:rPr>
          <w:rFonts w:ascii="Cambria" w:hAnsi="Cambria" w:eastAsia="Cambria"/>
          <w:b/>
          <w:i w:val="0"/>
          <w:color w:val="1F3A5F"/>
          <w:sz w:val="23"/>
        </w:rPr>
        <w:t>Total</w:t>
      </w:r>
    </w:p>
    <w:tbl>
      <w:tblPr>
        <w:tblW w:type="dxa" w:w="9412"/>
        <w:jc w:val="center"/>
        <w:tblLayout w:type="fixed"/>
        <w:tblLook w:firstColumn="1" w:firstRow="1" w:lastColumn="0" w:lastRow="0" w:noHBand="0" w:noVBand="1" w:val="04A0"/>
        <w:tblLayout w:type="fixed"/>
      </w:tblPr>
      <w:tblGrid>
        <w:gridCol w:w="4706"/>
        <w:gridCol w:w="4706"/>
      </w:tblGrid>
      <w:tr>
        <w:tc>
          <w:tcPr>
            <w:tcW w:type="dxa" w:w="2551"/>
            <w:shd w:val="clear" w:color="auto" w:fill="1F3A5F"/>
          </w:tcPr>
          <w:p>
            <w:pPr>
              <w:spacing w:after="40" w:line="240" w:lineRule="auto"/>
              <w:jc w:val="left"/>
            </w:pPr>
            <w:r/>
            <w:r>
              <w:rPr>
                <w:rFonts w:ascii="Cambria" w:hAnsi="Cambria" w:eastAsia="Cambria"/>
                <w:b/>
                <w:i w:val="0"/>
                <w:color w:val="FFFFFF"/>
                <w:sz w:val="22"/>
              </w:rPr>
              <w:t>Label</w:t>
            </w:r>
          </w:p>
        </w:tc>
        <w:tc>
          <w:tcPr>
            <w:tcW w:type="dxa" w:w="6860"/>
            <w:shd w:val="clear" w:color="auto" w:fill="1F3A5F"/>
          </w:tcPr>
          <w:p>
            <w:pPr>
              <w:spacing w:after="40" w:line="240" w:lineRule="auto"/>
              <w:jc w:val="left"/>
            </w:pPr>
            <w:r/>
            <w:r>
              <w:rPr>
                <w:rFonts w:ascii="Cambria" w:hAnsi="Cambria" w:eastAsia="Cambria"/>
                <w:b/>
                <w:i w:val="0"/>
                <w:color w:val="FFFFFF"/>
                <w:sz w:val="22"/>
              </w:rPr>
              <w:t>Value</w:t>
            </w:r>
          </w:p>
        </w:tc>
      </w:tr>
      <w:tr>
        <w:tc>
          <w:tcPr>
            <w:tcW w:type="dxa" w:w="2551"/>
          </w:tcPr>
          <w:p>
            <w:pPr>
              <w:spacing w:after="40" w:line="240" w:lineRule="auto"/>
            </w:pPr>
            <w:r/>
            <w:r>
              <w:rPr>
                <w:rFonts w:ascii="Cambria" w:hAnsi="Cambria" w:eastAsia="Cambria"/>
                <w:b/>
                <w:i w:val="0"/>
                <w:sz w:val="22"/>
              </w:rPr>
              <w:t>Enrollments</w:t>
            </w:r>
          </w:p>
        </w:tc>
        <w:tc>
          <w:tcPr>
            <w:tcW w:type="dxa" w:w="6860"/>
          </w:tcPr>
          <w:p>
            <w:pPr>
              <w:spacing w:after="40" w:line="240" w:lineRule="auto"/>
            </w:pPr>
            <w:r/>
            <w:r>
              <w:rPr>
                <w:rFonts w:ascii="Cambria" w:hAnsi="Cambria" w:eastAsia="Cambria"/>
                <w:b w:val="0"/>
                <w:i w:val="0"/>
                <w:sz w:val="22"/>
              </w:rPr>
              <w:t>540</w:t>
            </w:r>
          </w:p>
        </w:tc>
      </w:tr>
      <w:tr>
        <w:tc>
          <w:tcPr>
            <w:tcW w:type="dxa" w:w="2551"/>
            <w:shd w:val="clear" w:color="auto" w:fill="DCE6F1"/>
          </w:tcPr>
          <w:p>
            <w:pPr>
              <w:spacing w:after="40" w:line="240" w:lineRule="auto"/>
            </w:pPr>
            <w:r/>
            <w:r>
              <w:rPr>
                <w:rFonts w:ascii="Cambria" w:hAnsi="Cambria" w:eastAsia="Cambria"/>
                <w:b/>
                <w:i w:val="0"/>
                <w:sz w:val="22"/>
              </w:rPr>
              <w:t>Completions</w:t>
            </w:r>
          </w:p>
        </w:tc>
        <w:tc>
          <w:tcPr>
            <w:tcW w:type="dxa" w:w="6860"/>
            <w:shd w:val="clear" w:color="auto" w:fill="DCE6F1"/>
          </w:tcPr>
          <w:p>
            <w:pPr>
              <w:spacing w:after="40" w:line="240" w:lineRule="auto"/>
            </w:pPr>
            <w:r/>
            <w:r>
              <w:rPr>
                <w:rFonts w:ascii="Cambria" w:hAnsi="Cambria" w:eastAsia="Cambria"/>
                <w:b w:val="0"/>
                <w:i w:val="0"/>
                <w:sz w:val="22"/>
              </w:rPr>
              <w:t>500</w:t>
            </w:r>
          </w:p>
        </w:tc>
      </w:tr>
      <w:tr>
        <w:tc>
          <w:tcPr>
            <w:tcW w:type="dxa" w:w="2551"/>
          </w:tcPr>
          <w:p>
            <w:pPr>
              <w:spacing w:after="40" w:line="240" w:lineRule="auto"/>
            </w:pPr>
            <w:r/>
            <w:r>
              <w:rPr>
                <w:rFonts w:ascii="Cambria" w:hAnsi="Cambria" w:eastAsia="Cambria"/>
                <w:b/>
                <w:i w:val="0"/>
                <w:sz w:val="22"/>
              </w:rPr>
              <w:t>Score Contribution</w:t>
            </w:r>
          </w:p>
        </w:tc>
        <w:tc>
          <w:tcPr>
            <w:tcW w:type="dxa" w:w="6860"/>
          </w:tcPr>
          <w:p>
            <w:pPr>
              <w:spacing w:after="40" w:line="240" w:lineRule="auto"/>
            </w:pPr>
            <w:r/>
            <w:r>
              <w:rPr>
                <w:rFonts w:ascii="Cambria" w:hAnsi="Cambria" w:eastAsia="Cambria"/>
                <w:b w:val="0"/>
                <w:i w:val="0"/>
                <w:sz w:val="22"/>
              </w:rPr>
              <w:t>10.0 (Max)</w:t>
            </w:r>
          </w:p>
        </w:tc>
      </w:tr>
    </w:tbl>
    <w:p>
      <w:pPr>
        <w:spacing w:after="80"/>
      </w:pPr>
    </w:p>
    <w:p>
      <w:pPr>
        <w:spacing w:after="40" w:line="276" w:lineRule="auto"/>
      </w:pPr>
      <w:r>
        <w:rPr>
          <w:rFonts w:ascii="Cambria" w:hAnsi="Cambria" w:eastAsia="Cambria"/>
          <w:b/>
          <w:i w:val="0"/>
          <w:sz w:val="22"/>
        </w:rPr>
        <w:t>Explanation of Columns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Course Name</w:t>
      </w:r>
      <w:r>
        <w:rPr>
          <w:rFonts w:ascii="Cambria" w:hAnsi="Cambria" w:eastAsia="Cambria"/>
          <w:b w:val="0"/>
          <w:i w:val="0"/>
          <w:sz w:val="22"/>
        </w:rPr>
        <w:t xml:space="preserve"> → Title of the vocational course.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Duration (Months)</w:t>
      </w:r>
      <w:r>
        <w:rPr>
          <w:rFonts w:ascii="Cambria" w:hAnsi="Cambria" w:eastAsia="Cambria"/>
          <w:b w:val="0"/>
          <w:i w:val="0"/>
          <w:sz w:val="22"/>
        </w:rPr>
        <w:t xml:space="preserve"> → Length of course (3–12 months typical).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NSQF Level</w:t>
      </w:r>
      <w:r>
        <w:rPr>
          <w:rFonts w:ascii="Cambria" w:hAnsi="Cambria" w:eastAsia="Cambria"/>
          <w:b w:val="0"/>
          <w:i w:val="0"/>
          <w:sz w:val="22"/>
        </w:rPr>
        <w:t xml:space="preserve"> → Alignment with National Skills Qualification Framework.</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Enrollments &amp; Completions</w:t>
      </w:r>
      <w:r>
        <w:rPr>
          <w:rFonts w:ascii="Cambria" w:hAnsi="Cambria" w:eastAsia="Cambria"/>
          <w:b w:val="0"/>
          <w:i w:val="0"/>
          <w:sz w:val="22"/>
        </w:rPr>
        <w:t xml:space="preserve"> → Student participation and success rate.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Industry Partner / SSC</w:t>
      </w:r>
      <w:r>
        <w:rPr>
          <w:rFonts w:ascii="Cambria" w:hAnsi="Cambria" w:eastAsia="Cambria"/>
          <w:b w:val="0"/>
          <w:i w:val="0"/>
          <w:sz w:val="22"/>
        </w:rPr>
        <w:t xml:space="preserve"> → Sector Skill Council, NSDC, or Industry collaborator validating the course.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Placement/Entrepreneurship Outcome (%)</w:t>
      </w:r>
      <w:r>
        <w:rPr>
          <w:rFonts w:ascii="Cambria" w:hAnsi="Cambria" w:eastAsia="Cambria"/>
          <w:b w:val="0"/>
          <w:i w:val="0"/>
          <w:sz w:val="22"/>
        </w:rPr>
        <w:t xml:space="preserve"> → Share of students placed, self-employed, or pursuing higher pathways.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Score Contribution</w:t>
      </w:r>
      <w:r>
        <w:rPr>
          <w:rFonts w:ascii="Cambria" w:hAnsi="Cambria" w:eastAsia="Cambria"/>
          <w:b w:val="0"/>
          <w:i w:val="0"/>
          <w:sz w:val="22"/>
        </w:rPr>
        <w:t xml:space="preserve"> → Weighted contribution toward VCC (10 Marks).</w:t>
      </w:r>
    </w:p>
    <w:p>
      <w:r>
        <w:br w:type="page"/>
      </w:r>
    </w:p>
    <w:p>
      <w:pPr>
        <w:keepNext/>
        <w:spacing w:before="360" w:after="160"/>
      </w:pPr>
      <w:r>
        <w:rPr>
          <w:rFonts w:ascii="Cambria" w:hAnsi="Cambria" w:eastAsia="Cambria"/>
          <w:b/>
          <w:i w:val="0"/>
          <w:color w:val="1F3A5F"/>
          <w:sz w:val="36"/>
        </w:rPr>
        <w:t>53. Combined Metric for Placement &amp; Entrepreneurship in Certificate Programs (PECP)</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Purpose: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 measure the real-world impact of short-term vocational certificate programs.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these programs lead to gainful employment or entrepreneurship, not just certifications.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Aligned with Skill India Mission and NEP 2020's focus on employability and self-reliance.</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Placement Outcomes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students completing certificate programs who are placed in jobs, apprenticeships, or internships.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placement in formal sectors (industry, service, IT, healthcare, manufacturing, etc.).</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Entrepreneurship Outcomes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 of students who start their own ventures, small businesses, or self-employment activities after course completion.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registered startups, local enterprises, or freelance career paths.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Integration with National Schemes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Programs aligned with NSQF, SSC, NSDC, or government-approved certifications.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Recognition under DPIIT Startup India also strengthens scoring.</w:t>
      </w:r>
    </w:p>
    <w:p>
      <w:pPr>
        <w:spacing w:after="40" w:line="276" w:lineRule="auto"/>
      </w:pPr>
      <w:r>
        <w:rPr>
          <w:rFonts w:ascii="Cambria" w:hAnsi="Cambria" w:eastAsia="Cambria"/>
          <w:b/>
          <w:i w:val="0"/>
          <w:sz w:val="22"/>
        </w:rPr>
        <w:t>Assessment Basis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(Institution-provided):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Course-wise data on enrollments, completions, placements, and entrepreneurship cases.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Supporting documents: placement records, offer letters, startup registration certificates, MoUs with industry, etc.</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 Distribution (within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Placement Success → 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Entrepreneurship Success → 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Scoring Logic: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marks (10/10) if:</w:t>
      </w:r>
    </w:p>
    <w:p>
      <w:pPr>
        <w:spacing w:after="40"/>
        <w:ind w:left="1644" w:hanging="357"/>
      </w:pPr>
      <w:r>
        <w:rPr>
          <w:rFonts w:ascii="Cambria" w:hAnsi="Cambria" w:eastAsia="Cambria"/>
          <w:b w:val="0"/>
          <w:i w:val="0"/>
          <w:sz w:val="22"/>
        </w:rPr>
        <w:t>▪</w:t>
        <w:tab/>
      </w:r>
      <w:r>
        <w:rPr>
          <w:rFonts w:ascii="Cambria" w:hAnsi="Cambria" w:eastAsia="Cambria"/>
          <w:b w:val="0"/>
          <w:i w:val="0"/>
          <w:sz w:val="22"/>
        </w:rPr>
        <w:t>≥70% of certificate graduates are employed or self-employed.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Partial marks based on proportional outcomes.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Zero marks if no placement/entrepreneurship outcomes are reported.</w:t>
      </w:r>
    </w:p>
    <w:p>
      <w:pPr>
        <w:spacing w:after="40" w:line="276" w:lineRule="auto"/>
      </w:pPr>
      <w:r>
        <w:rPr>
          <w:rFonts w:ascii="Cambria" w:hAnsi="Cambria" w:eastAsia="Cambria"/>
          <w:b/>
          <w:i w:val="0"/>
          <w:sz w:val="22"/>
        </w:rPr>
        <w:t>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Certificate Program Graduates (last 3 years): 500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Placed in Jobs: 250 (50%) → contributes proportionally (≈3.5 marks out of 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Entrepreneurship Cases: 100 (20%) → contributes proportionally (≈2.0 marks out of 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PECP Score = 5.5 / 10 marks</w:t>
      </w:r>
    </w:p>
    <w:p>
      <w:r>
        <w:br w:type="page"/>
      </w:r>
    </w:p>
    <w:p>
      <w:pPr>
        <w:keepNext/>
        <w:spacing w:before="200" w:after="100"/>
      </w:pPr>
      <w:r>
        <w:rPr>
          <w:rFonts w:ascii="Cambria" w:hAnsi="Cambria" w:eastAsia="Cambria"/>
          <w:b/>
          <w:i w:val="0"/>
          <w:color w:val="1F3A5F"/>
          <w:sz w:val="26"/>
        </w:rPr>
        <w:t>Prescribed Format Table – PECP</w:t>
      </w:r>
    </w:p>
    <w:tbl>
      <w:tblPr>
        <w:tblW w:type="dxa" w:w="9412"/>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963"/>
            <w:shd w:val="clear" w:color="auto" w:fill="1F3A5F"/>
          </w:tcPr>
          <w:p>
            <w:pPr>
              <w:spacing w:after="40" w:line="240" w:lineRule="auto"/>
              <w:jc w:val="center"/>
            </w:pPr>
            <w:r/>
            <w:r>
              <w:rPr>
                <w:rFonts w:ascii="Cambria" w:hAnsi="Cambria" w:eastAsia="Cambria"/>
                <w:b/>
                <w:i w:val="0"/>
                <w:color w:val="FFFFFF"/>
                <w:sz w:val="22"/>
              </w:rPr>
              <w:t>Year</w:t>
            </w:r>
          </w:p>
        </w:tc>
        <w:tc>
          <w:tcPr>
            <w:tcW w:type="dxa" w:w="1247"/>
            <w:shd w:val="clear" w:color="auto" w:fill="1F3A5F"/>
          </w:tcPr>
          <w:p>
            <w:pPr>
              <w:spacing w:after="40" w:line="240" w:lineRule="auto"/>
              <w:jc w:val="center"/>
            </w:pPr>
            <w:r/>
            <w:r>
              <w:rPr>
                <w:rFonts w:ascii="Cambria" w:hAnsi="Cambria" w:eastAsia="Cambria"/>
                <w:b/>
                <w:i w:val="0"/>
                <w:color w:val="FFFFFF"/>
                <w:sz w:val="22"/>
              </w:rPr>
              <w:t>Certificate Graduates</w:t>
            </w:r>
          </w:p>
        </w:tc>
        <w:tc>
          <w:tcPr>
            <w:tcW w:type="dxa" w:w="1757"/>
            <w:shd w:val="clear" w:color="auto" w:fill="1F3A5F"/>
          </w:tcPr>
          <w:p>
            <w:pPr>
              <w:spacing w:after="40" w:line="240" w:lineRule="auto"/>
              <w:jc w:val="center"/>
            </w:pPr>
            <w:r/>
            <w:r>
              <w:rPr>
                <w:rFonts w:ascii="Cambria" w:hAnsi="Cambria" w:eastAsia="Cambria"/>
                <w:b/>
                <w:i w:val="0"/>
                <w:color w:val="FFFFFF"/>
                <w:sz w:val="22"/>
              </w:rPr>
              <w:t>Placed</w:t>
              <w:br/>
              <w:t>(Jobs/Internships/Apprenticeships)</w:t>
            </w:r>
          </w:p>
        </w:tc>
        <w:tc>
          <w:tcPr>
            <w:tcW w:type="dxa" w:w="1474"/>
            <w:shd w:val="clear" w:color="auto" w:fill="1F3A5F"/>
          </w:tcPr>
          <w:p>
            <w:pPr>
              <w:spacing w:after="40" w:line="240" w:lineRule="auto"/>
              <w:jc w:val="center"/>
            </w:pPr>
            <w:r/>
            <w:r>
              <w:rPr>
                <w:rFonts w:ascii="Cambria" w:hAnsi="Cambria" w:eastAsia="Cambria"/>
                <w:b/>
                <w:i w:val="0"/>
                <w:color w:val="FFFFFF"/>
                <w:sz w:val="22"/>
              </w:rPr>
              <w:t>Entrepreneurs</w:t>
              <w:br/>
              <w:t>(Startups/Self-employed)</w:t>
            </w:r>
          </w:p>
        </w:tc>
        <w:tc>
          <w:tcPr>
            <w:tcW w:type="dxa" w:w="907"/>
            <w:shd w:val="clear" w:color="auto" w:fill="1F3A5F"/>
          </w:tcPr>
          <w:p>
            <w:pPr>
              <w:spacing w:after="40" w:line="240" w:lineRule="auto"/>
              <w:jc w:val="center"/>
            </w:pPr>
            <w:r/>
            <w:r>
              <w:rPr>
                <w:rFonts w:ascii="Cambria" w:hAnsi="Cambria" w:eastAsia="Cambria"/>
                <w:b/>
                <w:i w:val="0"/>
                <w:color w:val="FFFFFF"/>
                <w:sz w:val="22"/>
              </w:rPr>
              <w:t>Placement %</w:t>
            </w:r>
          </w:p>
        </w:tc>
        <w:tc>
          <w:tcPr>
            <w:tcW w:type="dxa" w:w="1077"/>
            <w:shd w:val="clear" w:color="auto" w:fill="1F3A5F"/>
          </w:tcPr>
          <w:p>
            <w:pPr>
              <w:spacing w:after="40" w:line="240" w:lineRule="auto"/>
              <w:jc w:val="center"/>
            </w:pPr>
            <w:r/>
            <w:r>
              <w:rPr>
                <w:rFonts w:ascii="Cambria" w:hAnsi="Cambria" w:eastAsia="Cambria"/>
                <w:b/>
                <w:i w:val="0"/>
                <w:color w:val="FFFFFF"/>
                <w:sz w:val="22"/>
              </w:rPr>
              <w:t>Entrepreneurship %</w:t>
            </w:r>
          </w:p>
        </w:tc>
        <w:tc>
          <w:tcPr>
            <w:tcW w:type="dxa" w:w="1984"/>
            <w:shd w:val="clear" w:color="auto" w:fill="1F3A5F"/>
          </w:tcPr>
          <w:p>
            <w:pPr>
              <w:spacing w:after="40" w:line="240" w:lineRule="auto"/>
              <w:jc w:val="center"/>
            </w:pPr>
            <w:r/>
            <w:r>
              <w:rPr>
                <w:rFonts w:ascii="Cambria" w:hAnsi="Cambria" w:eastAsia="Cambria"/>
                <w:b/>
                <w:i w:val="0"/>
                <w:color w:val="FFFFFF"/>
                <w:sz w:val="22"/>
              </w:rPr>
              <w:t>PECP Score (out of 10)</w:t>
            </w:r>
          </w:p>
        </w:tc>
      </w:tr>
      <w:tr>
        <w:tc>
          <w:tcPr>
            <w:tcW w:type="dxa" w:w="963"/>
          </w:tcPr>
          <w:p>
            <w:pPr>
              <w:spacing w:after="40" w:line="240" w:lineRule="auto"/>
              <w:jc w:val="left"/>
            </w:pPr>
            <w:r/>
            <w:r>
              <w:rPr>
                <w:rFonts w:ascii="Cambria" w:hAnsi="Cambria" w:eastAsia="Cambria"/>
                <w:b w:val="0"/>
                <w:i w:val="0"/>
                <w:sz w:val="22"/>
              </w:rPr>
              <w:t>2020–21</w:t>
            </w:r>
          </w:p>
        </w:tc>
        <w:tc>
          <w:tcPr>
            <w:tcW w:type="dxa" w:w="1247"/>
          </w:tcPr>
          <w:p>
            <w:pPr>
              <w:spacing w:after="40" w:line="240" w:lineRule="auto"/>
              <w:jc w:val="center"/>
            </w:pPr>
            <w:r/>
            <w:r>
              <w:rPr>
                <w:rFonts w:ascii="Cambria" w:hAnsi="Cambria" w:eastAsia="Cambria"/>
                <w:b w:val="0"/>
                <w:i w:val="0"/>
                <w:sz w:val="22"/>
              </w:rPr>
              <w:t>180</w:t>
            </w:r>
          </w:p>
        </w:tc>
        <w:tc>
          <w:tcPr>
            <w:tcW w:type="dxa" w:w="1757"/>
          </w:tcPr>
          <w:p>
            <w:pPr>
              <w:spacing w:after="40" w:line="240" w:lineRule="auto"/>
              <w:jc w:val="center"/>
            </w:pPr>
            <w:r/>
            <w:r>
              <w:rPr>
                <w:rFonts w:ascii="Cambria" w:hAnsi="Cambria" w:eastAsia="Cambria"/>
                <w:b w:val="0"/>
                <w:i w:val="0"/>
                <w:sz w:val="22"/>
              </w:rPr>
              <w:t>95</w:t>
            </w:r>
          </w:p>
        </w:tc>
        <w:tc>
          <w:tcPr>
            <w:tcW w:type="dxa" w:w="1474"/>
          </w:tcPr>
          <w:p>
            <w:pPr>
              <w:spacing w:after="40" w:line="240" w:lineRule="auto"/>
              <w:jc w:val="center"/>
            </w:pPr>
            <w:r/>
            <w:r>
              <w:rPr>
                <w:rFonts w:ascii="Cambria" w:hAnsi="Cambria" w:eastAsia="Cambria"/>
                <w:b w:val="0"/>
                <w:i w:val="0"/>
                <w:sz w:val="22"/>
              </w:rPr>
              <w:t>30</w:t>
            </w:r>
          </w:p>
        </w:tc>
        <w:tc>
          <w:tcPr>
            <w:tcW w:type="dxa" w:w="907"/>
          </w:tcPr>
          <w:p>
            <w:pPr>
              <w:spacing w:after="40" w:line="240" w:lineRule="auto"/>
              <w:jc w:val="center"/>
            </w:pPr>
            <w:r/>
            <w:r>
              <w:rPr>
                <w:rFonts w:ascii="Cambria" w:hAnsi="Cambria" w:eastAsia="Cambria"/>
                <w:b w:val="0"/>
                <w:i w:val="0"/>
                <w:sz w:val="22"/>
              </w:rPr>
              <w:t>52.8%</w:t>
            </w:r>
          </w:p>
        </w:tc>
        <w:tc>
          <w:tcPr>
            <w:tcW w:type="dxa" w:w="1077"/>
          </w:tcPr>
          <w:p>
            <w:pPr>
              <w:spacing w:after="40" w:line="240" w:lineRule="auto"/>
              <w:jc w:val="center"/>
            </w:pPr>
            <w:r/>
            <w:r>
              <w:rPr>
                <w:rFonts w:ascii="Cambria" w:hAnsi="Cambria" w:eastAsia="Cambria"/>
                <w:b w:val="0"/>
                <w:i w:val="0"/>
                <w:sz w:val="22"/>
              </w:rPr>
              <w:t>16.7%</w:t>
            </w:r>
          </w:p>
        </w:tc>
        <w:tc>
          <w:tcPr>
            <w:tcW w:type="dxa" w:w="1984"/>
          </w:tcPr>
          <w:p>
            <w:pPr>
              <w:spacing w:after="40" w:line="240" w:lineRule="auto"/>
              <w:jc w:val="center"/>
            </w:pPr>
            <w:r/>
            <w:r>
              <w:rPr>
                <w:rFonts w:ascii="Cambria" w:hAnsi="Cambria" w:eastAsia="Cambria"/>
                <w:b w:val="0"/>
                <w:i w:val="0"/>
                <w:sz w:val="22"/>
              </w:rPr>
              <w:t>3.2 (Placement) + 1.7 (Entrepreneurship) = 4.9</w:t>
            </w:r>
          </w:p>
        </w:tc>
      </w:tr>
      <w:tr>
        <w:tc>
          <w:tcPr>
            <w:tcW w:type="dxa" w:w="963"/>
            <w:shd w:val="clear" w:color="auto" w:fill="DCE6F1"/>
          </w:tcPr>
          <w:p>
            <w:pPr>
              <w:spacing w:after="40" w:line="240" w:lineRule="auto"/>
              <w:jc w:val="left"/>
            </w:pPr>
            <w:r/>
            <w:r>
              <w:rPr>
                <w:rFonts w:ascii="Cambria" w:hAnsi="Cambria" w:eastAsia="Cambria"/>
                <w:b w:val="0"/>
                <w:i w:val="0"/>
                <w:sz w:val="22"/>
              </w:rPr>
              <w:t>2021–22</w:t>
            </w:r>
          </w:p>
        </w:tc>
        <w:tc>
          <w:tcPr>
            <w:tcW w:type="dxa" w:w="1247"/>
            <w:shd w:val="clear" w:color="auto" w:fill="DCE6F1"/>
          </w:tcPr>
          <w:p>
            <w:pPr>
              <w:spacing w:after="40" w:line="240" w:lineRule="auto"/>
              <w:jc w:val="center"/>
            </w:pPr>
            <w:r/>
            <w:r>
              <w:rPr>
                <w:rFonts w:ascii="Cambria" w:hAnsi="Cambria" w:eastAsia="Cambria"/>
                <w:b w:val="0"/>
                <w:i w:val="0"/>
                <w:sz w:val="22"/>
              </w:rPr>
              <w:t>200</w:t>
            </w:r>
          </w:p>
        </w:tc>
        <w:tc>
          <w:tcPr>
            <w:tcW w:type="dxa" w:w="1757"/>
            <w:shd w:val="clear" w:color="auto" w:fill="DCE6F1"/>
          </w:tcPr>
          <w:p>
            <w:pPr>
              <w:spacing w:after="40" w:line="240" w:lineRule="auto"/>
              <w:jc w:val="center"/>
            </w:pPr>
            <w:r/>
            <w:r>
              <w:rPr>
                <w:rFonts w:ascii="Cambria" w:hAnsi="Cambria" w:eastAsia="Cambria"/>
                <w:b w:val="0"/>
                <w:i w:val="0"/>
                <w:sz w:val="22"/>
              </w:rPr>
              <w:t>120</w:t>
            </w:r>
          </w:p>
        </w:tc>
        <w:tc>
          <w:tcPr>
            <w:tcW w:type="dxa" w:w="1474"/>
            <w:shd w:val="clear" w:color="auto" w:fill="DCE6F1"/>
          </w:tcPr>
          <w:p>
            <w:pPr>
              <w:spacing w:after="40" w:line="240" w:lineRule="auto"/>
              <w:jc w:val="center"/>
            </w:pPr>
            <w:r/>
            <w:r>
              <w:rPr>
                <w:rFonts w:ascii="Cambria" w:hAnsi="Cambria" w:eastAsia="Cambria"/>
                <w:b w:val="0"/>
                <w:i w:val="0"/>
                <w:sz w:val="22"/>
              </w:rPr>
              <w:t>40</w:t>
            </w:r>
          </w:p>
        </w:tc>
        <w:tc>
          <w:tcPr>
            <w:tcW w:type="dxa" w:w="907"/>
            <w:shd w:val="clear" w:color="auto" w:fill="DCE6F1"/>
          </w:tcPr>
          <w:p>
            <w:pPr>
              <w:spacing w:after="40" w:line="240" w:lineRule="auto"/>
              <w:jc w:val="center"/>
            </w:pPr>
            <w:r/>
            <w:r>
              <w:rPr>
                <w:rFonts w:ascii="Cambria" w:hAnsi="Cambria" w:eastAsia="Cambria"/>
                <w:b w:val="0"/>
                <w:i w:val="0"/>
                <w:sz w:val="22"/>
              </w:rPr>
              <w:t>60.0%</w:t>
            </w:r>
          </w:p>
        </w:tc>
        <w:tc>
          <w:tcPr>
            <w:tcW w:type="dxa" w:w="1077"/>
            <w:shd w:val="clear" w:color="auto" w:fill="DCE6F1"/>
          </w:tcPr>
          <w:p>
            <w:pPr>
              <w:spacing w:after="40" w:line="240" w:lineRule="auto"/>
              <w:jc w:val="center"/>
            </w:pPr>
            <w:r/>
            <w:r>
              <w:rPr>
                <w:rFonts w:ascii="Cambria" w:hAnsi="Cambria" w:eastAsia="Cambria"/>
                <w:b w:val="0"/>
                <w:i w:val="0"/>
                <w:sz w:val="22"/>
              </w:rPr>
              <w:t>20.0%</w:t>
            </w:r>
          </w:p>
        </w:tc>
        <w:tc>
          <w:tcPr>
            <w:tcW w:type="dxa" w:w="1984"/>
            <w:shd w:val="clear" w:color="auto" w:fill="DCE6F1"/>
          </w:tcPr>
          <w:p>
            <w:pPr>
              <w:spacing w:after="40" w:line="240" w:lineRule="auto"/>
              <w:jc w:val="center"/>
            </w:pPr>
            <w:r/>
            <w:r>
              <w:rPr>
                <w:rFonts w:ascii="Cambria" w:hAnsi="Cambria" w:eastAsia="Cambria"/>
                <w:b w:val="0"/>
                <w:i w:val="0"/>
                <w:sz w:val="22"/>
              </w:rPr>
              <w:t>3.8 + 2.0 = 5.8</w:t>
            </w:r>
          </w:p>
        </w:tc>
      </w:tr>
      <w:tr>
        <w:tc>
          <w:tcPr>
            <w:tcW w:type="dxa" w:w="963"/>
          </w:tcPr>
          <w:p>
            <w:pPr>
              <w:spacing w:after="40" w:line="240" w:lineRule="auto"/>
              <w:jc w:val="left"/>
            </w:pPr>
            <w:r/>
            <w:r>
              <w:rPr>
                <w:rFonts w:ascii="Cambria" w:hAnsi="Cambria" w:eastAsia="Cambria"/>
                <w:b w:val="0"/>
                <w:i w:val="0"/>
                <w:sz w:val="22"/>
              </w:rPr>
              <w:t>2022–23</w:t>
            </w:r>
          </w:p>
        </w:tc>
        <w:tc>
          <w:tcPr>
            <w:tcW w:type="dxa" w:w="1247"/>
          </w:tcPr>
          <w:p>
            <w:pPr>
              <w:spacing w:after="40" w:line="240" w:lineRule="auto"/>
              <w:jc w:val="center"/>
            </w:pPr>
            <w:r/>
            <w:r>
              <w:rPr>
                <w:rFonts w:ascii="Cambria" w:hAnsi="Cambria" w:eastAsia="Cambria"/>
                <w:b w:val="0"/>
                <w:i w:val="0"/>
                <w:sz w:val="22"/>
              </w:rPr>
              <w:t>220</w:t>
            </w:r>
          </w:p>
        </w:tc>
        <w:tc>
          <w:tcPr>
            <w:tcW w:type="dxa" w:w="1757"/>
          </w:tcPr>
          <w:p>
            <w:pPr>
              <w:spacing w:after="40" w:line="240" w:lineRule="auto"/>
              <w:jc w:val="center"/>
            </w:pPr>
            <w:r/>
            <w:r>
              <w:rPr>
                <w:rFonts w:ascii="Cambria" w:hAnsi="Cambria" w:eastAsia="Cambria"/>
                <w:b w:val="0"/>
                <w:i w:val="0"/>
                <w:sz w:val="22"/>
              </w:rPr>
              <w:t>150</w:t>
            </w:r>
          </w:p>
        </w:tc>
        <w:tc>
          <w:tcPr>
            <w:tcW w:type="dxa" w:w="1474"/>
          </w:tcPr>
          <w:p>
            <w:pPr>
              <w:spacing w:after="40" w:line="240" w:lineRule="auto"/>
              <w:jc w:val="center"/>
            </w:pPr>
            <w:r/>
            <w:r>
              <w:rPr>
                <w:rFonts w:ascii="Cambria" w:hAnsi="Cambria" w:eastAsia="Cambria"/>
                <w:b w:val="0"/>
                <w:i w:val="0"/>
                <w:sz w:val="22"/>
              </w:rPr>
              <w:t>50</w:t>
            </w:r>
          </w:p>
        </w:tc>
        <w:tc>
          <w:tcPr>
            <w:tcW w:type="dxa" w:w="907"/>
          </w:tcPr>
          <w:p>
            <w:pPr>
              <w:spacing w:after="40" w:line="240" w:lineRule="auto"/>
              <w:jc w:val="center"/>
            </w:pPr>
            <w:r/>
            <w:r>
              <w:rPr>
                <w:rFonts w:ascii="Cambria" w:hAnsi="Cambria" w:eastAsia="Cambria"/>
                <w:b w:val="0"/>
                <w:i w:val="0"/>
                <w:sz w:val="22"/>
              </w:rPr>
              <w:t>68.2%</w:t>
            </w:r>
          </w:p>
        </w:tc>
        <w:tc>
          <w:tcPr>
            <w:tcW w:type="dxa" w:w="1077"/>
          </w:tcPr>
          <w:p>
            <w:pPr>
              <w:spacing w:after="40" w:line="240" w:lineRule="auto"/>
              <w:jc w:val="center"/>
            </w:pPr>
            <w:r/>
            <w:r>
              <w:rPr>
                <w:rFonts w:ascii="Cambria" w:hAnsi="Cambria" w:eastAsia="Cambria"/>
                <w:b w:val="0"/>
                <w:i w:val="0"/>
                <w:sz w:val="22"/>
              </w:rPr>
              <w:t>22.7%</w:t>
            </w:r>
          </w:p>
        </w:tc>
        <w:tc>
          <w:tcPr>
            <w:tcW w:type="dxa" w:w="1984"/>
          </w:tcPr>
          <w:p>
            <w:pPr>
              <w:spacing w:after="40" w:line="240" w:lineRule="auto"/>
              <w:jc w:val="center"/>
            </w:pPr>
            <w:r/>
            <w:r>
              <w:rPr>
                <w:rFonts w:ascii="Cambria" w:hAnsi="Cambria" w:eastAsia="Cambria"/>
                <w:b w:val="0"/>
                <w:i w:val="0"/>
                <w:sz w:val="22"/>
              </w:rPr>
              <w:t>4.5 + 2.3 = 6.8</w:t>
            </w:r>
          </w:p>
        </w:tc>
      </w:tr>
      <w:tr>
        <w:tc>
          <w:tcPr>
            <w:tcW w:type="dxa" w:w="963"/>
            <w:shd w:val="clear" w:color="auto" w:fill="DCE6F1"/>
          </w:tcPr>
          <w:p>
            <w:pPr>
              <w:spacing w:after="40" w:line="240" w:lineRule="auto"/>
              <w:jc w:val="left"/>
            </w:pPr>
            <w:r/>
            <w:r>
              <w:rPr>
                <w:rFonts w:ascii="Cambria" w:hAnsi="Cambria" w:eastAsia="Cambria"/>
                <w:b w:val="0"/>
                <w:i w:val="0"/>
                <w:sz w:val="22"/>
              </w:rPr>
              <w:t>3-Year Avg.</w:t>
            </w:r>
          </w:p>
        </w:tc>
        <w:tc>
          <w:tcPr>
            <w:tcW w:type="dxa" w:w="1247"/>
            <w:shd w:val="clear" w:color="auto" w:fill="DCE6F1"/>
          </w:tcPr>
          <w:p>
            <w:pPr>
              <w:spacing w:after="40" w:line="240" w:lineRule="auto"/>
              <w:jc w:val="center"/>
            </w:pPr>
            <w:r/>
            <w:r>
              <w:rPr>
                <w:rFonts w:ascii="Cambria" w:hAnsi="Cambria" w:eastAsia="Cambria"/>
                <w:b w:val="0"/>
                <w:i w:val="0"/>
                <w:sz w:val="22"/>
              </w:rPr>
              <w:t>200</w:t>
            </w:r>
          </w:p>
        </w:tc>
        <w:tc>
          <w:tcPr>
            <w:tcW w:type="dxa" w:w="1757"/>
            <w:shd w:val="clear" w:color="auto" w:fill="DCE6F1"/>
          </w:tcPr>
          <w:p>
            <w:pPr>
              <w:spacing w:after="40" w:line="240" w:lineRule="auto"/>
              <w:jc w:val="center"/>
            </w:pPr>
            <w:r/>
            <w:r>
              <w:rPr>
                <w:rFonts w:ascii="Cambria" w:hAnsi="Cambria" w:eastAsia="Cambria"/>
                <w:b w:val="0"/>
                <w:i w:val="0"/>
                <w:sz w:val="22"/>
              </w:rPr>
              <w:t>122</w:t>
            </w:r>
          </w:p>
        </w:tc>
        <w:tc>
          <w:tcPr>
            <w:tcW w:type="dxa" w:w="1474"/>
            <w:shd w:val="clear" w:color="auto" w:fill="DCE6F1"/>
          </w:tcPr>
          <w:p>
            <w:pPr>
              <w:spacing w:after="40" w:line="240" w:lineRule="auto"/>
              <w:jc w:val="center"/>
            </w:pPr>
            <w:r/>
            <w:r>
              <w:rPr>
                <w:rFonts w:ascii="Cambria" w:hAnsi="Cambria" w:eastAsia="Cambria"/>
                <w:b w:val="0"/>
                <w:i w:val="0"/>
                <w:sz w:val="22"/>
              </w:rPr>
              <w:t>40</w:t>
            </w:r>
          </w:p>
        </w:tc>
        <w:tc>
          <w:tcPr>
            <w:tcW w:type="dxa" w:w="907"/>
            <w:shd w:val="clear" w:color="auto" w:fill="DCE6F1"/>
          </w:tcPr>
          <w:p>
            <w:pPr>
              <w:spacing w:after="40" w:line="240" w:lineRule="auto"/>
              <w:jc w:val="center"/>
            </w:pPr>
            <w:r/>
            <w:r>
              <w:rPr>
                <w:rFonts w:ascii="Cambria" w:hAnsi="Cambria" w:eastAsia="Cambria"/>
                <w:b w:val="0"/>
                <w:i w:val="0"/>
                <w:sz w:val="22"/>
              </w:rPr>
              <w:t>60.3%</w:t>
            </w:r>
          </w:p>
        </w:tc>
        <w:tc>
          <w:tcPr>
            <w:tcW w:type="dxa" w:w="1077"/>
            <w:shd w:val="clear" w:color="auto" w:fill="DCE6F1"/>
          </w:tcPr>
          <w:p>
            <w:pPr>
              <w:spacing w:after="40" w:line="240" w:lineRule="auto"/>
              <w:jc w:val="center"/>
            </w:pPr>
            <w:r/>
            <w:r>
              <w:rPr>
                <w:rFonts w:ascii="Cambria" w:hAnsi="Cambria" w:eastAsia="Cambria"/>
                <w:b w:val="0"/>
                <w:i w:val="0"/>
                <w:sz w:val="22"/>
              </w:rPr>
              <w:t>19.8%</w:t>
            </w:r>
          </w:p>
        </w:tc>
        <w:tc>
          <w:tcPr>
            <w:tcW w:type="dxa" w:w="1984"/>
            <w:shd w:val="clear" w:color="auto" w:fill="DCE6F1"/>
          </w:tcPr>
          <w:p>
            <w:pPr>
              <w:spacing w:after="40" w:line="240" w:lineRule="auto"/>
              <w:jc w:val="center"/>
            </w:pPr>
            <w:r/>
            <w:r>
              <w:rPr>
                <w:rFonts w:ascii="Cambria" w:hAnsi="Cambria" w:eastAsia="Cambria"/>
                <w:b w:val="0"/>
                <w:i w:val="0"/>
                <w:sz w:val="22"/>
              </w:rPr>
              <w:t>5.8 / 10</w:t>
            </w:r>
          </w:p>
        </w:tc>
      </w:tr>
    </w:tbl>
    <w:p>
      <w:pPr>
        <w:spacing w:after="40" w:line="276" w:lineRule="auto"/>
      </w:pPr>
      <w:r>
        <w:rPr>
          <w:rFonts w:ascii="Cambria" w:hAnsi="Cambria" w:eastAsia="Cambria"/>
          <w:b/>
          <w:i w:val="0"/>
          <w:sz w:val="22"/>
        </w:rPr>
        <w:t>Explanation of Columns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t>
      </w:r>
      <w:r>
        <w:rPr>
          <w:rFonts w:ascii="Cambria" w:hAnsi="Cambria" w:eastAsia="Cambria"/>
          <w:b w:val="0"/>
          <w:i w:val="0"/>
          <w:sz w:val="22"/>
        </w:rPr>
        <w:t xml:space="preserve"> → Academic year of reporting.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Certificate Graduates</w:t>
      </w:r>
      <w:r>
        <w:rPr>
          <w:rFonts w:ascii="Cambria" w:hAnsi="Cambria" w:eastAsia="Cambria"/>
          <w:b w:val="0"/>
          <w:i w:val="0"/>
          <w:sz w:val="22"/>
        </w:rPr>
        <w:t xml:space="preserve"> → Number of students completing certificate programs.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Placed</w:t>
      </w:r>
      <w:r>
        <w:rPr>
          <w:rFonts w:ascii="Cambria" w:hAnsi="Cambria" w:eastAsia="Cambria"/>
          <w:b w:val="0"/>
          <w:i w:val="0"/>
          <w:sz w:val="22"/>
        </w:rPr>
        <w:t xml:space="preserve"> → Number securing jobs, internships, or apprenticeships.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Entrepreneurs</w:t>
      </w:r>
      <w:r>
        <w:rPr>
          <w:rFonts w:ascii="Cambria" w:hAnsi="Cambria" w:eastAsia="Cambria"/>
          <w:b w:val="0"/>
          <w:i w:val="0"/>
          <w:sz w:val="22"/>
        </w:rPr>
        <w:t xml:space="preserve"> → Number starting startups, small businesses, or self-employment.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Placement %</w:t>
      </w:r>
      <w:r>
        <w:rPr>
          <w:rFonts w:ascii="Cambria" w:hAnsi="Cambria" w:eastAsia="Cambria"/>
          <w:b w:val="0"/>
          <w:i w:val="0"/>
          <w:sz w:val="22"/>
        </w:rPr>
        <w:t xml:space="preserve"> → Placed ÷ Graduates × 100.</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Entrepreneurship %</w:t>
      </w:r>
      <w:r>
        <w:rPr>
          <w:rFonts w:ascii="Cambria" w:hAnsi="Cambria" w:eastAsia="Cambria"/>
          <w:b w:val="0"/>
          <w:i w:val="0"/>
          <w:sz w:val="22"/>
        </w:rPr>
        <w:t xml:space="preserve"> → Entrepreneurs ÷ Graduates × 100.</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PECP Score</w:t>
      </w:r>
      <w:r>
        <w:rPr>
          <w:rFonts w:ascii="Cambria" w:hAnsi="Cambria" w:eastAsia="Cambria"/>
          <w:b w:val="0"/>
          <w:i w:val="0"/>
          <w:sz w:val="22"/>
        </w:rPr>
        <w:t xml:space="preserve"> →</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Placement → Max 5 marks (scaled proportionally).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Entrepreneurship → Max 5 marks (scaled proportionally).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 Placement Score + Entrepreneurship Score (Max 10).</w:t>
      </w:r>
    </w:p>
    <w:p>
      <w:r>
        <w:br w:type="page"/>
      </w:r>
    </w:p>
    <w:p>
      <w:pPr>
        <w:keepNext/>
        <w:spacing w:before="360" w:after="160"/>
      </w:pPr>
      <w:r>
        <w:rPr>
          <w:rFonts w:ascii="Cambria" w:hAnsi="Cambria" w:eastAsia="Cambria"/>
          <w:b/>
          <w:i w:val="0"/>
          <w:color w:val="1F3A5F"/>
          <w:sz w:val="36"/>
        </w:rPr>
        <w:t>54. NIRF 2024 Framework for Open Universities</w:t>
      </w:r>
    </w:p>
    <w:p>
      <w:pPr>
        <w:keepNext/>
        <w:spacing w:before="280" w:after="120"/>
      </w:pPr>
      <w:r>
        <w:rPr>
          <w:rFonts w:ascii="Cambria" w:hAnsi="Cambria" w:eastAsia="Cambria"/>
          <w:b/>
          <w:i w:val="0"/>
          <w:color w:val="1F3A5F"/>
          <w:sz w:val="30"/>
        </w:rPr>
        <w:t>1. Teaching, Learning &amp; Resources (TLR) – 100 Marks (Weight: 0.40)</w:t>
      </w:r>
    </w:p>
    <w:p>
      <w:pPr>
        <w:spacing w:after="80" w:line="276" w:lineRule="auto"/>
      </w:pPr>
      <w:r>
        <w:rPr>
          <w:rFonts w:ascii="Cambria" w:hAnsi="Cambria" w:eastAsia="Cambria"/>
          <w:b w:val="0"/>
          <w:i w:val="0"/>
          <w:sz w:val="22"/>
        </w:rPr>
        <w:t>For open and distance learning (ODL) institutions, teaching-learning quality and digital delivery infrastructure carry the highest weight.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Student Strength (SS)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Considers UG, PG, and doctoral student enrollment.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balanced growth and support for large-scale student populations.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Faculty per Discipline (FPP)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adequacy of permanent faculty assigned to different disciplines.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Critical for ODL models, where specialized faculty design courses and learner support.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Qualification &amp; Experience (FQE)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proportion of PhD-qualified and experienced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Lower weight compared to other categories, since course development and technology-driven delivery dominate.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Financial Resources &amp; Utilization (FRU)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per-student expenditure on courseware, ICT systems, study centers, and faculty development.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 Online Education (OE)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Adoption of e-learning, online examinations, SWAYAM course integration, and digital assessments.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 Learning Materials Development &amp; Revision (MDR)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Quantity and quality of Self-Learning Materials (SLMs) and audio/video modules developed and revised.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commitment to keeping content updated and learner-centric.</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 Multiple Entry/Exit, Indian Knowledge System, Regional Languages (MIR)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implementation of NEP-2020 reforms, regional language offerings, and incorporation of Indian knowledge systems.</w:t>
      </w:r>
    </w:p>
    <w:p>
      <w:pPr>
        <w:keepNext/>
        <w:spacing w:before="280" w:after="120"/>
      </w:pPr>
      <w:r>
        <w:rPr>
          <w:rFonts w:ascii="Cambria" w:hAnsi="Cambria" w:eastAsia="Cambria"/>
          <w:b/>
          <w:i w:val="0"/>
          <w:color w:val="1F3A5F"/>
          <w:sz w:val="30"/>
        </w:rPr>
        <w:t>2. Research &amp; Professional Practice (RP) – 100 Marks (Weight: 0.15)</w:t>
      </w:r>
    </w:p>
    <w:p>
      <w:pPr>
        <w:spacing w:after="80" w:line="276" w:lineRule="auto"/>
      </w:pPr>
      <w:r>
        <w:rPr>
          <w:rFonts w:ascii="Cambria" w:hAnsi="Cambria" w:eastAsia="Cambria"/>
          <w:b w:val="0"/>
          <w:i w:val="0"/>
          <w:sz w:val="22"/>
        </w:rPr>
        <w:t>Given lower emphasis compared to conventional universities, but still important for academic credibility.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(PU) – 50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publication count in indexed journals.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(QP)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counts, journal impact factors, and top-cited papers.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Projects &amp; Professional Practice (FPPP)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Sponsored projects, consultancy, community learning programs, and collaborations with industries or NGOs.</w:t>
      </w:r>
    </w:p>
    <w:p>
      <w:pPr>
        <w:keepNext/>
        <w:spacing w:before="280" w:after="120"/>
      </w:pPr>
      <w:r>
        <w:rPr>
          <w:rFonts w:ascii="Cambria" w:hAnsi="Cambria" w:eastAsia="Cambria"/>
          <w:b/>
          <w:i w:val="0"/>
          <w:color w:val="1F3A5F"/>
          <w:sz w:val="30"/>
        </w:rPr>
        <w:t>3. Graduation Outcomes (GO) – 100 Marks (Weight: 0.25)</w:t>
      </w:r>
    </w:p>
    <w:p>
      <w:pPr>
        <w:spacing w:after="80" w:line="276" w:lineRule="auto"/>
      </w:pPr>
      <w:r>
        <w:rPr>
          <w:rFonts w:ascii="Cambria" w:hAnsi="Cambria" w:eastAsia="Cambria"/>
          <w:b w:val="0"/>
          <w:i w:val="0"/>
          <w:sz w:val="22"/>
        </w:rPr>
        <w:t>Measures student success and progression in a large-scale ODL environment.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UG Students Graduated (GUG)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undergraduate students completing their degrees within stipulated time.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PG Students Graduated (GPG)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postgraduates successfully graduating.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Ph.D. Students Graduated (GPHD)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Average number of doctoral graduates in last 3 years.</w:t>
      </w:r>
    </w:p>
    <w:p>
      <w:pPr>
        <w:keepNext/>
        <w:spacing w:before="280" w:after="120"/>
      </w:pPr>
      <w:r>
        <w:rPr>
          <w:rFonts w:ascii="Cambria" w:hAnsi="Cambria" w:eastAsia="Cambria"/>
          <w:b/>
          <w:i w:val="0"/>
          <w:color w:val="1F3A5F"/>
          <w:sz w:val="30"/>
        </w:rPr>
        <w:t>4. Outreach &amp; Inclusivity (OI) – 100 Marks (Weight: 0.10)</w:t>
      </w:r>
    </w:p>
    <w:p>
      <w:pPr>
        <w:spacing w:after="80" w:line="276" w:lineRule="auto"/>
      </w:pPr>
      <w:r>
        <w:rPr>
          <w:rFonts w:ascii="Cambria" w:hAnsi="Cambria" w:eastAsia="Cambria"/>
          <w:b w:val="0"/>
          <w:i w:val="0"/>
          <w:sz w:val="22"/>
        </w:rPr>
        <w:t>ODL institutions are judged on how well they reach diverse populations.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Regional Diversity (RD)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 of rural and urban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Unique focus compared to other categories, given open universities' role in bridging rural access gaps.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Women Diversity (WD)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Enrollment of women in various programs.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Socially Challenged Background (SCB)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Representation of SC/ST/OBC students.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Facilities for Physically Challenged Students (PCS)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Accessible learning centers, digital content, assistive technologies.</w:t>
      </w:r>
    </w:p>
    <w:p>
      <w:pPr>
        <w:keepNext/>
        <w:spacing w:before="280" w:after="120"/>
      </w:pPr>
      <w:r>
        <w:rPr>
          <w:rFonts w:ascii="Cambria" w:hAnsi="Cambria" w:eastAsia="Cambria"/>
          <w:b/>
          <w:i w:val="0"/>
          <w:color w:val="1F3A5F"/>
          <w:sz w:val="30"/>
        </w:rPr>
        <w:t>5. Perception (PR) – 100 Marks (Weight: 0.10)</w:t>
      </w:r>
    </w:p>
    <w:p>
      <w:pPr>
        <w:spacing w:after="80" w:line="276" w:lineRule="auto"/>
      </w:pPr>
      <w:r>
        <w:rPr>
          <w:rFonts w:ascii="Cambria" w:hAnsi="Cambria" w:eastAsia="Cambria"/>
          <w:b w:val="0"/>
          <w:i w:val="0"/>
          <w:sz w:val="22"/>
        </w:rPr>
        <w:t>Measures the credibility of open universities among peers and employers.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Peer Perception (70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 of employers, academics, and professionals on the reputation of graduates.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NAAC Accreditation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Formal accreditation status of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Unique to open universities, where quality assurance frameworks (NAAC/AQAR/ODL guidelines) are critical.</w:t>
      </w:r>
    </w:p>
    <w:p>
      <w:pPr>
        <w:spacing w:after="40" w:line="276" w:lineRule="auto"/>
      </w:pPr>
      <w:r>
        <w:rPr>
          <w:rFonts w:ascii="Cambria" w:hAnsi="Cambria" w:eastAsia="Cambria"/>
          <w:b/>
          <w:i w:val="0"/>
          <w:sz w:val="22"/>
        </w:rPr>
        <w:t>Key Insights for Open University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dominates (40%), with special focus on digital learning, SLMs, and vocational relevance.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is lighter (15%), but still values research and professional practice.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(25%) emphasizes mass graduation outcomes, especially UG/PG students.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is uniquely designed to include rural–urban balance and SC/ST/OBC representation.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(10%) differs by giving explicit weight to NAAC accreditation (30 marks) alongside peer perception.</w:t>
      </w:r>
    </w:p>
    <w:p>
      <w:pPr>
        <w:keepNext/>
        <w:spacing w:before="200" w:after="100"/>
      </w:pPr>
      <w:r>
        <w:rPr>
          <w:rFonts w:ascii="Cambria" w:hAnsi="Cambria" w:eastAsia="Cambria"/>
          <w:b/>
          <w:i w:val="0"/>
          <w:color w:val="1F3A5F"/>
          <w:sz w:val="26"/>
        </w:rPr>
        <w:t>NIRF 2024 – Overall vs Open Universities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1984"/>
            <w:shd w:val="clear" w:color="auto" w:fill="1F3A5F"/>
          </w:tcPr>
          <w:p>
            <w:pPr>
              <w:spacing w:after="40" w:line="240" w:lineRule="auto"/>
              <w:jc w:val="center"/>
            </w:pPr>
            <w:r/>
            <w:r>
              <w:rPr>
                <w:rFonts w:ascii="Cambria" w:hAnsi="Cambria" w:eastAsia="Cambria"/>
                <w:b/>
                <w:i w:val="0"/>
                <w:color w:val="FFFFFF"/>
                <w:sz w:val="22"/>
              </w:rPr>
              <w:t>Parameter</w:t>
            </w:r>
          </w:p>
        </w:tc>
        <w:tc>
          <w:tcPr>
            <w:tcW w:type="dxa" w:w="3713"/>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713"/>
            <w:shd w:val="clear" w:color="auto" w:fill="1F3A5F"/>
          </w:tcPr>
          <w:p>
            <w:pPr>
              <w:spacing w:after="40" w:line="240" w:lineRule="auto"/>
              <w:jc w:val="center"/>
            </w:pPr>
            <w:r/>
            <w:r>
              <w:rPr>
                <w:rFonts w:ascii="Cambria" w:hAnsi="Cambria" w:eastAsia="Cambria"/>
                <w:b/>
                <w:i w:val="0"/>
                <w:color w:val="FFFFFF"/>
                <w:sz w:val="22"/>
              </w:rPr>
              <w:t>Open Universities Framework</w:t>
            </w:r>
          </w:p>
        </w:tc>
      </w:tr>
      <w:tr>
        <w:tc>
          <w:tcPr>
            <w:tcW w:type="dxa" w:w="1984"/>
          </w:tcPr>
          <w:p>
            <w:pPr>
              <w:spacing w:after="40" w:line="240" w:lineRule="auto"/>
              <w:jc w:val="left"/>
            </w:pPr>
            <w:r/>
            <w:r>
              <w:rPr>
                <w:rFonts w:ascii="Cambria" w:hAnsi="Cambria" w:eastAsia="Cambria"/>
                <w:b w:val="0"/>
                <w:i w:val="0"/>
                <w:sz w:val="22"/>
              </w:rPr>
              <w:t>Teaching, Learning &amp; Resources (TLR)</w:t>
            </w:r>
          </w:p>
        </w:tc>
        <w:tc>
          <w:tcPr>
            <w:tcW w:type="dxa" w:w="3713"/>
          </w:tcPr>
          <w:p>
            <w:pPr>
              <w:spacing w:after="40" w:line="240" w:lineRule="auto"/>
              <w:jc w:val="center"/>
            </w:pPr>
            <w:r/>
            <w:r>
              <w:rPr>
                <w:rFonts w:ascii="Cambria" w:hAnsi="Cambria" w:eastAsia="Cambria"/>
                <w:b w:val="0"/>
                <w:i w:val="0"/>
                <w:sz w:val="22"/>
              </w:rPr>
              <w:t>100 marks (30%)</w:t>
              <w:br/>
              <w:t>SS (20)</w:t>
              <w:br/>
              <w:t>FSR (25)</w:t>
              <w:br/>
              <w:t>FQE (20)</w:t>
              <w:br/>
              <w:t>FRU (20)</w:t>
              <w:br/>
              <w:t>OE (10)</w:t>
              <w:br/>
              <w:t>MIR (5)</w:t>
            </w:r>
          </w:p>
        </w:tc>
        <w:tc>
          <w:tcPr>
            <w:tcW w:type="dxa" w:w="3713"/>
          </w:tcPr>
          <w:p>
            <w:pPr>
              <w:spacing w:after="40" w:line="240" w:lineRule="auto"/>
              <w:jc w:val="center"/>
            </w:pPr>
            <w:r/>
            <w:r>
              <w:rPr>
                <w:rFonts w:ascii="Cambria" w:hAnsi="Cambria" w:eastAsia="Cambria"/>
                <w:b w:val="0"/>
                <w:i w:val="0"/>
                <w:sz w:val="22"/>
              </w:rPr>
              <w:t>100 marks (40%)</w:t>
              <w:br/>
              <w:t>SS (20)</w:t>
              <w:br/>
              <w:t>Faculty per Discipline (FPP – 20)</w:t>
              <w:br/>
              <w:t>FQE (10)</w:t>
              <w:br/>
              <w:t>FRU (20)</w:t>
              <w:br/>
              <w:t>OE (10)</w:t>
              <w:br/>
              <w:t>Modules Developed/Revised (MDR – 10)</w:t>
              <w:br/>
              <w:t>MIR (10)</w:t>
            </w:r>
          </w:p>
        </w:tc>
      </w:tr>
      <w:tr>
        <w:tc>
          <w:tcPr>
            <w:tcW w:type="dxa" w:w="1984"/>
            <w:shd w:val="clear" w:color="auto" w:fill="DCE6F1"/>
          </w:tcPr>
          <w:p>
            <w:pPr>
              <w:spacing w:after="40" w:line="240" w:lineRule="auto"/>
              <w:jc w:val="left"/>
            </w:pPr>
            <w:r/>
            <w:r>
              <w:rPr>
                <w:rFonts w:ascii="Cambria" w:hAnsi="Cambria" w:eastAsia="Cambria"/>
                <w:b w:val="0"/>
                <w:i w:val="0"/>
                <w:sz w:val="22"/>
              </w:rPr>
              <w:t>Research &amp; Professional Practice (RP)</w:t>
            </w:r>
          </w:p>
        </w:tc>
        <w:tc>
          <w:tcPr>
            <w:tcW w:type="dxa" w:w="3713"/>
            <w:shd w:val="clear" w:color="auto" w:fill="DCE6F1"/>
          </w:tcPr>
          <w:p>
            <w:pPr>
              <w:spacing w:after="40" w:line="240" w:lineRule="auto"/>
              <w:jc w:val="center"/>
            </w:pPr>
            <w:r/>
            <w:r>
              <w:rPr>
                <w:rFonts w:ascii="Cambria" w:hAnsi="Cambria" w:eastAsia="Cambria"/>
                <w:b w:val="0"/>
                <w:i w:val="0"/>
                <w:sz w:val="22"/>
              </w:rPr>
              <w:t>100 marks (30%)</w:t>
              <w:br/>
              <w:t>PU (30)</w:t>
              <w:br/>
              <w:t>QP (30)</w:t>
              <w:br/>
              <w:t>IPR (15)</w:t>
              <w:br/>
              <w:t>FPPP (15)</w:t>
              <w:br/>
              <w:t>PSDGs (10)</w:t>
            </w:r>
          </w:p>
        </w:tc>
        <w:tc>
          <w:tcPr>
            <w:tcW w:type="dxa" w:w="3713"/>
            <w:shd w:val="clear" w:color="auto" w:fill="DCE6F1"/>
          </w:tcPr>
          <w:p>
            <w:pPr>
              <w:spacing w:after="40" w:line="240" w:lineRule="auto"/>
              <w:jc w:val="center"/>
            </w:pPr>
            <w:r/>
            <w:r>
              <w:rPr>
                <w:rFonts w:ascii="Cambria" w:hAnsi="Cambria" w:eastAsia="Cambria"/>
                <w:b w:val="0"/>
                <w:i w:val="0"/>
                <w:sz w:val="22"/>
              </w:rPr>
              <w:t>100 marks (15%)</w:t>
              <w:br/>
              <w:t>PU (50)</w:t>
              <w:br/>
              <w:t>QP (30)</w:t>
              <w:br/>
              <w:t>FPPP (20)</w:t>
            </w:r>
          </w:p>
        </w:tc>
      </w:tr>
      <w:tr>
        <w:tc>
          <w:tcPr>
            <w:tcW w:type="dxa" w:w="1984"/>
          </w:tcPr>
          <w:p>
            <w:pPr>
              <w:spacing w:after="40" w:line="240" w:lineRule="auto"/>
              <w:jc w:val="left"/>
            </w:pPr>
            <w:r/>
            <w:r>
              <w:rPr>
                <w:rFonts w:ascii="Cambria" w:hAnsi="Cambria" w:eastAsia="Cambria"/>
                <w:b w:val="0"/>
                <w:i w:val="0"/>
                <w:sz w:val="22"/>
              </w:rPr>
              <w:t>Graduation Outcomes (GO)</w:t>
            </w:r>
          </w:p>
        </w:tc>
        <w:tc>
          <w:tcPr>
            <w:tcW w:type="dxa" w:w="3713"/>
          </w:tcPr>
          <w:p>
            <w:pPr>
              <w:spacing w:after="40" w:line="240" w:lineRule="auto"/>
              <w:jc w:val="center"/>
            </w:pPr>
            <w:r/>
            <w:r>
              <w:rPr>
                <w:rFonts w:ascii="Cambria" w:hAnsi="Cambria" w:eastAsia="Cambria"/>
                <w:b w:val="0"/>
                <w:i w:val="0"/>
                <w:sz w:val="22"/>
              </w:rPr>
              <w:t>100 marks (20%)</w:t>
              <w:br/>
              <w:t>GUE (60)</w:t>
              <w:br/>
              <w:t>GPHD (40)</w:t>
            </w:r>
          </w:p>
        </w:tc>
        <w:tc>
          <w:tcPr>
            <w:tcW w:type="dxa" w:w="3713"/>
          </w:tcPr>
          <w:p>
            <w:pPr>
              <w:spacing w:after="40" w:line="240" w:lineRule="auto"/>
              <w:jc w:val="center"/>
            </w:pPr>
            <w:r/>
            <w:r>
              <w:rPr>
                <w:rFonts w:ascii="Cambria" w:hAnsi="Cambria" w:eastAsia="Cambria"/>
                <w:b w:val="0"/>
                <w:i w:val="0"/>
                <w:sz w:val="22"/>
              </w:rPr>
              <w:t>100 marks (25%)</w:t>
              <w:br/>
              <w:t>UG Graduates (GUG – 40)</w:t>
              <w:br/>
              <w:t>PG Graduates (GPG – 40)</w:t>
              <w:br/>
              <w:t>Ph.D. Graduates (GPHD – 20)</w:t>
            </w:r>
          </w:p>
        </w:tc>
      </w:tr>
      <w:tr>
        <w:tc>
          <w:tcPr>
            <w:tcW w:type="dxa" w:w="1984"/>
            <w:shd w:val="clear" w:color="auto" w:fill="DCE6F1"/>
          </w:tcPr>
          <w:p>
            <w:pPr>
              <w:spacing w:after="40" w:line="240" w:lineRule="auto"/>
              <w:jc w:val="left"/>
            </w:pPr>
            <w:r/>
            <w:r>
              <w:rPr>
                <w:rFonts w:ascii="Cambria" w:hAnsi="Cambria" w:eastAsia="Cambria"/>
                <w:b w:val="0"/>
                <w:i w:val="0"/>
                <w:sz w:val="22"/>
              </w:rPr>
              <w:t>Outreach &amp; Inclusivity (OI)</w:t>
            </w:r>
          </w:p>
        </w:tc>
        <w:tc>
          <w:tcPr>
            <w:tcW w:type="dxa" w:w="3713"/>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c>
          <w:tcPr>
            <w:tcW w:type="dxa" w:w="3713"/>
            <w:shd w:val="clear" w:color="auto" w:fill="DCE6F1"/>
          </w:tcPr>
          <w:p>
            <w:pPr>
              <w:spacing w:after="40" w:line="240" w:lineRule="auto"/>
              <w:jc w:val="center"/>
            </w:pPr>
            <w:r/>
            <w:r>
              <w:rPr>
                <w:rFonts w:ascii="Cambria" w:hAnsi="Cambria" w:eastAsia="Cambria"/>
                <w:b w:val="0"/>
                <w:i w:val="0"/>
                <w:sz w:val="22"/>
              </w:rPr>
              <w:t>100 marks (10%)</w:t>
              <w:br/>
              <w:t>Rural/Urban Diversity (25)</w:t>
              <w:br/>
              <w:t>WD (30)</w:t>
              <w:br/>
              <w:t>SC/ST/OBC Students (SCB – 25)</w:t>
              <w:br/>
              <w:t>PCS (20)</w:t>
            </w:r>
          </w:p>
        </w:tc>
      </w:tr>
      <w:tr>
        <w:tc>
          <w:tcPr>
            <w:tcW w:type="dxa" w:w="1984"/>
          </w:tcPr>
          <w:p>
            <w:pPr>
              <w:spacing w:after="40" w:line="240" w:lineRule="auto"/>
              <w:jc w:val="left"/>
            </w:pPr>
            <w:r/>
            <w:r>
              <w:rPr>
                <w:rFonts w:ascii="Cambria" w:hAnsi="Cambria" w:eastAsia="Cambria"/>
                <w:b w:val="0"/>
                <w:i w:val="0"/>
                <w:sz w:val="22"/>
              </w:rPr>
              <w:t>Perception (PR)</w:t>
            </w:r>
          </w:p>
        </w:tc>
        <w:tc>
          <w:tcPr>
            <w:tcW w:type="dxa" w:w="3713"/>
          </w:tcPr>
          <w:p>
            <w:pPr>
              <w:spacing w:after="40" w:line="240" w:lineRule="auto"/>
              <w:jc w:val="center"/>
            </w:pPr>
            <w:r/>
            <w:r>
              <w:rPr>
                <w:rFonts w:ascii="Cambria" w:hAnsi="Cambria" w:eastAsia="Cambria"/>
                <w:b w:val="0"/>
                <w:i w:val="0"/>
                <w:sz w:val="22"/>
              </w:rPr>
              <w:t>100 marks (10%)</w:t>
              <w:br/>
              <w:t>Peer Perception (100)</w:t>
            </w:r>
          </w:p>
        </w:tc>
        <w:tc>
          <w:tcPr>
            <w:tcW w:type="dxa" w:w="3713"/>
          </w:tcPr>
          <w:p>
            <w:pPr>
              <w:spacing w:after="40" w:line="240" w:lineRule="auto"/>
              <w:jc w:val="center"/>
            </w:pPr>
            <w:r/>
            <w:r>
              <w:rPr>
                <w:rFonts w:ascii="Cambria" w:hAnsi="Cambria" w:eastAsia="Cambria"/>
                <w:b w:val="0"/>
                <w:i w:val="0"/>
                <w:sz w:val="22"/>
              </w:rPr>
              <w:t>100 marks (10%)</w:t>
              <w:br/>
              <w:t>Peer Perception (70)</w:t>
              <w:br/>
              <w:t>NAAC Accreditation (30)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emphasizes faculty ratio + NEP reforms (OE, MIR).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Open Universities</w:t>
      </w:r>
      <w:r>
        <w:rPr>
          <w:rFonts w:ascii="Cambria" w:hAnsi="Cambria" w:eastAsia="Cambria"/>
          <w:b w:val="0"/>
          <w:i w:val="0"/>
          <w:sz w:val="22"/>
        </w:rPr>
        <w:t xml:space="preserve"> expand TLR to 40% weight, adding Faculty per Discipline, Modules Developed/Revised (SLMs, AVs) → reflecting digital learning.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gives 30% weight with patents + SDG-linked publications.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Open Universities</w:t>
      </w:r>
      <w:r>
        <w:rPr>
          <w:rFonts w:ascii="Cambria" w:hAnsi="Cambria" w:eastAsia="Cambria"/>
          <w:b w:val="0"/>
          <w:i w:val="0"/>
          <w:sz w:val="22"/>
        </w:rPr>
        <w:t xml:space="preserve"> reduce RP to 15%, focusing mainly on publications and practice; patents &amp; SDGs are not emphasized.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Exams + Ph.D. graduates.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Open Universities</w:t>
      </w:r>
      <w:r>
        <w:rPr>
          <w:rFonts w:ascii="Cambria" w:hAnsi="Cambria" w:eastAsia="Cambria"/>
          <w:b w:val="0"/>
          <w:i w:val="0"/>
          <w:sz w:val="22"/>
        </w:rPr>
        <w:t xml:space="preserve"> = UG, PG, and Ph.D. graduates → better suited for mass ODL enrollment.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economic inclusivity (ESCS).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Open Universities</w:t>
      </w:r>
      <w:r>
        <w:rPr>
          <w:rFonts w:ascii="Cambria" w:hAnsi="Cambria" w:eastAsia="Cambria"/>
          <w:b w:val="0"/>
          <w:i w:val="0"/>
          <w:sz w:val="22"/>
        </w:rPr>
        <w:t xml:space="preserve"> = rural–urban balance + SC/ST/OBC representation, recognizing their mandate to widen access.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100% peer perception.</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Open Universities</w:t>
      </w:r>
      <w:r>
        <w:rPr>
          <w:rFonts w:ascii="Cambria" w:hAnsi="Cambria" w:eastAsia="Cambria"/>
          <w:b w:val="0"/>
          <w:i w:val="0"/>
          <w:sz w:val="22"/>
        </w:rPr>
        <w:t xml:space="preserve"> = 70% peer perception + 30% NAAC accreditation (unique).</w:t>
      </w:r>
    </w:p>
    <w:p>
      <w:r>
        <w:br w:type="page"/>
      </w:r>
    </w:p>
    <w:p>
      <w:pPr>
        <w:keepNext/>
        <w:spacing w:before="360" w:after="160"/>
      </w:pPr>
      <w:r>
        <w:rPr>
          <w:rFonts w:ascii="Cambria" w:hAnsi="Cambria" w:eastAsia="Cambria"/>
          <w:b/>
          <w:i w:val="0"/>
          <w:color w:val="1F3A5F"/>
          <w:sz w:val="36"/>
        </w:rPr>
        <w:t>55. NIRF 2024 Framework for Innovation Ranking</w:t>
      </w:r>
    </w:p>
    <w:p>
      <w:pPr>
        <w:keepNext/>
        <w:spacing w:before="280" w:after="120"/>
      </w:pPr>
      <w:r>
        <w:rPr>
          <w:rFonts w:ascii="Cambria" w:hAnsi="Cambria" w:eastAsia="Cambria"/>
          <w:b/>
          <w:i w:val="0"/>
          <w:color w:val="1F3A5F"/>
          <w:sz w:val="30"/>
        </w:rPr>
        <w:t>1. Financial Support for Innovation (FSI) – 100 Marks (Weight: 0.25)</w:t>
      </w:r>
    </w:p>
    <w:p>
      <w:pPr>
        <w:spacing w:after="80" w:line="276" w:lineRule="auto"/>
      </w:pPr>
      <w:r>
        <w:rPr>
          <w:rFonts w:ascii="Cambria" w:hAnsi="Cambria" w:eastAsia="Cambria"/>
          <w:b w:val="0"/>
          <w:i w:val="0"/>
          <w:sz w:val="22"/>
        </w:rPr>
        <w:t>Measures the financial ecosystem available for nurturing innovation and startups.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Ventures/Startups Recognized by DPIIT/Startup India (SU)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the number of startups officially recognized under national innovation initiatives.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Ventures/Startups Receiving VC Investment (VCI)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Percentage and scale of startups securing venture capital funding.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investor confidence and growth potential.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FDI Investment in Ventures/Startups (FDII)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global recognition by tracking FDI inflows into institutional startups.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Innovation Grants from Government (IG)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grants from DST, DBT, MSME, AICTE, or other government funding bodies.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participation in government-led innovation schemes.</w:t>
      </w:r>
    </w:p>
    <w:p>
      <w:pPr>
        <w:keepNext/>
        <w:spacing w:before="280" w:after="120"/>
      </w:pPr>
      <w:r>
        <w:rPr>
          <w:rFonts w:ascii="Cambria" w:hAnsi="Cambria" w:eastAsia="Cambria"/>
          <w:b/>
          <w:i w:val="0"/>
          <w:color w:val="1F3A5F"/>
          <w:sz w:val="30"/>
        </w:rPr>
        <w:t>2. Innovation Achievements (IA) – 100 Marks (Weight: 0.15)</w:t>
      </w:r>
    </w:p>
    <w:p>
      <w:pPr>
        <w:spacing w:after="80" w:line="276" w:lineRule="auto"/>
      </w:pPr>
      <w:r>
        <w:rPr>
          <w:rFonts w:ascii="Cambria" w:hAnsi="Cambria" w:eastAsia="Cambria"/>
          <w:b w:val="0"/>
          <w:i w:val="0"/>
          <w:sz w:val="22"/>
        </w:rPr>
        <w:t>Rewards tangible achievements of innovation activities.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Innovations at Various Technology Readiness Levels (ITRL)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projects/products across TRL stages from concept to commercialization.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Ventures/Startups with Turnover ≥ ₹50 Lakhs (NVS)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successful scaling of incubated ventures.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Alumni Founders of Forbes/Fortune 500 Companies (AFF)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Highlights alumni impact at global entrepreneurial platforms.</w:t>
      </w:r>
    </w:p>
    <w:p>
      <w:pPr>
        <w:keepNext/>
        <w:spacing w:before="280" w:after="120"/>
      </w:pPr>
      <w:r>
        <w:rPr>
          <w:rFonts w:ascii="Cambria" w:hAnsi="Cambria" w:eastAsia="Cambria"/>
          <w:b/>
          <w:i w:val="0"/>
          <w:color w:val="1F3A5F"/>
          <w:sz w:val="30"/>
        </w:rPr>
        <w:t>3. Research &amp; Innovation Output in SCI (RIO) – 100 Marks (Weight: 0.30)</w:t>
      </w:r>
    </w:p>
    <w:p>
      <w:pPr>
        <w:spacing w:after="80" w:line="276" w:lineRule="auto"/>
      </w:pPr>
      <w:r>
        <w:rPr>
          <w:rFonts w:ascii="Cambria" w:hAnsi="Cambria" w:eastAsia="Cambria"/>
          <w:b w:val="0"/>
          <w:i w:val="0"/>
          <w:sz w:val="22"/>
        </w:rPr>
        <w:t>Focuses on scientific research, patents, and commercialization.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Publications in SCI Journals (PU)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Weighted count of indexed SCI publications.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Quality of Publications (CI) – 25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impact and recognition of SCI publications.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IPR &amp; Patents (IPR) – 40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published, filed, and granted (domestic and international).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Patent Commercialization &amp; Technology Transfer – 10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Successful licensing, spin-offs, or technology transfer agreements.</w:t>
      </w:r>
    </w:p>
    <w:p>
      <w:pPr>
        <w:keepNext/>
        <w:spacing w:before="280" w:after="120"/>
      </w:pPr>
      <w:r>
        <w:rPr>
          <w:rFonts w:ascii="Cambria" w:hAnsi="Cambria" w:eastAsia="Cambria"/>
          <w:b/>
          <w:i w:val="0"/>
          <w:color w:val="1F3A5F"/>
          <w:sz w:val="30"/>
        </w:rPr>
        <w:t>4. Pre-Incubation &amp; Incubation (PII) – 100 Marks (Weight: 0.10)</w:t>
      </w:r>
    </w:p>
    <w:p>
      <w:pPr>
        <w:spacing w:after="80" w:line="276" w:lineRule="auto"/>
      </w:pPr>
      <w:r>
        <w:rPr>
          <w:rFonts w:ascii="Cambria" w:hAnsi="Cambria" w:eastAsia="Cambria"/>
          <w:b w:val="0"/>
          <w:i w:val="0"/>
          <w:sz w:val="22"/>
        </w:rPr>
        <w:t>Evaluates institutional incubation capacity and training ecosystem.</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Pre-Incubation (PI)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pre-incubation programs, mentoring support, idea labs, and seed-stage initiatives.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Incubation (IIE)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Established incubators, startup density, and sustained incubation success rates.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Faculty Development Programs in Innovation (FDP)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Programs for faculty training in innovation and entrepreneurship pedagogy.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Credit Courses in Innovation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Introduction of credit-based entrepreneurship/innovation courses in curriculum.</w:t>
      </w:r>
    </w:p>
    <w:p>
      <w:pPr>
        <w:keepNext/>
        <w:spacing w:before="280" w:after="120"/>
      </w:pPr>
      <w:r>
        <w:rPr>
          <w:rFonts w:ascii="Cambria" w:hAnsi="Cambria" w:eastAsia="Cambria"/>
          <w:b/>
          <w:i w:val="0"/>
          <w:color w:val="1F3A5F"/>
          <w:sz w:val="30"/>
        </w:rPr>
        <w:t>5. Adoption of I&amp;E Policy in HEIs (AIE) – 100 Marks (Weight: 0.05)</w:t>
      </w:r>
    </w:p>
    <w:p>
      <w:pPr>
        <w:spacing w:after="80" w:line="276" w:lineRule="auto"/>
      </w:pPr>
      <w:r>
        <w:rPr>
          <w:rFonts w:ascii="Cambria" w:hAnsi="Cambria" w:eastAsia="Cambria"/>
          <w:b w:val="0"/>
          <w:i w:val="0"/>
          <w:sz w:val="22"/>
        </w:rPr>
        <w:t>Assesses how strongly the institution has aligned with national innovation policies.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Registered on NISP Portal (NISP)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Checks if the institution has adopted the National Innovation and Startup Policy (NISP).</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B. Annual Performance of Institution's Innovation Councils (IICs)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Assessed via MoE's IIC performance scoring.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 Participation in KAPILA Portal –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Student/faculty engagement in IPR awareness and patent filing initiatives.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 Participation in Smart India Hackathon (SIH) – 30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student innovation participation in national innovation challenges.</w:t>
      </w:r>
    </w:p>
    <w:p>
      <w:pPr>
        <w:keepNext/>
        <w:spacing w:before="280" w:after="120"/>
      </w:pPr>
      <w:r>
        <w:rPr>
          <w:rFonts w:ascii="Cambria" w:hAnsi="Cambria" w:eastAsia="Cambria"/>
          <w:b/>
          <w:i w:val="0"/>
          <w:color w:val="1F3A5F"/>
          <w:sz w:val="30"/>
        </w:rPr>
        <w:t>6. Perception (PR) – 100 Marks (Weight: 0.10)</w:t>
      </w:r>
    </w:p>
    <w:p>
      <w:pPr>
        <w:spacing w:after="80" w:line="276" w:lineRule="auto"/>
      </w:pPr>
      <w:r>
        <w:rPr>
          <w:rFonts w:ascii="Cambria" w:hAnsi="Cambria" w:eastAsia="Cambria"/>
          <w:b w:val="0"/>
          <w:i w:val="0"/>
          <w:sz w:val="22"/>
        </w:rPr>
        <w:t>Reflects external recognition of innovation capabilities.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 Peer Perception – 100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Surveys of employers, VCs, academic peers, and startup ecosystem leaders.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institutional reputation in fostering entrepreneurship and innovation.</w:t>
      </w:r>
    </w:p>
    <w:p>
      <w:pPr>
        <w:spacing w:after="40" w:line="276" w:lineRule="auto"/>
      </w:pPr>
      <w:r>
        <w:rPr>
          <w:rFonts w:ascii="Cambria" w:hAnsi="Cambria" w:eastAsia="Cambria"/>
          <w:b/>
          <w:i w:val="0"/>
          <w:sz w:val="22"/>
        </w:rPr>
        <w:t>Key Insights for Innovation Ranking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Research &amp; Innovation Output (30%) + Financial Support (25%) = 55% combined weight → strong emphasis on funding, research, and patents.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Innovation Achievements (15%) highlight TRL stages, startup turnover, and alumni success.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Pre-Incubation &amp; Policy Adoption (20%) ensure institutions are structurally ready for entrepreneurship.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Perception (10%) validates credibility through stakeholder recognition.</w:t>
      </w:r>
    </w:p>
    <w:p>
      <w:pPr>
        <w:keepNext/>
        <w:spacing w:before="200" w:after="100"/>
      </w:pPr>
      <w:r>
        <w:rPr>
          <w:rFonts w:ascii="Cambria" w:hAnsi="Cambria" w:eastAsia="Cambria"/>
          <w:b/>
          <w:i w:val="0"/>
          <w:color w:val="1F3A5F"/>
          <w:sz w:val="26"/>
        </w:rPr>
        <w:t>NIRF 2024 – Overall vs Innovation Ranking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line="240" w:lineRule="auto"/>
              <w:jc w:val="center"/>
            </w:pPr>
            <w:r/>
            <w:r>
              <w:rPr>
                <w:rFonts w:ascii="Cambria" w:hAnsi="Cambria" w:eastAsia="Cambria"/>
                <w:b/>
                <w:i w:val="0"/>
                <w:color w:val="FFFFFF"/>
                <w:sz w:val="22"/>
              </w:rPr>
              <w:t>Parameter</w:t>
            </w:r>
          </w:p>
        </w:tc>
        <w:tc>
          <w:tcPr>
            <w:tcW w:type="dxa" w:w="3685"/>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685"/>
            <w:shd w:val="clear" w:color="auto" w:fill="1F3A5F"/>
          </w:tcPr>
          <w:p>
            <w:pPr>
              <w:spacing w:after="40" w:line="240" w:lineRule="auto"/>
              <w:jc w:val="center"/>
            </w:pPr>
            <w:r/>
            <w:r>
              <w:rPr>
                <w:rFonts w:ascii="Cambria" w:hAnsi="Cambria" w:eastAsia="Cambria"/>
                <w:b/>
                <w:i w:val="0"/>
                <w:color w:val="FFFFFF"/>
                <w:sz w:val="22"/>
              </w:rPr>
              <w:t>Innovation Ranking Framework</w:t>
            </w:r>
          </w:p>
        </w:tc>
      </w:tr>
      <w:tr>
        <w:tc>
          <w:tcPr>
            <w:tcW w:type="dxa" w:w="2041"/>
          </w:tcPr>
          <w:p>
            <w:pPr>
              <w:spacing w:after="40" w:line="240" w:lineRule="auto"/>
              <w:jc w:val="left"/>
            </w:pPr>
            <w:r/>
            <w:r>
              <w:rPr>
                <w:rFonts w:ascii="Cambria" w:hAnsi="Cambria" w:eastAsia="Cambria"/>
                <w:b w:val="0"/>
                <w:i w:val="0"/>
                <w:sz w:val="22"/>
              </w:rPr>
              <w:t>Teaching, Learning &amp; Resources</w:t>
              <w:br/>
              <w:t>(TLR / FSI equivalent)</w:t>
            </w:r>
          </w:p>
        </w:tc>
        <w:tc>
          <w:tcPr>
            <w:tcW w:type="dxa" w:w="3685"/>
          </w:tcPr>
          <w:p>
            <w:pPr>
              <w:spacing w:after="40" w:line="240" w:lineRule="auto"/>
              <w:jc w:val="center"/>
            </w:pPr>
            <w:r/>
            <w:r>
              <w:rPr>
                <w:rFonts w:ascii="Cambria" w:hAnsi="Cambria" w:eastAsia="Cambria"/>
                <w:b w:val="0"/>
                <w:i w:val="0"/>
                <w:sz w:val="22"/>
              </w:rPr>
              <w:t>100 marks (30%)</w:t>
              <w:br/>
              <w:t>SS (20)</w:t>
              <w:br/>
              <w:t>FSR (25)</w:t>
              <w:br/>
              <w:t>FQE (20)</w:t>
              <w:br/>
              <w:t>FRU (20)</w:t>
              <w:br/>
              <w:t>OE (10)</w:t>
              <w:br/>
              <w:t>MIR (5)</w:t>
            </w:r>
          </w:p>
        </w:tc>
        <w:tc>
          <w:tcPr>
            <w:tcW w:type="dxa" w:w="3685"/>
          </w:tcPr>
          <w:p>
            <w:pPr>
              <w:spacing w:after="40" w:line="240" w:lineRule="auto"/>
              <w:jc w:val="center"/>
            </w:pPr>
            <w:r/>
            <w:r>
              <w:rPr>
                <w:rFonts w:ascii="Cambria" w:hAnsi="Cambria" w:eastAsia="Cambria"/>
                <w:b w:val="0"/>
                <w:i w:val="0"/>
                <w:sz w:val="22"/>
              </w:rPr>
              <w:t>Financial Support for Innovation (FSI) – 100 marks (25%)</w:t>
              <w:br/>
              <w:t>DPIIT/Startup India Ventures (20)</w:t>
              <w:br/>
              <w:t>VC Investment (25)</w:t>
              <w:br/>
              <w:t>FDI Investment (25)</w:t>
              <w:br/>
              <w:t>Govt. Innovation Grants (30)</w:t>
            </w:r>
          </w:p>
        </w:tc>
      </w:tr>
      <w:tr>
        <w:tc>
          <w:tcPr>
            <w:tcW w:type="dxa" w:w="2041"/>
            <w:shd w:val="clear" w:color="auto" w:fill="DCE6F1"/>
          </w:tcPr>
          <w:p>
            <w:pPr>
              <w:spacing w:after="40" w:line="240" w:lineRule="auto"/>
              <w:jc w:val="left"/>
            </w:pPr>
            <w:r/>
            <w:r>
              <w:rPr>
                <w:rFonts w:ascii="Cambria" w:hAnsi="Cambria" w:eastAsia="Cambria"/>
                <w:b w:val="0"/>
                <w:i w:val="0"/>
                <w:sz w:val="22"/>
              </w:rPr>
              <w:t>Research &amp; Professional Practice</w:t>
              <w:br/>
              <w:t>(RP / RIO equivalent)</w:t>
            </w:r>
          </w:p>
        </w:tc>
        <w:tc>
          <w:tcPr>
            <w:tcW w:type="dxa" w:w="3685"/>
            <w:shd w:val="clear" w:color="auto" w:fill="DCE6F1"/>
          </w:tcPr>
          <w:p>
            <w:pPr>
              <w:spacing w:after="40" w:line="240" w:lineRule="auto"/>
              <w:jc w:val="center"/>
            </w:pPr>
            <w:r/>
            <w:r>
              <w:rPr>
                <w:rFonts w:ascii="Cambria" w:hAnsi="Cambria" w:eastAsia="Cambria"/>
                <w:b w:val="0"/>
                <w:i w:val="0"/>
                <w:sz w:val="22"/>
              </w:rPr>
              <w:t>100 marks (30%)</w:t>
              <w:br/>
              <w:t>PU (30)</w:t>
              <w:br/>
              <w:t>QP (30)</w:t>
              <w:br/>
              <w:t>IPR (15)</w:t>
              <w:br/>
              <w:t>FPPP (15)</w:t>
              <w:br/>
              <w:t>PSDGs (10)</w:t>
            </w:r>
          </w:p>
        </w:tc>
        <w:tc>
          <w:tcPr>
            <w:tcW w:type="dxa" w:w="3685"/>
            <w:shd w:val="clear" w:color="auto" w:fill="DCE6F1"/>
          </w:tcPr>
          <w:p>
            <w:pPr>
              <w:spacing w:after="40" w:line="240" w:lineRule="auto"/>
              <w:jc w:val="center"/>
            </w:pPr>
            <w:r/>
            <w:r>
              <w:rPr>
                <w:rFonts w:ascii="Cambria" w:hAnsi="Cambria" w:eastAsia="Cambria"/>
                <w:b w:val="0"/>
                <w:i w:val="0"/>
                <w:sz w:val="22"/>
              </w:rPr>
              <w:t>Research &amp; Innovation Output (RIO) – 100 marks (30%)</w:t>
              <w:br/>
              <w:t>SCI Publications (25)</w:t>
              <w:br/>
              <w:t>Quality of SCI Publications (25)</w:t>
              <w:br/>
              <w:t>IPR &amp; Patents (40)</w:t>
              <w:br/>
              <w:t>Commercialization &amp; Tech Transfer (10)</w:t>
            </w:r>
          </w:p>
        </w:tc>
      </w:tr>
      <w:tr>
        <w:tc>
          <w:tcPr>
            <w:tcW w:type="dxa" w:w="2041"/>
          </w:tcPr>
          <w:p>
            <w:pPr>
              <w:spacing w:after="40" w:line="240" w:lineRule="auto"/>
              <w:jc w:val="left"/>
            </w:pPr>
            <w:r/>
            <w:r>
              <w:rPr>
                <w:rFonts w:ascii="Cambria" w:hAnsi="Cambria" w:eastAsia="Cambria"/>
                <w:b w:val="0"/>
                <w:i w:val="0"/>
                <w:sz w:val="22"/>
              </w:rPr>
              <w:t>Graduation Outcomes</w:t>
              <w:br/>
              <w:t>(GO / IA equivalent)</w:t>
            </w:r>
          </w:p>
        </w:tc>
        <w:tc>
          <w:tcPr>
            <w:tcW w:type="dxa" w:w="3685"/>
          </w:tcPr>
          <w:p>
            <w:pPr>
              <w:spacing w:after="40" w:line="240" w:lineRule="auto"/>
              <w:jc w:val="center"/>
            </w:pPr>
            <w:r/>
            <w:r>
              <w:rPr>
                <w:rFonts w:ascii="Cambria" w:hAnsi="Cambria" w:eastAsia="Cambria"/>
                <w:b w:val="0"/>
                <w:i w:val="0"/>
                <w:sz w:val="22"/>
              </w:rPr>
              <w:t>100 marks (20%)</w:t>
              <w:br/>
              <w:t>GUE (60)</w:t>
              <w:br/>
              <w:t>GPHD (40)</w:t>
            </w:r>
          </w:p>
        </w:tc>
        <w:tc>
          <w:tcPr>
            <w:tcW w:type="dxa" w:w="3685"/>
          </w:tcPr>
          <w:p>
            <w:pPr>
              <w:spacing w:after="40" w:line="240" w:lineRule="auto"/>
              <w:jc w:val="center"/>
            </w:pPr>
            <w:r/>
            <w:r>
              <w:rPr>
                <w:rFonts w:ascii="Cambria" w:hAnsi="Cambria" w:eastAsia="Cambria"/>
                <w:b w:val="0"/>
                <w:i w:val="0"/>
                <w:sz w:val="22"/>
              </w:rPr>
              <w:t>Innovation Achievements (IA) – 100 marks (15%)</w:t>
              <w:br/>
              <w:t>TRL Innovations (40)</w:t>
              <w:br/>
              <w:t>Startups with ≥₹50L turnover (40)</w:t>
              <w:br/>
              <w:t>Alumni in Forbes/Fortune 500 (20)</w:t>
            </w:r>
          </w:p>
        </w:tc>
      </w:tr>
      <w:tr>
        <w:tc>
          <w:tcPr>
            <w:tcW w:type="dxa" w:w="2041"/>
            <w:shd w:val="clear" w:color="auto" w:fill="DCE6F1"/>
          </w:tcPr>
          <w:p>
            <w:pPr>
              <w:spacing w:after="40" w:line="240" w:lineRule="auto"/>
              <w:jc w:val="left"/>
            </w:pPr>
            <w:r/>
            <w:r>
              <w:rPr>
                <w:rFonts w:ascii="Cambria" w:hAnsi="Cambria" w:eastAsia="Cambria"/>
                <w:b w:val="0"/>
                <w:i w:val="0"/>
                <w:sz w:val="22"/>
              </w:rPr>
              <w:t>Outreach &amp; Inclusivity</w:t>
              <w:br/>
              <w:t>(OI / PII equivalent)</w:t>
            </w:r>
          </w:p>
        </w:tc>
        <w:tc>
          <w:tcPr>
            <w:tcW w:type="dxa" w:w="3685"/>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c>
          <w:tcPr>
            <w:tcW w:type="dxa" w:w="3685"/>
            <w:shd w:val="clear" w:color="auto" w:fill="DCE6F1"/>
          </w:tcPr>
          <w:p>
            <w:pPr>
              <w:spacing w:after="40" w:line="240" w:lineRule="auto"/>
              <w:jc w:val="center"/>
            </w:pPr>
            <w:r/>
            <w:r>
              <w:rPr>
                <w:rFonts w:ascii="Cambria" w:hAnsi="Cambria" w:eastAsia="Cambria"/>
                <w:b w:val="0"/>
                <w:i w:val="0"/>
                <w:sz w:val="22"/>
              </w:rPr>
              <w:t>Pre-Incubation &amp; Incubation (PII) – 100 marks (10%)</w:t>
              <w:br/>
              <w:t>Pre-incubation (30)</w:t>
              <w:br/>
              <w:t>Incubation (30)</w:t>
              <w:br/>
              <w:t>FDP in Innovation (20)</w:t>
              <w:br/>
              <w:t>Credit Courses in Innovation (20)</w:t>
            </w:r>
          </w:p>
        </w:tc>
      </w:tr>
      <w:tr>
        <w:tc>
          <w:tcPr>
            <w:tcW w:type="dxa" w:w="2041"/>
          </w:tcPr>
          <w:p>
            <w:pPr>
              <w:spacing w:after="40" w:line="240" w:lineRule="auto"/>
              <w:jc w:val="left"/>
            </w:pPr>
            <w:r/>
            <w:r>
              <w:rPr>
                <w:rFonts w:ascii="Cambria" w:hAnsi="Cambria" w:eastAsia="Cambria"/>
                <w:b w:val="0"/>
                <w:i w:val="0"/>
                <w:sz w:val="22"/>
              </w:rPr>
              <w:t>Perception</w:t>
              <w:br/>
              <w:t>(PR / AIE+PR equivalent)</w:t>
            </w:r>
          </w:p>
        </w:tc>
        <w:tc>
          <w:tcPr>
            <w:tcW w:type="dxa" w:w="3685"/>
          </w:tcPr>
          <w:p>
            <w:pPr>
              <w:spacing w:after="40" w:line="240" w:lineRule="auto"/>
              <w:jc w:val="center"/>
            </w:pPr>
            <w:r/>
            <w:r>
              <w:rPr>
                <w:rFonts w:ascii="Cambria" w:hAnsi="Cambria" w:eastAsia="Cambria"/>
                <w:b w:val="0"/>
                <w:i w:val="0"/>
                <w:sz w:val="22"/>
              </w:rPr>
              <w:t>100 marks (10%)</w:t>
              <w:br/>
              <w:t>Peer Perception (100)</w:t>
            </w:r>
          </w:p>
        </w:tc>
        <w:tc>
          <w:tcPr>
            <w:tcW w:type="dxa" w:w="3685"/>
          </w:tcPr>
          <w:p>
            <w:pPr>
              <w:spacing w:after="40" w:line="240" w:lineRule="auto"/>
              <w:jc w:val="center"/>
            </w:pPr>
            <w:r/>
            <w:r>
              <w:rPr>
                <w:rFonts w:ascii="Cambria" w:hAnsi="Cambria" w:eastAsia="Cambria"/>
                <w:b w:val="0"/>
                <w:i w:val="0"/>
                <w:sz w:val="22"/>
              </w:rPr>
              <w:t>Adoption of I&amp;E Policy (AIE) – 100 marks (10%)</w:t>
              <w:br/>
              <w:t>NISP Portal (20)</w:t>
              <w:br/>
              <w:t>IIC Performance (30)</w:t>
              <w:br/>
              <w:t>KAPILA Participation (20)</w:t>
              <w:br/>
              <w:t>SIH Participation (30)</w:t>
              <w:br/>
              <w:br/>
              <w:t>Peer Perception (PR) – 100 marks (10%)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Overall Framework: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Balanced focus on teaching (30%), research (30%), outcomes (20%), inclusivity (10%), perception (10%).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NEP reforms (OE, MIR) and SDG-linked publications.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Innovation Ranking: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Shifts focus toward financial ecosystem (25%), innovation achievements (15%), research outputs (30%), and incubation ecosystem (10%).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Adds policy adoption (10%) → NISP, IIC, KAPILA, SIH.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Still includes perception (10%) but oriented toward industry, VCs, and startup ecosystem peers.</w:t>
      </w:r>
    </w:p>
    <w:p>
      <w:r>
        <w:br w:type="page"/>
      </w:r>
    </w:p>
    <w:p>
      <w:pPr>
        <w:keepNext/>
        <w:spacing w:before="360" w:after="160"/>
      </w:pPr>
      <w:r>
        <w:rPr>
          <w:rFonts w:ascii="Cambria" w:hAnsi="Cambria" w:eastAsia="Cambria"/>
          <w:b/>
          <w:i w:val="0"/>
          <w:color w:val="1F3A5F"/>
          <w:sz w:val="36"/>
        </w:rPr>
        <w:t>56. Registered on NISP Portal (NISP)</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NISP = 20 Marks (Binary Metric)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registered on the NISP portal (National Innovation and Startup Policy) are awarded the full 20 marks.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not registered get 0 marks.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Policy Adoption at Institution Level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that the institution has officially adopted the National Innovation and Startup Policy (2019) framework issued by AICTE &amp; MHRD Innovation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governance-level commitment to fostering innovation and entrepreneurship.</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Institutional Alignment with National Priorities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Registration signifies that the institution has a functional I&amp;E policy, guiding:</w:t>
      </w:r>
    </w:p>
    <w:p>
      <w:pPr>
        <w:spacing w:after="40"/>
        <w:ind w:left="1644" w:hanging="357"/>
      </w:pPr>
      <w:r>
        <w:rPr>
          <w:rFonts w:ascii="Cambria" w:hAnsi="Cambria" w:eastAsia="Cambria"/>
          <w:b w:val="0"/>
          <w:i w:val="0"/>
          <w:sz w:val="22"/>
        </w:rPr>
        <w:t>▪</w:t>
        <w:tab/>
      </w:r>
      <w:r>
        <w:rPr>
          <w:rFonts w:ascii="Cambria" w:hAnsi="Cambria" w:eastAsia="Cambria"/>
          <w:b w:val="0"/>
          <w:i w:val="0"/>
          <w:sz w:val="22"/>
        </w:rPr>
        <w:t>Student &amp; faculty startups.</w:t>
      </w:r>
    </w:p>
    <w:p>
      <w:pPr>
        <w:spacing w:after="40"/>
        <w:ind w:left="1644" w:hanging="357"/>
      </w:pPr>
      <w:r>
        <w:rPr>
          <w:rFonts w:ascii="Cambria" w:hAnsi="Cambria" w:eastAsia="Cambria"/>
          <w:b w:val="0"/>
          <w:i w:val="0"/>
          <w:sz w:val="22"/>
        </w:rPr>
        <w:t>▪</w:t>
        <w:tab/>
      </w:r>
      <w:r>
        <w:rPr>
          <w:rFonts w:ascii="Cambria" w:hAnsi="Cambria" w:eastAsia="Cambria"/>
          <w:b w:val="0"/>
          <w:i w:val="0"/>
          <w:sz w:val="22"/>
        </w:rPr>
        <w:t>IPR management.</w:t>
      </w:r>
    </w:p>
    <w:p>
      <w:pPr>
        <w:spacing w:after="40"/>
        <w:ind w:left="1644" w:hanging="357"/>
      </w:pPr>
      <w:r>
        <w:rPr>
          <w:rFonts w:ascii="Cambria" w:hAnsi="Cambria" w:eastAsia="Cambria"/>
          <w:b w:val="0"/>
          <w:i w:val="0"/>
          <w:sz w:val="22"/>
        </w:rPr>
        <w:t>▪</w:t>
        <w:tab/>
      </w:r>
      <w:r>
        <w:rPr>
          <w:rFonts w:ascii="Cambria" w:hAnsi="Cambria" w:eastAsia="Cambria"/>
          <w:b w:val="0"/>
          <w:i w:val="0"/>
          <w:sz w:val="22"/>
        </w:rPr>
        <w:t>Resource mobilization.</w:t>
      </w:r>
    </w:p>
    <w:p>
      <w:pPr>
        <w:spacing w:after="40"/>
        <w:ind w:left="1644" w:hanging="357"/>
      </w:pPr>
      <w:r>
        <w:rPr>
          <w:rFonts w:ascii="Cambria" w:hAnsi="Cambria" w:eastAsia="Cambria"/>
          <w:b w:val="0"/>
          <w:i w:val="0"/>
          <w:sz w:val="22"/>
        </w:rPr>
        <w:t>▪</w:t>
        <w:tab/>
      </w:r>
      <w:r>
        <w:rPr>
          <w:rFonts w:ascii="Cambria" w:hAnsi="Cambria" w:eastAsia="Cambria"/>
          <w:b w:val="0"/>
          <w:i w:val="0"/>
          <w:sz w:val="22"/>
        </w:rPr>
        <w:t>Incubation and commercialization strategies.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Foundation for Other Metrics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Acts as the baseline requirement for effective performance in other innovation ranking parameters like FDP, credit courses, incubation, etc.</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A: Registered on NISP portal → Score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B: Not registered → Score = 0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Confirmation of registration on NISP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Copy of NISP Policy Document adopted by the institution.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NISP portal (https://www.mic.gov.in/).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AICTE/Institutional IIC records.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that innovation &amp; entrepreneurship are part of institutional governance.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Establishes policy consistency across Indian HEIs.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the national innovation ecosystem through structured institutional participation.</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Confirmation of Registration on NISP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proof of registration on the official NISP portal hosted by the Ministry of Education's Innovation Cell (MIC).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Registration confirms the institution's participation in implementing National Innovation and Startup Policy (2019).</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Supporting data:</w:t>
      </w:r>
    </w:p>
    <w:p>
      <w:pPr>
        <w:spacing w:after="40"/>
        <w:ind w:left="1644" w:hanging="357"/>
      </w:pPr>
      <w:r>
        <w:rPr>
          <w:rFonts w:ascii="Cambria" w:hAnsi="Cambria" w:eastAsia="Cambria"/>
          <w:b w:val="0"/>
          <w:i w:val="0"/>
          <w:sz w:val="22"/>
        </w:rPr>
        <w:t>▪</w:t>
        <w:tab/>
      </w:r>
      <w:r>
        <w:rPr>
          <w:rFonts w:ascii="Cambria" w:hAnsi="Cambria" w:eastAsia="Cambria"/>
          <w:b w:val="0"/>
          <w:i w:val="0"/>
          <w:sz w:val="22"/>
        </w:rPr>
        <w:t>Registration certificate / screenshot of registered institution profile.</w:t>
      </w:r>
    </w:p>
    <w:p>
      <w:pPr>
        <w:spacing w:after="40"/>
        <w:ind w:left="1644" w:hanging="357"/>
      </w:pPr>
      <w:r>
        <w:rPr>
          <w:rFonts w:ascii="Cambria" w:hAnsi="Cambria" w:eastAsia="Cambria"/>
          <w:b w:val="0"/>
          <w:i w:val="0"/>
          <w:sz w:val="22"/>
        </w:rPr>
        <w:t>▪</w:t>
        <w:tab/>
      </w:r>
      <w:r>
        <w:rPr>
          <w:rFonts w:ascii="Cambria" w:hAnsi="Cambria" w:eastAsia="Cambria"/>
          <w:b w:val="0"/>
          <w:i w:val="0"/>
          <w:sz w:val="22"/>
        </w:rPr>
        <w:t>NISP portal reference number.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Copy of NISP Policy Document Adopted by the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should prepare and adopt an internal NISP Policy document aligned with the national framework.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Policy should cover:</w:t>
      </w:r>
    </w:p>
    <w:p>
      <w:pPr>
        <w:spacing w:after="40"/>
        <w:ind w:left="1644" w:hanging="357"/>
      </w:pPr>
      <w:r>
        <w:rPr>
          <w:rFonts w:ascii="Cambria" w:hAnsi="Cambria" w:eastAsia="Cambria"/>
          <w:b w:val="0"/>
          <w:i w:val="0"/>
          <w:sz w:val="22"/>
        </w:rPr>
        <w:t>▪</w:t>
        <w:tab/>
      </w:r>
      <w:r>
        <w:rPr>
          <w:rFonts w:ascii="Cambria" w:hAnsi="Cambria" w:eastAsia="Cambria"/>
          <w:b w:val="0"/>
          <w:i w:val="0"/>
          <w:sz w:val="22"/>
        </w:rPr>
        <w:t>Entrepreneurship promotion.</w:t>
      </w:r>
    </w:p>
    <w:p>
      <w:pPr>
        <w:spacing w:after="40"/>
        <w:ind w:left="1644" w:hanging="357"/>
      </w:pPr>
      <w:r>
        <w:rPr>
          <w:rFonts w:ascii="Cambria" w:hAnsi="Cambria" w:eastAsia="Cambria"/>
          <w:b w:val="0"/>
          <w:i w:val="0"/>
          <w:sz w:val="22"/>
        </w:rPr>
        <w:t>▪</w:t>
        <w:tab/>
      </w:r>
      <w:r>
        <w:rPr>
          <w:rFonts w:ascii="Cambria" w:hAnsi="Cambria" w:eastAsia="Cambria"/>
          <w:b w:val="0"/>
          <w:i w:val="0"/>
          <w:sz w:val="22"/>
        </w:rPr>
        <w:t>Startup incubation support.</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and student IP ownership guidelines.</w:t>
      </w:r>
    </w:p>
    <w:p>
      <w:pPr>
        <w:spacing w:after="40"/>
        <w:ind w:left="1644" w:hanging="357"/>
      </w:pPr>
      <w:r>
        <w:rPr>
          <w:rFonts w:ascii="Cambria" w:hAnsi="Cambria" w:eastAsia="Cambria"/>
          <w:b w:val="0"/>
          <w:i w:val="0"/>
          <w:sz w:val="22"/>
        </w:rPr>
        <w:t>▪</w:t>
        <w:tab/>
      </w:r>
      <w:r>
        <w:rPr>
          <w:rFonts w:ascii="Cambria" w:hAnsi="Cambria" w:eastAsia="Cambria"/>
          <w:b w:val="0"/>
          <w:i w:val="0"/>
          <w:sz w:val="22"/>
        </w:rPr>
        <w:t>Institutional Innovation Council (IIC) functioning.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Supporting data:</w:t>
      </w:r>
    </w:p>
    <w:p>
      <w:pPr>
        <w:spacing w:after="40"/>
        <w:ind w:left="1644" w:hanging="357"/>
      </w:pPr>
      <w:r>
        <w:rPr>
          <w:rFonts w:ascii="Cambria" w:hAnsi="Cambria" w:eastAsia="Cambria"/>
          <w:b w:val="0"/>
          <w:i w:val="0"/>
          <w:sz w:val="22"/>
        </w:rPr>
        <w:t>▪</w:t>
        <w:tab/>
      </w:r>
      <w:r>
        <w:rPr>
          <w:rFonts w:ascii="Cambria" w:hAnsi="Cambria" w:eastAsia="Cambria"/>
          <w:b w:val="0"/>
          <w:i w:val="0"/>
          <w:sz w:val="22"/>
        </w:rPr>
        <w:t>Approved policy document (Academic Council/Board of Governors resolution).</w:t>
      </w:r>
    </w:p>
    <w:p>
      <w:pPr>
        <w:spacing w:after="40"/>
        <w:ind w:left="1644" w:hanging="357"/>
      </w:pPr>
      <w:r>
        <w:rPr>
          <w:rFonts w:ascii="Cambria" w:hAnsi="Cambria" w:eastAsia="Cambria"/>
          <w:b w:val="0"/>
          <w:i w:val="0"/>
          <w:sz w:val="22"/>
        </w:rPr>
        <w:t>▪</w:t>
        <w:tab/>
      </w:r>
      <w:r>
        <w:rPr>
          <w:rFonts w:ascii="Cambria" w:hAnsi="Cambria" w:eastAsia="Cambria"/>
          <w:b w:val="0"/>
          <w:i w:val="0"/>
          <w:sz w:val="22"/>
        </w:rPr>
        <w:t>Uploaded copy on institutional website (for transparency).</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Official NISP Portal (https://www.mic.gov.in/)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by NIRF assessors to confirm institution's registration status.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Registration ID and institution profile are cross-checked.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AICTE / Institutional IIC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Verification through Institution's Innovation Council (IIC) activities and compliance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AICTE maintains a database of institutions adopting NISP.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IIC annual performance reports may also be used for validation.</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NISP compliance shows the institution's commitment to innovation, entrepreneurship, and startup culture.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alignment with national innovation ecosystem goals.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Adds weight under Research &amp; Professional Practice (RP) and Outreach &amp; Inclusivity (OI) metrics.</w:t>
      </w:r>
    </w:p>
    <w:p>
      <w:r>
        <w:br w:type="page"/>
      </w:r>
    </w:p>
    <w:p>
      <w:pPr>
        <w:keepNext/>
        <w:spacing w:before="360" w:after="160"/>
      </w:pPr>
      <w:r>
        <w:rPr>
          <w:rFonts w:ascii="Cambria" w:hAnsi="Cambria" w:eastAsia="Cambria"/>
          <w:b/>
          <w:i w:val="0"/>
          <w:color w:val="1F3A5F"/>
          <w:sz w:val="36"/>
        </w:rPr>
        <w:t>57. Participation in KAPILA Portal (KAPILA)</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KAPILA = 20 × f(Nkapila)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Nkapila = Number of faculty/students trained or engaged in IPR activities through the KAPILA portal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awarded when benchmark (set by NIRF/MIC) is reached/exceeded.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IPR Awareness &amp; Capacity Building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institutions are promoting Intellectual Property Rights (IPR) literacy among students and faculty.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how many members of the institution are actively participating in patent awareness and training programs.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National Program Alignment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KAPILA (Kalaam Program for IP Literacy and Awareness) is a GoI initiative under MoE's Innovation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participating show alignment with national IPR development goals.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Encouraging Patent Filing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Builds an IPR culture so more students/faculty file patents through institutional IPR cells.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participation = 1,000 students/faculty trained.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 = 600 trained.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600 ÷ 1,000 = 0.6.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KAPILA Score = 20 × 0.6 = 12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of students/faculty enrolled in KAPILA training sessions.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Certificates of participation, attendance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MoE's KAPILA portal (https://kapila.mic.gov.in).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IIC reports linked to KAPILA participation.</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Promotes awareness and skills in IPR filing &amp; management.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India's innovation pipeline through patent literacy.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every HEI develops a culture of IP protection &amp; commercialization.</w:t>
      </w:r>
    </w:p>
    <w:p>
      <w:r>
        <w:br w:type="page"/>
      </w:r>
    </w:p>
    <w:p>
      <w:pPr>
        <w:keepNext/>
        <w:spacing w:before="360" w:after="160"/>
      </w:pPr>
      <w:r>
        <w:rPr>
          <w:rFonts w:ascii="Cambria" w:hAnsi="Cambria" w:eastAsia="Cambria"/>
          <w:b/>
          <w:i w:val="0"/>
          <w:color w:val="1F3A5F"/>
          <w:sz w:val="36"/>
        </w:rPr>
        <w:t>58. Annual Performance of Institution's Innovation Councils (IICs)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IIC Score = 30 × f(Niic)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Niic = Annual performance score of the institution's IIC as provided by the Ministry of Education's Innovation Cell (MIC).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are scored based on activities and ratings published in the Annual IIC Scorecard.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if the IIC achieves benchmark performance (5★ rating or equivalent).</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Institutional Innovation Governance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Evaluates the functioning and performance of the IIC created under MoE's Innovation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the institution's seriousness in monitoring innovation progress.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Activities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of events conducted (seminars, hackathons, idea competitions).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&amp; student participation.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Startups supported through IIC.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Linkages with national missions (Atal Innovation Mission, Startup India,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Regional/National impact of activities.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Annual Evaluation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IICs are rated 1★ to 5★ based on performance data submitted on the official MIC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ratings correspond to higher normalized marks under this metric.</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IIC Annual Performance Score (as per MIC portal) = 85/100.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90 → ratio = 85 ÷ 90 = 0.944.</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IIC Metric Score = 30 × 0.944 = 28.3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Copy of IIC annual performance report downloaded from MIC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of events, activities, and participation.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MoE's Innovation Cell IIC Portal: https://iic.mic.gov.in.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 IIC star rating certificates.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structured innovation governance within HEIs.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that actively conduct, track, and scale innovation activities.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alignment with national innovation missions.</w:t>
      </w:r>
    </w:p>
    <w:p>
      <w:r>
        <w:br w:type="page"/>
      </w:r>
    </w:p>
    <w:p>
      <w:pPr>
        <w:keepNext/>
        <w:spacing w:before="360" w:after="160"/>
      </w:pPr>
      <w:r>
        <w:rPr>
          <w:rFonts w:ascii="Cambria" w:hAnsi="Cambria" w:eastAsia="Cambria"/>
          <w:b/>
          <w:i w:val="0"/>
          <w:color w:val="1F3A5F"/>
          <w:sz w:val="36"/>
        </w:rPr>
        <w:t>59. Credit Courses in Innovation (CCI)</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CCI = 20 × f(Ncci)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Ncci = Weighted count of credit-bearing courses in innovation, entrepreneurship, and startup-related domains offered by the institution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awarded when benchmark (set by NIRF) for credit courses is reached/exceeded.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Academic Integration of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embed innovation and entrepreneurship into formal curriculum.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Goes beyond extracurricular activities — making innovation part of mainstream academics.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Types of Courses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credit courses on entrepreneurship, design thinking, startup management, venture creation.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Minor degree / electives on innovation &amp; entrepreneurship (I&amp;E).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Integrated courses on IPR, technology commercialization, incubation management.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NEP 2020-compliant choice-based credit system (CBCS) offerings.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Outcome Focus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Students completing these courses gain credits toward graduation.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formal recognition of innovation learning.</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offered in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6 full-credit entrepreneurship courses (3–4 credits each).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4 electives in design thinking &amp; IPR.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 10 courses.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10 ÷ 10 = 1.0 → full score.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CCI Score = 20 × 1.0 = 20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courses with syllabus, credits, and duration.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of students enrolled &amp; passed.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Academic council approvals.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Course syllabi uploaded to website.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CBCS/NEP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University exam records.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Aligns with NEP 2020 focus on innovation &amp; entrepreneurship education.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the academic pipeline for startup creation.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Builds a structured foundation for future innovators and entrepreneurs.</w:t>
      </w:r>
    </w:p>
    <w:p>
      <w:r>
        <w:br w:type="page"/>
      </w:r>
    </w:p>
    <w:p>
      <w:pPr>
        <w:keepNext/>
        <w:spacing w:before="360" w:after="160"/>
      </w:pPr>
      <w:r>
        <w:rPr>
          <w:rFonts w:ascii="Cambria" w:hAnsi="Cambria" w:eastAsia="Cambria"/>
          <w:b/>
          <w:i w:val="0"/>
          <w:color w:val="1F3A5F"/>
          <w:sz w:val="36"/>
        </w:rPr>
        <w:t>60. Faculty Development Programs in Innovation (FDP)</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FDP = 20 × f(Nfdp)</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Nfdp = Weighted count of Faculty Development Programs (FDPs) in innovation, entrepreneurship, and related areas conducted by the institution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scale across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when benchmark FDP activity levels (as set by NIRF) are reached/exceeded.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Faculty Capacity Building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Focuses on how many FDPs the institution organizes for faculty in the domain of innovation, IPR, entrepreneurship, startup mentoring, and technology transfer.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 faculty are equipped to mentor students and startups.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Types of FDP Activities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Workshops on design thinking, innovation pedagogy, and IP management.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Training on incubation processes, entrepreneurship mentoring.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Certification programs on entrepreneurship and startup policies (like NISP, IIC, MSME schemes).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Industry-led FDPs in emerging technology commercialization.</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Quality and Outreach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FDPs with national-level resource persons, DST/AICTE/IIC endorsements, or industry collaborations add more value.</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conducted in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5 FDPs with 30 faculty participants each.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3 FDPs with 50 faculty participants each.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 8 FDPs, ~340 faculty trained.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10 FDPs → ratio = 8 ÷ 10 = 0.8.</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FDP Score = 20 × 0.8 = 16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list of FDPs conducted.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of participants, duration, topic, funding agency.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FDP brochures, schedules, attendance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Certificates issued, program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Funding approval letters (AICTE/UGC/DST).</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Strong FDP culture ensures faculty are innovation mentors, not just teachers.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Builds institutional capacity for entrepreneurship education.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Enhances the ecosystem by creating faculty leaders in innovation.</w:t>
      </w:r>
    </w:p>
    <w:p>
      <w:r>
        <w:br w:type="page"/>
      </w:r>
    </w:p>
    <w:p>
      <w:pPr>
        <w:keepNext/>
        <w:spacing w:before="360" w:after="160"/>
      </w:pPr>
      <w:r>
        <w:rPr>
          <w:rFonts w:ascii="Cambria" w:hAnsi="Cambria" w:eastAsia="Cambria"/>
          <w:b/>
          <w:i w:val="0"/>
          <w:color w:val="1F3A5F"/>
          <w:sz w:val="36"/>
        </w:rPr>
        <w:t>61. Pre-Incubation (PI)</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PI = 30 × f(Npi)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Npi = Weighted count of pre-incubation activities supported by the institution over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idea-stage support, mentoring, seed support, hackathons, and prototype development facilities.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ensure fair scoring across different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awarded when benchmark value (set by NIRF) is reached/exceeded.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Support at Ideation Stage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the number and quality of student/faculty ideas supported before formal incubation.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innovation ranking does not ignore early-stage entrepreneurship pipeline.</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Activities Included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Pre-incubation cells (idea labs, entrepreneurship cells, innovation clubs).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Hackathons, bootcamps, pitch events.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Seed/mini grants for early-stage prototyping.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Mentoring &amp; networking programs.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Pipeline Development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Shows how effectively the institution converts ideas → prototypes → incubated startups.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Strong pre-incubation support = more sustainable incubation outcomes.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conducted: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25 hackathons/ideathons (weight = 0.5 each → 12.5)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40 student ideas funded (weight = 1 each → 40)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15 prototypes developed in idea labs (weight = 1.5 each → 22.5)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Weighted total = 75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100 → normalized ratio = 0.75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PI = 30 × 0.75 = 22.5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pre-incubation programs conducted.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Number of student/faculty ideas supported.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of prototype development at idea stage.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Event reports, hackathon participation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EDC/Innovation Cell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Utilization certificates for idea-stage grants.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HEIs to invest in grassroots innovation culture.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student ideation and early-stage entrepreneurship activities.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rankings reflect full innovation lifecycle, not just mature startups.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Number of Pre-Incubation Programs Conducted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report year-wise count of pre-incubation activities that support idea generation and entrepreneurship awareness.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w:t>
      </w:r>
    </w:p>
    <w:p>
      <w:pPr>
        <w:spacing w:after="40"/>
        <w:ind w:left="1644" w:hanging="357"/>
      </w:pPr>
      <w:r>
        <w:rPr>
          <w:rFonts w:ascii="Cambria" w:hAnsi="Cambria" w:eastAsia="Cambria"/>
          <w:b w:val="0"/>
          <w:i w:val="0"/>
          <w:sz w:val="22"/>
        </w:rPr>
        <w:t>▪</w:t>
        <w:tab/>
      </w:r>
      <w:r>
        <w:rPr>
          <w:rFonts w:ascii="Cambria" w:hAnsi="Cambria" w:eastAsia="Cambria"/>
          <w:b w:val="0"/>
          <w:i w:val="0"/>
          <w:sz w:val="22"/>
        </w:rPr>
        <w:t>Bootcamps.</w:t>
      </w:r>
    </w:p>
    <w:p>
      <w:pPr>
        <w:spacing w:after="40"/>
        <w:ind w:left="1644" w:hanging="357"/>
      </w:pPr>
      <w:r>
        <w:rPr>
          <w:rFonts w:ascii="Cambria" w:hAnsi="Cambria" w:eastAsia="Cambria"/>
          <w:b w:val="0"/>
          <w:i w:val="0"/>
          <w:sz w:val="22"/>
        </w:rPr>
        <w:t>▪</w:t>
        <w:tab/>
      </w:r>
      <w:r>
        <w:rPr>
          <w:rFonts w:ascii="Cambria" w:hAnsi="Cambria" w:eastAsia="Cambria"/>
          <w:b w:val="0"/>
          <w:i w:val="0"/>
          <w:sz w:val="22"/>
        </w:rPr>
        <w:t>Hackathons.</w:t>
      </w:r>
    </w:p>
    <w:p>
      <w:pPr>
        <w:spacing w:after="40"/>
        <w:ind w:left="1644" w:hanging="357"/>
      </w:pPr>
      <w:r>
        <w:rPr>
          <w:rFonts w:ascii="Cambria" w:hAnsi="Cambria" w:eastAsia="Cambria"/>
          <w:b w:val="0"/>
          <w:i w:val="0"/>
          <w:sz w:val="22"/>
        </w:rPr>
        <w:t>▪</w:t>
        <w:tab/>
      </w:r>
      <w:r>
        <w:rPr>
          <w:rFonts w:ascii="Cambria" w:hAnsi="Cambria" w:eastAsia="Cambria"/>
          <w:b w:val="0"/>
          <w:i w:val="0"/>
          <w:sz w:val="22"/>
        </w:rPr>
        <w:t>Innovation challenges.</w:t>
      </w:r>
    </w:p>
    <w:p>
      <w:pPr>
        <w:spacing w:after="40"/>
        <w:ind w:left="1644" w:hanging="357"/>
      </w:pPr>
      <w:r>
        <w:rPr>
          <w:rFonts w:ascii="Cambria" w:hAnsi="Cambria" w:eastAsia="Cambria"/>
          <w:b w:val="0"/>
          <w:i w:val="0"/>
          <w:sz w:val="22"/>
        </w:rPr>
        <w:t>▪</w:t>
        <w:tab/>
      </w:r>
      <w:r>
        <w:rPr>
          <w:rFonts w:ascii="Cambria" w:hAnsi="Cambria" w:eastAsia="Cambria"/>
          <w:b w:val="0"/>
          <w:i w:val="0"/>
          <w:sz w:val="22"/>
        </w:rPr>
        <w:t>Ideation workshops.</w:t>
      </w:r>
    </w:p>
    <w:p>
      <w:pPr>
        <w:spacing w:after="40"/>
        <w:ind w:left="1644" w:hanging="357"/>
      </w:pPr>
      <w:r>
        <w:rPr>
          <w:rFonts w:ascii="Cambria" w:hAnsi="Cambria" w:eastAsia="Cambria"/>
          <w:b w:val="0"/>
          <w:i w:val="0"/>
          <w:sz w:val="22"/>
        </w:rPr>
        <w:t>▪</w:t>
        <w:tab/>
      </w:r>
      <w:r>
        <w:rPr>
          <w:rFonts w:ascii="Cambria" w:hAnsi="Cambria" w:eastAsia="Cambria"/>
          <w:b w:val="0"/>
          <w:i w:val="0"/>
          <w:sz w:val="22"/>
        </w:rPr>
        <w:t>Business model competitions.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Number of Student/Faculty Ideas Supported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report the total number of student and faculty innovation ideas formally supported through:</w:t>
      </w:r>
    </w:p>
    <w:p>
      <w:pPr>
        <w:spacing w:after="40"/>
        <w:ind w:left="1644" w:hanging="357"/>
      </w:pPr>
      <w:r>
        <w:rPr>
          <w:rFonts w:ascii="Cambria" w:hAnsi="Cambria" w:eastAsia="Cambria"/>
          <w:b w:val="0"/>
          <w:i w:val="0"/>
          <w:sz w:val="22"/>
        </w:rPr>
        <w:t>▪</w:t>
        <w:tab/>
      </w:r>
      <w:r>
        <w:rPr>
          <w:rFonts w:ascii="Cambria" w:hAnsi="Cambria" w:eastAsia="Cambria"/>
          <w:b w:val="0"/>
          <w:i w:val="0"/>
          <w:sz w:val="22"/>
        </w:rPr>
        <w:t>Innovation/Entrepreneurship Development Cell (EDC/IEDC).</w:t>
      </w:r>
    </w:p>
    <w:p>
      <w:pPr>
        <w:spacing w:after="40"/>
        <w:ind w:left="1644" w:hanging="357"/>
      </w:pPr>
      <w:r>
        <w:rPr>
          <w:rFonts w:ascii="Cambria" w:hAnsi="Cambria" w:eastAsia="Cambria"/>
          <w:b w:val="0"/>
          <w:i w:val="0"/>
          <w:sz w:val="22"/>
        </w:rPr>
        <w:t>▪</w:t>
        <w:tab/>
      </w:r>
      <w:r>
        <w:rPr>
          <w:rFonts w:ascii="Cambria" w:hAnsi="Cambria" w:eastAsia="Cambria"/>
          <w:b w:val="0"/>
          <w:i w:val="0"/>
          <w:sz w:val="22"/>
        </w:rPr>
        <w:t>Institutional Innovation Council (IIC).</w:t>
      </w:r>
    </w:p>
    <w:p>
      <w:pPr>
        <w:spacing w:after="40"/>
        <w:ind w:left="1644" w:hanging="357"/>
      </w:pPr>
      <w:r>
        <w:rPr>
          <w:rFonts w:ascii="Cambria" w:hAnsi="Cambria" w:eastAsia="Cambria"/>
          <w:b w:val="0"/>
          <w:i w:val="0"/>
          <w:sz w:val="22"/>
        </w:rPr>
        <w:t>▪</w:t>
        <w:tab/>
      </w:r>
      <w:r>
        <w:rPr>
          <w:rFonts w:ascii="Cambria" w:hAnsi="Cambria" w:eastAsia="Cambria"/>
          <w:b w:val="0"/>
          <w:i w:val="0"/>
          <w:sz w:val="22"/>
        </w:rPr>
        <w:t>Pre-incubation labs.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Support could include mentorship, funding, workspace, or technical assistance.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Evidence of Prototype Development at Idea Stage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provide proof that supported ideas led to prototype development.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Acceptable evidence:</w:t>
      </w:r>
    </w:p>
    <w:p>
      <w:pPr>
        <w:spacing w:after="40"/>
        <w:ind w:left="1644" w:hanging="357"/>
      </w:pPr>
      <w:r>
        <w:rPr>
          <w:rFonts w:ascii="Cambria" w:hAnsi="Cambria" w:eastAsia="Cambria"/>
          <w:b w:val="0"/>
          <w:i w:val="0"/>
          <w:sz w:val="22"/>
        </w:rPr>
        <w:t>▪</w:t>
        <w:tab/>
      </w:r>
      <w:r>
        <w:rPr>
          <w:rFonts w:ascii="Cambria" w:hAnsi="Cambria" w:eastAsia="Cambria"/>
          <w:b w:val="0"/>
          <w:i w:val="0"/>
          <w:sz w:val="22"/>
        </w:rPr>
        <w:t>Prototype photographs/videos.</w:t>
      </w:r>
    </w:p>
    <w:p>
      <w:pPr>
        <w:spacing w:after="40"/>
        <w:ind w:left="1644" w:hanging="357"/>
      </w:pPr>
      <w:r>
        <w:rPr>
          <w:rFonts w:ascii="Cambria" w:hAnsi="Cambria" w:eastAsia="Cambria"/>
          <w:b w:val="0"/>
          <w:i w:val="0"/>
          <w:sz w:val="22"/>
        </w:rPr>
        <w:t>▪</w:t>
        <w:tab/>
      </w:r>
      <w:r>
        <w:rPr>
          <w:rFonts w:ascii="Cambria" w:hAnsi="Cambria" w:eastAsia="Cambria"/>
          <w:b w:val="0"/>
          <w:i w:val="0"/>
          <w:sz w:val="22"/>
        </w:rPr>
        <w:t>Technical documentation.</w:t>
      </w:r>
    </w:p>
    <w:p>
      <w:pPr>
        <w:spacing w:after="40"/>
        <w:ind w:left="1644" w:hanging="357"/>
      </w:pPr>
      <w:r>
        <w:rPr>
          <w:rFonts w:ascii="Cambria" w:hAnsi="Cambria" w:eastAsia="Cambria"/>
          <w:b w:val="0"/>
          <w:i w:val="0"/>
          <w:sz w:val="22"/>
        </w:rPr>
        <w:t>▪</w:t>
        <w:tab/>
      </w:r>
      <w:r>
        <w:rPr>
          <w:rFonts w:ascii="Cambria" w:hAnsi="Cambria" w:eastAsia="Cambria"/>
          <w:b w:val="0"/>
          <w:i w:val="0"/>
          <w:sz w:val="22"/>
        </w:rPr>
        <w:t>Lab usage records.</w:t>
      </w:r>
    </w:p>
    <w:p>
      <w:pPr>
        <w:spacing w:after="40"/>
        <w:ind w:left="1644" w:hanging="357"/>
      </w:pPr>
      <w:r>
        <w:rPr>
          <w:rFonts w:ascii="Cambria" w:hAnsi="Cambria" w:eastAsia="Cambria"/>
          <w:b w:val="0"/>
          <w:i w:val="0"/>
          <w:sz w:val="22"/>
        </w:rPr>
        <w:t>▪</w:t>
        <w:tab/>
      </w:r>
      <w:r>
        <w:rPr>
          <w:rFonts w:ascii="Cambria" w:hAnsi="Cambria" w:eastAsia="Cambria"/>
          <w:b w:val="0"/>
          <w:i w:val="0"/>
          <w:sz w:val="22"/>
        </w:rPr>
        <w:t>Progress reports from innovation cell.</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Event Reports &amp; Hackathon Participation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reports of events (hackathons, ideation camps) with participant/student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validate number of programs conducted.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EDC/Innovation Cell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Documentation maintained by the institution's Entrepreneurship Development Cell (EDC) or IIC.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idea submissions, mentorship allocation, and program reports.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Utilization Certificates for Idea-Stage Grants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funded ideas, utilization certificates issued by accounts/finance office confirming money spent on prototype development.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financial authenticity and transparency.</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nurture innovation and entrepreneurship culture.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Measures how effectively institutions support student/faculty ideas before incubation stage.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Links directly with Innovation &amp; Startup Ecosystem metrics in NIRF.</w:t>
      </w:r>
    </w:p>
    <w:p>
      <w:r>
        <w:br w:type="page"/>
      </w:r>
    </w:p>
    <w:p>
      <w:pPr>
        <w:keepNext/>
        <w:spacing w:before="360" w:after="160"/>
      </w:pPr>
      <w:r>
        <w:rPr>
          <w:rFonts w:ascii="Cambria" w:hAnsi="Cambria" w:eastAsia="Cambria"/>
          <w:b/>
          <w:i w:val="0"/>
          <w:color w:val="1F3A5F"/>
          <w:sz w:val="36"/>
        </w:rPr>
        <w:t>62. Incubation (IIE)</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IIE = 30 × f(Ninc)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Ninc = Weighted count of ventures/startups incubated at the institution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student, faculty, and alumni-led startups supported by the institution's incubation center.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standardize across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if benchmark incubated ventures are met/exceeded.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Formal Incubation Output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startups admitted to official incubation programs, beyond pre-incubation/idea stage.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Covers incubation support such as workspace, mentorship, access to investors, funding, and networking.</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Types of Startups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Student Startups (enrolled students).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Startups (spin-offs, patents commercialized).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Alumni Startups (linked with the institution's incubator).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External Startups (sometimes supported but need evidence of institutional role).</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Depth of Incubation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institutions with operational incubation centers, TBIs, or Atal Incubation Centers (AICs).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HEIs that build startups beyond prototypes, supporting growth, funding, and market entry.</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incubated in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15 student startups (weight = 1 each = 15)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6 faculty spin-offs (weight = 2 each = 12)</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4 alumni startups (weight = 1.5 each = 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Weighted total = 33</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 40 incubations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33 ÷ 40 = 0.825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IIE = 30 × 0.825 = 24.75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list of incubated startups.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Type of startup (student/faculty/alumni/external).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of incubation support (MoUs, agreements, reports).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Incubation center records, MoUs with TBIs.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 reports of Atal Incubation Centers, DST/DBT incubators.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Investor agreements or mentorship logs.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Moves beyond idea validation (pre-incubation) to formal incubation success.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maintain incubation infrastructure, mentors, and networks.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India's startup ecosystem through academia-driven entrepreneurship.</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List of Incubated Startups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and report a year-wise record of all startups incubated.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should include:</w:t>
      </w:r>
    </w:p>
    <w:p>
      <w:pPr>
        <w:spacing w:after="40"/>
        <w:ind w:left="1644" w:hanging="357"/>
      </w:pPr>
      <w:r>
        <w:rPr>
          <w:rFonts w:ascii="Cambria" w:hAnsi="Cambria" w:eastAsia="Cambria"/>
          <w:b w:val="0"/>
          <w:i w:val="0"/>
          <w:sz w:val="22"/>
        </w:rPr>
        <w:t>▪</w:t>
        <w:tab/>
      </w:r>
      <w:r>
        <w:rPr>
          <w:rFonts w:ascii="Cambria" w:hAnsi="Cambria" w:eastAsia="Cambria"/>
          <w:b w:val="0"/>
          <w:i w:val="0"/>
          <w:sz w:val="22"/>
        </w:rPr>
        <w:t>Startup Name.</w:t>
      </w:r>
    </w:p>
    <w:p>
      <w:pPr>
        <w:spacing w:after="40"/>
        <w:ind w:left="1644" w:hanging="357"/>
      </w:pPr>
      <w:r>
        <w:rPr>
          <w:rFonts w:ascii="Cambria" w:hAnsi="Cambria" w:eastAsia="Cambria"/>
          <w:b w:val="0"/>
          <w:i w:val="0"/>
          <w:sz w:val="22"/>
        </w:rPr>
        <w:t>▪</w:t>
        <w:tab/>
      </w:r>
      <w:r>
        <w:rPr>
          <w:rFonts w:ascii="Cambria" w:hAnsi="Cambria" w:eastAsia="Cambria"/>
          <w:b w:val="0"/>
          <w:i w:val="0"/>
          <w:sz w:val="22"/>
        </w:rPr>
        <w:t>Founders (student/faculty/alumni/external).</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incubation.</w:t>
      </w:r>
    </w:p>
    <w:p>
      <w:pPr>
        <w:spacing w:after="40"/>
        <w:ind w:left="1644" w:hanging="357"/>
      </w:pPr>
      <w:r>
        <w:rPr>
          <w:rFonts w:ascii="Cambria" w:hAnsi="Cambria" w:eastAsia="Cambria"/>
          <w:b w:val="0"/>
          <w:i w:val="0"/>
          <w:sz w:val="22"/>
        </w:rPr>
        <w:t>▪</w:t>
        <w:tab/>
      </w:r>
      <w:r>
        <w:rPr>
          <w:rFonts w:ascii="Cambria" w:hAnsi="Cambria" w:eastAsia="Cambria"/>
          <w:b w:val="0"/>
          <w:i w:val="0"/>
          <w:sz w:val="22"/>
        </w:rPr>
        <w:t>Sector/domain (e.g., EdTech, AgriTech, HealthTech).</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Type of Startup (Student / Faculty / Alumni / External)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Classification based on the founder's relationship with the institution:</w:t>
      </w:r>
    </w:p>
    <w:p>
      <w:pPr>
        <w:spacing w:after="40"/>
        <w:ind w:left="1644" w:hanging="357"/>
      </w:pPr>
      <w:r>
        <w:rPr>
          <w:rFonts w:ascii="Cambria" w:hAnsi="Cambria" w:eastAsia="Cambria"/>
          <w:b w:val="0"/>
          <w:i w:val="0"/>
          <w:sz w:val="22"/>
        </w:rPr>
        <w:t>▪</w:t>
        <w:tab/>
      </w:r>
      <w:r>
        <w:rPr>
          <w:rFonts w:ascii="Cambria" w:hAnsi="Cambria" w:eastAsia="Cambria"/>
          <w:b w:val="0"/>
          <w:i w:val="0"/>
          <w:sz w:val="22"/>
        </w:rPr>
        <w:t>Student Startup → Started by current students.</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Startup → Initiated by faculty members.</w:t>
      </w:r>
    </w:p>
    <w:p>
      <w:pPr>
        <w:spacing w:after="40"/>
        <w:ind w:left="1644" w:hanging="357"/>
      </w:pPr>
      <w:r>
        <w:rPr>
          <w:rFonts w:ascii="Cambria" w:hAnsi="Cambria" w:eastAsia="Cambria"/>
          <w:b w:val="0"/>
          <w:i w:val="0"/>
          <w:sz w:val="22"/>
        </w:rPr>
        <w:t>▪</w:t>
        <w:tab/>
      </w:r>
      <w:r>
        <w:rPr>
          <w:rFonts w:ascii="Cambria" w:hAnsi="Cambria" w:eastAsia="Cambria"/>
          <w:b w:val="0"/>
          <w:i w:val="0"/>
          <w:sz w:val="22"/>
        </w:rPr>
        <w:t>Alumni Startup → Founded by institution's graduates.</w:t>
      </w:r>
    </w:p>
    <w:p>
      <w:pPr>
        <w:spacing w:after="40"/>
        <w:ind w:left="1644" w:hanging="357"/>
      </w:pPr>
      <w:r>
        <w:rPr>
          <w:rFonts w:ascii="Cambria" w:hAnsi="Cambria" w:eastAsia="Cambria"/>
          <w:b w:val="0"/>
          <w:i w:val="0"/>
          <w:sz w:val="22"/>
        </w:rPr>
        <w:t>▪</w:t>
        <w:tab/>
      </w:r>
      <w:r>
        <w:rPr>
          <w:rFonts w:ascii="Cambria" w:hAnsi="Cambria" w:eastAsia="Cambria"/>
          <w:b w:val="0"/>
          <w:i w:val="0"/>
          <w:sz w:val="22"/>
        </w:rPr>
        <w:t>External Startup → Incubated under institutional incubation cell but founders are outside the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Evidence of Incubation Support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provide proof of institutional support:</w:t>
      </w:r>
    </w:p>
    <w:p>
      <w:pPr>
        <w:spacing w:after="40"/>
        <w:ind w:left="1644" w:hanging="357"/>
      </w:pPr>
      <w:r>
        <w:rPr>
          <w:rFonts w:ascii="Cambria" w:hAnsi="Cambria" w:eastAsia="Cambria"/>
          <w:b w:val="0"/>
          <w:i w:val="0"/>
          <w:sz w:val="22"/>
        </w:rPr>
        <w:t>▪</w:t>
        <w:tab/>
      </w:r>
      <w:r>
        <w:rPr>
          <w:rFonts w:ascii="Cambria" w:hAnsi="Cambria" w:eastAsia="Cambria"/>
          <w:b w:val="0"/>
          <w:i w:val="0"/>
          <w:sz w:val="22"/>
        </w:rPr>
        <w:t>MoUs/agreements signed with the startup.</w:t>
      </w:r>
    </w:p>
    <w:p>
      <w:pPr>
        <w:spacing w:after="40"/>
        <w:ind w:left="1644" w:hanging="357"/>
      </w:pPr>
      <w:r>
        <w:rPr>
          <w:rFonts w:ascii="Cambria" w:hAnsi="Cambria" w:eastAsia="Cambria"/>
          <w:b w:val="0"/>
          <w:i w:val="0"/>
          <w:sz w:val="22"/>
        </w:rPr>
        <w:t>▪</w:t>
        <w:tab/>
      </w:r>
      <w:r>
        <w:rPr>
          <w:rFonts w:ascii="Cambria" w:hAnsi="Cambria" w:eastAsia="Cambria"/>
          <w:b w:val="0"/>
          <w:i w:val="0"/>
          <w:sz w:val="22"/>
        </w:rPr>
        <w:t>Infrastructure/office space allocation.</w:t>
      </w:r>
    </w:p>
    <w:p>
      <w:pPr>
        <w:spacing w:after="40"/>
        <w:ind w:left="1644" w:hanging="357"/>
      </w:pPr>
      <w:r>
        <w:rPr>
          <w:rFonts w:ascii="Cambria" w:hAnsi="Cambria" w:eastAsia="Cambria"/>
          <w:b w:val="0"/>
          <w:i w:val="0"/>
          <w:sz w:val="22"/>
        </w:rPr>
        <w:t>▪</w:t>
        <w:tab/>
      </w:r>
      <w:r>
        <w:rPr>
          <w:rFonts w:ascii="Cambria" w:hAnsi="Cambria" w:eastAsia="Cambria"/>
          <w:b w:val="0"/>
          <w:i w:val="0"/>
          <w:sz w:val="22"/>
        </w:rPr>
        <w:t>Mentorship assignment records.</w:t>
      </w:r>
    </w:p>
    <w:p>
      <w:pPr>
        <w:spacing w:after="40"/>
        <w:ind w:left="1644" w:hanging="357"/>
      </w:pPr>
      <w:r>
        <w:rPr>
          <w:rFonts w:ascii="Cambria" w:hAnsi="Cambria" w:eastAsia="Cambria"/>
          <w:b w:val="0"/>
          <w:i w:val="0"/>
          <w:sz w:val="22"/>
        </w:rPr>
        <w:t>▪</w:t>
        <w:tab/>
      </w:r>
      <w:r>
        <w:rPr>
          <w:rFonts w:ascii="Cambria" w:hAnsi="Cambria" w:eastAsia="Cambria"/>
          <w:b w:val="0"/>
          <w:i w:val="0"/>
          <w:sz w:val="22"/>
        </w:rPr>
        <w:t>Progress or incubation reports.</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Incubation Center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Maintained by Entrepreneurship/Innovation Cell or Technology Business Incubator (TBI).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Includes agreements, allocation letters, progress reports.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MoUs with TBIs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institution partners with an external TBI (e.g., Atal Incubation Center, DST/DBT Incubators), MoUs serve as evidence.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Annual Reports of Atal Incubation Centers, DST/DBT Incubators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Third-party verification via government-funded incubators.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authenticity of incubation claims.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Investor Agreements or Mentorship Logs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If startups raised funds or had structured mentorship, those agreements/logs can be submitted as verification.</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Startup incubation reflects an institution's entrepreneurship ecosystem strength.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support students/faculty in idea-to-market journeys.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the Innovation &amp; Entrepreneurship metric in NIRF.</w:t>
      </w:r>
    </w:p>
    <w:p>
      <w:r>
        <w:br w:type="page"/>
      </w:r>
    </w:p>
    <w:p>
      <w:pPr>
        <w:keepNext/>
        <w:spacing w:before="360" w:after="160"/>
      </w:pPr>
      <w:r>
        <w:rPr>
          <w:rFonts w:ascii="Cambria" w:hAnsi="Cambria" w:eastAsia="Cambria"/>
          <w:b/>
          <w:i w:val="0"/>
          <w:color w:val="1F3A5F"/>
          <w:sz w:val="36"/>
        </w:rPr>
        <w:t>63. Patent Commercialization &amp; Technology Transfer</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PCTT = 10 × f(Ntt)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Ntt = Number of patents licensed / technologies transferred with verified agreements and revenue generation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balance across disciplines and institutional sizes.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10 Marks if benchmark (set by NIRF) is met/exceeded.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Beyond Filing &amp; Granting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actual utilization of patents and technologies by industry or startups.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move beyond patent counts toward real-world impact.</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Revenue from IP Commercialization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whether patents/technologies generate royalties, licensing fees, or equity.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Directly links innovation to financial sustainability.</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Industry-Academia Collaboration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how effectively an institution's research serves industry needs.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Builds institutional reputation as a technology provider.</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commercialized 8 patents in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Generated licensing revenue of ₹2 Cr.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10 patents/technologies commercialized: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Ratio = 8 ÷ 10 = 0.8</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PCTT = 10 × 0.8 = 8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list of patents/technologies transferred.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Licensee/industry partner details.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Revenue generated (royalty, lump-sum, equity).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Licensing agreements/MoUs with industry.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IPR cell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Royalty receipts / audited financial statements.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patents don't remain dormant but move into industrial application.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for converting research into tangible products/services.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innovation-to-market ecosystem inside HEIs.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List of Patents/Technologies Transferred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a year-wise record of all patents and technologies that were:</w:t>
      </w:r>
    </w:p>
    <w:p>
      <w:pPr>
        <w:spacing w:after="40"/>
        <w:ind w:left="1644" w:hanging="357"/>
      </w:pPr>
      <w:r>
        <w:rPr>
          <w:rFonts w:ascii="Cambria" w:hAnsi="Cambria" w:eastAsia="Cambria"/>
          <w:b w:val="0"/>
          <w:i w:val="0"/>
          <w:sz w:val="22"/>
        </w:rPr>
        <w:t>▪</w:t>
        <w:tab/>
      </w:r>
      <w:r>
        <w:rPr>
          <w:rFonts w:ascii="Cambria" w:hAnsi="Cambria" w:eastAsia="Cambria"/>
          <w:b w:val="0"/>
          <w:i w:val="0"/>
          <w:sz w:val="22"/>
        </w:rPr>
        <w:t>Licensed to industry partners.</w:t>
      </w:r>
    </w:p>
    <w:p>
      <w:pPr>
        <w:spacing w:after="40"/>
        <w:ind w:left="1644" w:hanging="357"/>
      </w:pPr>
      <w:r>
        <w:rPr>
          <w:rFonts w:ascii="Cambria" w:hAnsi="Cambria" w:eastAsia="Cambria"/>
          <w:b w:val="0"/>
          <w:i w:val="0"/>
          <w:sz w:val="22"/>
        </w:rPr>
        <w:t>▪</w:t>
        <w:tab/>
      </w:r>
      <w:r>
        <w:rPr>
          <w:rFonts w:ascii="Cambria" w:hAnsi="Cambria" w:eastAsia="Cambria"/>
          <w:b w:val="0"/>
          <w:i w:val="0"/>
          <w:sz w:val="22"/>
        </w:rPr>
        <w:t>Transferred for commercial use.</w:t>
      </w:r>
    </w:p>
    <w:p>
      <w:pPr>
        <w:spacing w:after="40"/>
        <w:ind w:left="1644" w:hanging="357"/>
      </w:pPr>
      <w:r>
        <w:rPr>
          <w:rFonts w:ascii="Cambria" w:hAnsi="Cambria" w:eastAsia="Cambria"/>
          <w:b w:val="0"/>
          <w:i w:val="0"/>
          <w:sz w:val="22"/>
        </w:rPr>
        <w:t>▪</w:t>
        <w:tab/>
      </w:r>
      <w:r>
        <w:rPr>
          <w:rFonts w:ascii="Cambria" w:hAnsi="Cambria" w:eastAsia="Cambria"/>
          <w:b w:val="0"/>
          <w:i w:val="0"/>
          <w:sz w:val="22"/>
        </w:rPr>
        <w:t>Assigned to startups or incubated enterprises.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entry should include: Patent/Technology Title, Patent No./Application ID, and Year of Transfer.</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Licensee/Industry Partner Details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 each transfer, details of the licensee must be provided:</w:t>
      </w:r>
    </w:p>
    <w:p>
      <w:pPr>
        <w:spacing w:after="40"/>
        <w:ind w:left="1644" w:hanging="357"/>
      </w:pPr>
      <w:r>
        <w:rPr>
          <w:rFonts w:ascii="Cambria" w:hAnsi="Cambria" w:eastAsia="Cambria"/>
          <w:b w:val="0"/>
          <w:i w:val="0"/>
          <w:sz w:val="22"/>
        </w:rPr>
        <w:t>▪</w:t>
        <w:tab/>
      </w:r>
      <w:r>
        <w:rPr>
          <w:rFonts w:ascii="Cambria" w:hAnsi="Cambria" w:eastAsia="Cambria"/>
          <w:b w:val="0"/>
          <w:i w:val="0"/>
          <w:sz w:val="22"/>
        </w:rPr>
        <w:t>Company/industry partner/startup name.</w:t>
      </w:r>
    </w:p>
    <w:p>
      <w:pPr>
        <w:spacing w:after="40"/>
        <w:ind w:left="1644" w:hanging="357"/>
      </w:pPr>
      <w:r>
        <w:rPr>
          <w:rFonts w:ascii="Cambria" w:hAnsi="Cambria" w:eastAsia="Cambria"/>
          <w:b w:val="0"/>
          <w:i w:val="0"/>
          <w:sz w:val="22"/>
        </w:rPr>
        <w:t>▪</w:t>
        <w:tab/>
      </w:r>
      <w:r>
        <w:rPr>
          <w:rFonts w:ascii="Cambria" w:hAnsi="Cambria" w:eastAsia="Cambria"/>
          <w:b w:val="0"/>
          <w:i w:val="0"/>
          <w:sz w:val="22"/>
        </w:rPr>
        <w:t>Nature of partnership (exclusive/non-exclusive license, assignment).</w:t>
      </w:r>
    </w:p>
    <w:p>
      <w:pPr>
        <w:spacing w:after="40"/>
        <w:ind w:left="1644" w:hanging="357"/>
      </w:pPr>
      <w:r>
        <w:rPr>
          <w:rFonts w:ascii="Cambria" w:hAnsi="Cambria" w:eastAsia="Cambria"/>
          <w:b w:val="0"/>
          <w:i w:val="0"/>
          <w:sz w:val="22"/>
        </w:rPr>
        <w:t>▪</w:t>
        <w:tab/>
      </w:r>
      <w:r>
        <w:rPr>
          <w:rFonts w:ascii="Cambria" w:hAnsi="Cambria" w:eastAsia="Cambria"/>
          <w:b w:val="0"/>
          <w:i w:val="0"/>
          <w:sz w:val="22"/>
        </w:rPr>
        <w:t>MoU/contract reference.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Revenue Generated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provide evidence of financial/commercial benefit from technology transfer:</w:t>
      </w:r>
    </w:p>
    <w:p>
      <w:pPr>
        <w:spacing w:after="40"/>
        <w:ind w:left="1644" w:hanging="357"/>
      </w:pPr>
      <w:r>
        <w:rPr>
          <w:rFonts w:ascii="Cambria" w:hAnsi="Cambria" w:eastAsia="Cambria"/>
          <w:b w:val="0"/>
          <w:i w:val="0"/>
          <w:sz w:val="22"/>
        </w:rPr>
        <w:t>▪</w:t>
        <w:tab/>
      </w:r>
      <w:r>
        <w:rPr>
          <w:rFonts w:ascii="Cambria" w:hAnsi="Cambria" w:eastAsia="Cambria"/>
          <w:b w:val="0"/>
          <w:i w:val="0"/>
          <w:sz w:val="22"/>
        </w:rPr>
        <w:t>Royalty payments (ongoing revenue).</w:t>
      </w:r>
    </w:p>
    <w:p>
      <w:pPr>
        <w:spacing w:after="40"/>
        <w:ind w:left="1644" w:hanging="357"/>
      </w:pPr>
      <w:r>
        <w:rPr>
          <w:rFonts w:ascii="Cambria" w:hAnsi="Cambria" w:eastAsia="Cambria"/>
          <w:b w:val="0"/>
          <w:i w:val="0"/>
          <w:sz w:val="22"/>
        </w:rPr>
        <w:t>▪</w:t>
        <w:tab/>
      </w:r>
      <w:r>
        <w:rPr>
          <w:rFonts w:ascii="Cambria" w:hAnsi="Cambria" w:eastAsia="Cambria"/>
          <w:b w:val="0"/>
          <w:i w:val="0"/>
          <w:sz w:val="22"/>
        </w:rPr>
        <w:t>Lump-sum licensing fee (one-time).</w:t>
      </w:r>
    </w:p>
    <w:p>
      <w:pPr>
        <w:spacing w:after="40"/>
        <w:ind w:left="1644" w:hanging="357"/>
      </w:pPr>
      <w:r>
        <w:rPr>
          <w:rFonts w:ascii="Cambria" w:hAnsi="Cambria" w:eastAsia="Cambria"/>
          <w:b w:val="0"/>
          <w:i w:val="0"/>
          <w:sz w:val="22"/>
        </w:rPr>
        <w:t>▪</w:t>
        <w:tab/>
      </w:r>
      <w:r>
        <w:rPr>
          <w:rFonts w:ascii="Cambria" w:hAnsi="Cambria" w:eastAsia="Cambria"/>
          <w:b w:val="0"/>
          <w:i w:val="0"/>
          <w:sz w:val="22"/>
        </w:rPr>
        <w:t>Equity shares in startups/partner companies.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should be reported year-wise.</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Licensing Agreements/MoUs with Industry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Signed legal documents showing terms of technology transfer or licensing.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confirm that transfer actually took place.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IPR Cell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IPR/Technology Transfer Office maintains detailed records of patents, licensing, and commercialization.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as primary institutional evidence.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Royalty Receipts / Audited Financial Statements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Proof of revenue generation from technology transfer.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Cross-verified with institutional audited accounts.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claims are backed by financial evidence.</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Commercialization of IP reflects industry linkage, innovation strength, and technology transfer capability.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Institutions generating revenue through IP transfer score higher under Research &amp; Professional Practice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move beyond publications/patents into real-world impact and commercialization.</w:t>
      </w:r>
    </w:p>
    <w:p>
      <w:r>
        <w:br w:type="page"/>
      </w:r>
    </w:p>
    <w:p>
      <w:pPr>
        <w:keepNext/>
        <w:spacing w:before="360" w:after="160"/>
      </w:pPr>
      <w:r>
        <w:rPr>
          <w:rFonts w:ascii="Cambria" w:hAnsi="Cambria" w:eastAsia="Cambria"/>
          <w:b/>
          <w:i w:val="0"/>
          <w:color w:val="1F3A5F"/>
          <w:sz w:val="36"/>
        </w:rPr>
        <w:t>64. IPR &amp; Patents (IPR)</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IPR = IPP + IPG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IPP = 15 × f(Pp) → Patents Published (applications filed &amp; published in patent offices).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IPG = 25 × f(Pg) → Patents Granted (legally awarded patents in India or abroad).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Pp = Number of patents published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Pg = Number of patents granted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across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Maximum = 40 Marks.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Innovation Output Beyond Publications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intellectual property generation by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show applied research, innovation, and commercialization potential.</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Balance Between Filed &amp; Granted Patents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Publishing (filing) patents shows early innovation activity.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Granted patents reflect strength, novelty, and legal recognition of innovations.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Commercial &amp; Societal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Patents granted are strong indicators of commercial viability and innovation readiness.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Motivates institutions to push research towards technology transfer.</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Patents Published in 3 years = 50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Patents Granted in 3 years = 15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100 published and 20 granted: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IPP = 20 × (50 ÷ 100) = 10</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IPG = 20 × (15 ÷ 20) = 15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IPR = 10 + 15 = 25 Marks (out of 40)</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(Third Party +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Published Patents: National (Indian Patent Office) + International (WIPO, USPTO, EPO).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Granted Patents: Patent office records.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IP India database, WIPO Patentscope, USPTO, EPO portals.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IPR cell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Patent filing/award certificates.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Pushes institutions towards applied, industry-relevant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both innovation activity (filing) and successful recognition (grants).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startups, technology transfer, and commercialization culture in HEIs.</w:t>
      </w:r>
    </w:p>
    <w:p>
      <w:r>
        <w:br w:type="page"/>
      </w:r>
    </w:p>
    <w:p>
      <w:pPr>
        <w:keepNext/>
        <w:spacing w:before="360" w:after="160"/>
      </w:pPr>
      <w:r>
        <w:rPr>
          <w:rFonts w:ascii="Cambria" w:hAnsi="Cambria" w:eastAsia="Cambria"/>
          <w:b/>
          <w:i w:val="0"/>
          <w:color w:val="1F3A5F"/>
          <w:sz w:val="36"/>
        </w:rPr>
        <w:t>65. Publications in SCI Journals (PU)</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 = 25 × f(Psci / 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Psci = Weighted number of publications indexed in SCI (Science Citation Index) journals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FRQ = Faculty Reference Quantity = max(required faculty as per FSR 1:15, or actual faculty strength).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ensure discipline and size neutrality.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25 Marks if the institution achieves/exceeds the NIRF benchmark ratio.</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Research Output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Focuses only on SCI-indexed publications, considered more credible and impactful.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Distinguishes from general Scopus/UGC-indexed papers by emphasizing global standard journals.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Faculty Productivity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Normalized by FRQ (faculty strength), ensuring larger institutions don't get undue advantage.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average publications per faculty in SCI journals.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Academic &amp; Research Prestige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SCI publications reflect international recognition, peer-reviewed standards, and higher impact factors.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Strengthens institution's global research visibility.</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Reference Quantity (FRQ) = 200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Publications in SCI journals (last 3 years, weighted) = 350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350 ÷ 200 = 1.75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ratio = 2.0 → normalized score = 1.75 ÷ 2.0 = 0.875</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 Score = 25 × 0.875 = 21.9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(Third Party):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Web of Science (SCI database).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affiliation-based publication counts.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Records (supporting):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Faculty-wise publication list with DOI/journal link.</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 reports with publication statistics.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SCI publications are internationally respected, hence this metric ensures global benchmarking.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with research-active faculty and strong publication culture.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Pushes HEIs to focus on quality over quantity in research publications.</w:t>
      </w:r>
    </w:p>
    <w:p>
      <w:pPr>
        <w:spacing w:after="40" w:line="276" w:lineRule="auto"/>
      </w:pPr>
      <w:r>
        <w:rPr>
          <w:rFonts w:ascii="Cambria" w:hAnsi="Cambria" w:eastAsia="Cambria"/>
          <w:b/>
          <w:i w:val="0"/>
          <w:sz w:val="22"/>
        </w:rPr>
        <w:t>Primary Data (Third Party)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Web of Science (SCI Database)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Clarivate's Science Citation Index (SCI) is the official source for validated publication counts.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SCI covers high-quality, peer-reviewed journals across disciplines.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is extracted institution-wise using:</w:t>
      </w:r>
    </w:p>
    <w:p>
      <w:pPr>
        <w:spacing w:after="40"/>
        <w:ind w:left="1644" w:hanging="357"/>
      </w:pPr>
      <w:r>
        <w:rPr>
          <w:rFonts w:ascii="Cambria" w:hAnsi="Cambria" w:eastAsia="Cambria"/>
          <w:b w:val="0"/>
          <w:i w:val="0"/>
          <w:sz w:val="22"/>
        </w:rPr>
        <w:t>▪</w:t>
        <w:tab/>
      </w:r>
      <w:r>
        <w:rPr>
          <w:rFonts w:ascii="Cambria" w:hAnsi="Cambria" w:eastAsia="Cambria"/>
          <w:b w:val="0"/>
          <w:i w:val="0"/>
          <w:sz w:val="22"/>
        </w:rPr>
        <w:t>Affiliation ID / Organization-Enhanced ID in Web of Science.</w:t>
      </w:r>
    </w:p>
    <w:p>
      <w:pPr>
        <w:spacing w:after="40"/>
        <w:ind w:left="1644" w:hanging="357"/>
      </w:pPr>
      <w:r>
        <w:rPr>
          <w:rFonts w:ascii="Cambria" w:hAnsi="Cambria" w:eastAsia="Cambria"/>
          <w:b w:val="0"/>
          <w:i w:val="0"/>
          <w:sz w:val="22"/>
        </w:rPr>
        <w:t>▪</w:t>
        <w:tab/>
      </w:r>
      <w:r>
        <w:rPr>
          <w:rFonts w:ascii="Cambria" w:hAnsi="Cambria" w:eastAsia="Cambria"/>
          <w:b w:val="0"/>
          <w:i w:val="0"/>
          <w:sz w:val="22"/>
        </w:rPr>
        <w:t>Ensures accurate attribution of papers to the reporting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Institution Affiliation-Based Publication Counts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Publication numbers are not self-declared but retrieved based on institutional affiliation.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that:</w:t>
      </w:r>
    </w:p>
    <w:p>
      <w:pPr>
        <w:spacing w:after="40"/>
        <w:ind w:left="1644" w:hanging="357"/>
      </w:pPr>
      <w:r>
        <w:rPr>
          <w:rFonts w:ascii="Cambria" w:hAnsi="Cambria" w:eastAsia="Cambria"/>
          <w:b w:val="0"/>
          <w:i w:val="0"/>
          <w:sz w:val="22"/>
        </w:rPr>
        <w:t>▪</w:t>
        <w:tab/>
      </w:r>
      <w:r>
        <w:rPr>
          <w:rFonts w:ascii="Cambria" w:hAnsi="Cambria" w:eastAsia="Cambria"/>
          <w:b w:val="0"/>
          <w:i w:val="0"/>
          <w:sz w:val="22"/>
        </w:rPr>
        <w:t>Only publications credited to the institution are counted.</w:t>
      </w:r>
    </w:p>
    <w:p>
      <w:pPr>
        <w:spacing w:after="40"/>
        <w:ind w:left="1644" w:hanging="357"/>
      </w:pPr>
      <w:r>
        <w:rPr>
          <w:rFonts w:ascii="Cambria" w:hAnsi="Cambria" w:eastAsia="Cambria"/>
          <w:b w:val="0"/>
          <w:i w:val="0"/>
          <w:sz w:val="22"/>
        </w:rPr>
        <w:t>▪</w:t>
        <w:tab/>
      </w:r>
      <w:r>
        <w:rPr>
          <w:rFonts w:ascii="Cambria" w:hAnsi="Cambria" w:eastAsia="Cambria"/>
          <w:b w:val="0"/>
          <w:i w:val="0"/>
          <w:sz w:val="22"/>
        </w:rPr>
        <w:t>Prevents misattribution (faculty publishing under different or older affiliations).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Filters applied:</w:t>
      </w:r>
    </w:p>
    <w:p>
      <w:pPr>
        <w:spacing w:after="40"/>
        <w:ind w:left="1644" w:hanging="357"/>
      </w:pPr>
      <w:r>
        <w:rPr>
          <w:rFonts w:ascii="Cambria" w:hAnsi="Cambria" w:eastAsia="Cambria"/>
          <w:b w:val="0"/>
          <w:i w:val="0"/>
          <w:sz w:val="22"/>
        </w:rPr>
        <w:t>▪</w:t>
        <w:tab/>
      </w:r>
      <w:r>
        <w:rPr>
          <w:rFonts w:ascii="Cambria" w:hAnsi="Cambria" w:eastAsia="Cambria"/>
          <w:b w:val="0"/>
          <w:i w:val="0"/>
          <w:sz w:val="22"/>
        </w:rPr>
        <w:t>Publication type: Articles, Reviews, Proceedings.</w:t>
      </w:r>
    </w:p>
    <w:p>
      <w:pPr>
        <w:spacing w:after="40"/>
        <w:ind w:left="1644" w:hanging="357"/>
      </w:pPr>
      <w:r>
        <w:rPr>
          <w:rFonts w:ascii="Cambria" w:hAnsi="Cambria" w:eastAsia="Cambria"/>
          <w:b w:val="0"/>
          <w:i w:val="0"/>
          <w:sz w:val="22"/>
        </w:rPr>
        <w:t>▪</w:t>
        <w:tab/>
      </w:r>
      <w:r>
        <w:rPr>
          <w:rFonts w:ascii="Cambria" w:hAnsi="Cambria" w:eastAsia="Cambria"/>
          <w:b w:val="0"/>
          <w:i w:val="0"/>
          <w:sz w:val="22"/>
        </w:rPr>
        <w:t>Year range: Last 3 years (e.g., 2022–2024 for NIRF 2025).</w:t>
      </w:r>
    </w:p>
    <w:p>
      <w:pPr>
        <w:spacing w:after="40" w:line="276" w:lineRule="auto"/>
      </w:pPr>
      <w:r>
        <w:rPr>
          <w:rFonts w:ascii="Cambria" w:hAnsi="Cambria" w:eastAsia="Cambria"/>
          <w:b/>
          <w:i w:val="0"/>
          <w:sz w:val="22"/>
        </w:rPr>
        <w:t>Institutional Records (Supporting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Faculty-Wise Publication List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an internal list of publications with:</w:t>
      </w:r>
    </w:p>
    <w:p>
      <w:pPr>
        <w:spacing w:after="40"/>
        <w:ind w:left="1644" w:hanging="357"/>
      </w:pPr>
      <w:r>
        <w:rPr>
          <w:rFonts w:ascii="Cambria" w:hAnsi="Cambria" w:eastAsia="Cambria"/>
          <w:b w:val="0"/>
          <w:i w:val="0"/>
          <w:sz w:val="22"/>
        </w:rPr>
        <w:t>▪</w:t>
        <w:tab/>
      </w:r>
      <w:r>
        <w:rPr>
          <w:rFonts w:ascii="Cambria" w:hAnsi="Cambria" w:eastAsia="Cambria"/>
          <w:b w:val="0"/>
          <w:i w:val="0"/>
          <w:sz w:val="22"/>
        </w:rPr>
        <w:t>Faculty name.</w:t>
      </w:r>
    </w:p>
    <w:p>
      <w:pPr>
        <w:spacing w:after="40"/>
        <w:ind w:left="1644" w:hanging="357"/>
      </w:pPr>
      <w:r>
        <w:rPr>
          <w:rFonts w:ascii="Cambria" w:hAnsi="Cambria" w:eastAsia="Cambria"/>
          <w:b w:val="0"/>
          <w:i w:val="0"/>
          <w:sz w:val="22"/>
        </w:rPr>
        <w:t>▪</w:t>
        <w:tab/>
      </w:r>
      <w:r>
        <w:rPr>
          <w:rFonts w:ascii="Cambria" w:hAnsi="Cambria" w:eastAsia="Cambria"/>
          <w:b w:val="0"/>
          <w:i w:val="0"/>
          <w:sz w:val="22"/>
        </w:rPr>
        <w:t>Publication title.</w:t>
      </w:r>
    </w:p>
    <w:p>
      <w:pPr>
        <w:spacing w:after="40"/>
        <w:ind w:left="1644" w:hanging="357"/>
      </w:pPr>
      <w:r>
        <w:rPr>
          <w:rFonts w:ascii="Cambria" w:hAnsi="Cambria" w:eastAsia="Cambria"/>
          <w:b w:val="0"/>
          <w:i w:val="0"/>
          <w:sz w:val="22"/>
        </w:rPr>
        <w:t>▪</w:t>
        <w:tab/>
      </w:r>
      <w:r>
        <w:rPr>
          <w:rFonts w:ascii="Cambria" w:hAnsi="Cambria" w:eastAsia="Cambria"/>
          <w:b w:val="0"/>
          <w:i w:val="0"/>
          <w:sz w:val="22"/>
        </w:rPr>
        <w:t>Journal name.</w:t>
      </w:r>
    </w:p>
    <w:p>
      <w:pPr>
        <w:spacing w:after="40"/>
        <w:ind w:left="1644" w:hanging="357"/>
      </w:pPr>
      <w:r>
        <w:rPr>
          <w:rFonts w:ascii="Cambria" w:hAnsi="Cambria" w:eastAsia="Cambria"/>
          <w:b w:val="0"/>
          <w:i w:val="0"/>
          <w:sz w:val="22"/>
        </w:rPr>
        <w:t>▪</w:t>
        <w:tab/>
      </w:r>
      <w:r>
        <w:rPr>
          <w:rFonts w:ascii="Cambria" w:hAnsi="Cambria" w:eastAsia="Cambria"/>
          <w:b w:val="0"/>
          <w:i w:val="0"/>
          <w:sz w:val="22"/>
        </w:rPr>
        <w:t>DOI / Permanent link.</w:t>
      </w:r>
    </w:p>
    <w:p>
      <w:pPr>
        <w:spacing w:after="40"/>
        <w:ind w:left="1644" w:hanging="357"/>
      </w:pPr>
      <w:r>
        <w:rPr>
          <w:rFonts w:ascii="Cambria" w:hAnsi="Cambria" w:eastAsia="Cambria"/>
          <w:b w:val="0"/>
          <w:i w:val="0"/>
          <w:sz w:val="22"/>
        </w:rPr>
        <w:t>▪</w:t>
        <w:tab/>
      </w:r>
      <w:r>
        <w:rPr>
          <w:rFonts w:ascii="Cambria" w:hAnsi="Cambria" w:eastAsia="Cambria"/>
          <w:b w:val="0"/>
          <w:i w:val="0"/>
          <w:sz w:val="22"/>
        </w:rPr>
        <w:t>Source (WoS, Scopus, PubMed).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reconcile external bibliometric data with institutional records.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Annual Reports with Publication Statistics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Consolidated report showing total publications per year.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Acts as supporting evidence when cross-verified with Web of Science exports.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Web of Science Reports (Third Party Verified)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Considered the gold standard for NIRF bibliometric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Direct extraction prevents manipulation of publication counts.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Cross-check with Institutional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Internal faculty-wise list ensures no missing data.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 reports ensure consistency with declared outputs.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Publication count is a major component of Research &amp; Professional Practice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Web of Science ensures authenticity and comparability across institutions.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lists provide transparency and accountability.</w:t>
      </w:r>
    </w:p>
    <w:p>
      <w:r>
        <w:br w:type="page"/>
      </w:r>
    </w:p>
    <w:p>
      <w:pPr>
        <w:keepNext/>
        <w:spacing w:before="360" w:after="160"/>
      </w:pPr>
      <w:r>
        <w:rPr>
          <w:rFonts w:ascii="Cambria" w:hAnsi="Cambria" w:eastAsia="Cambria"/>
          <w:b/>
          <w:i w:val="0"/>
          <w:color w:val="1F3A5F"/>
          <w:sz w:val="36"/>
        </w:rPr>
        <w:t>66. Quality of Publications (CI)</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 = 25 × f(Citations/FRQ)</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Citations = Total citation count of SCI publications over the last 3 years (sourced from Web of Science or other SCI databases).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FRQ = Faculty Reference Quantity = max(required faculty strength as per 1:15 FSR, or actual faculty strength).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discipline/size differences.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25 Marks when the normalized ratio meets/exceeds benchmark values.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Research Impact, Not Just Output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Goes beyond publication count (PU) and evaluates how influential those publications are.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Higher citations = wider recognition, usage, and adoption of research.</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Global Visibility of Research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whose work is cited internationally in top-tier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knowledge contribution to global science &amp; technology.</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Faculty Productivity Normalized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By dividing total citations with FRQ, it measures average citation impact per faculty.</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Faculty Reference Quantity (FRQ) = 200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SCI Citations (3 years) = 18,000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18,000 ÷ 200 = 90 citations per faculty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100 citations/faculty → normalized ratio = 90 ÷ 100 = 0.90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 Score = 25 × 0.90 = 22.5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(Third Party):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Web of Science (SCI) citation database.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Citation counts per institution based on affiliation.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Institutional Records (supporting):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Faculty publication lists with citation numbers.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Departmental research reports.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Captures true quality of research output by checking citation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Distinguishes institutions with globally recognized contributions vs. high-volume but low-impact publishing.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high-impact, innovative, and collaborative research.</w:t>
      </w:r>
    </w:p>
    <w:p>
      <w:pPr>
        <w:spacing w:after="40" w:line="276" w:lineRule="auto"/>
      </w:pPr>
      <w:r>
        <w:rPr>
          <w:rFonts w:ascii="Cambria" w:hAnsi="Cambria" w:eastAsia="Cambria"/>
          <w:b/>
          <w:i w:val="0"/>
          <w:sz w:val="22"/>
        </w:rPr>
        <w:t>Primary Data (Third Party)</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Web of Science (SCI Citation Database)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The official and trusted source for citation data in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Uses Science Citation Index (SCI), which covers high-quality peer-reviewed journals.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citation data is extracted using its affiliation ID / Organization-Enhanced ID.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Citation Counts per Institution (Affiliation-Based)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Total citations of all publications linked to the institution in WoS are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accurate attribution and avoids double-counting.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Only citations from last 3 years' publications are typically considered for NIRF.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Provides normalized citation impact when compared with faculty strength.</w:t>
      </w:r>
    </w:p>
    <w:p>
      <w:pPr>
        <w:spacing w:after="40" w:line="276" w:lineRule="auto"/>
      </w:pPr>
      <w:r>
        <w:rPr>
          <w:rFonts w:ascii="Cambria" w:hAnsi="Cambria" w:eastAsia="Cambria"/>
          <w:b/>
          <w:i w:val="0"/>
          <w:sz w:val="22"/>
        </w:rPr>
        <w:t>Institutional Records (Supporting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Faculty Publication Lists with Citation Numbers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faculty-wise publication records including:</w:t>
      </w:r>
    </w:p>
    <w:p>
      <w:pPr>
        <w:spacing w:after="40"/>
        <w:ind w:left="1644" w:hanging="357"/>
      </w:pPr>
      <w:r>
        <w:rPr>
          <w:rFonts w:ascii="Cambria" w:hAnsi="Cambria" w:eastAsia="Cambria"/>
          <w:b w:val="0"/>
          <w:i w:val="0"/>
          <w:sz w:val="22"/>
        </w:rPr>
        <w:t>▪</w:t>
        <w:tab/>
      </w:r>
      <w:r>
        <w:rPr>
          <w:rFonts w:ascii="Cambria" w:hAnsi="Cambria" w:eastAsia="Cambria"/>
          <w:b w:val="0"/>
          <w:i w:val="0"/>
          <w:sz w:val="22"/>
        </w:rPr>
        <w:t>Publication title.</w:t>
      </w:r>
    </w:p>
    <w:p>
      <w:pPr>
        <w:spacing w:after="40"/>
        <w:ind w:left="1644" w:hanging="357"/>
      </w:pPr>
      <w:r>
        <w:rPr>
          <w:rFonts w:ascii="Cambria" w:hAnsi="Cambria" w:eastAsia="Cambria"/>
          <w:b w:val="0"/>
          <w:i w:val="0"/>
          <w:sz w:val="22"/>
        </w:rPr>
        <w:t>▪</w:t>
        <w:tab/>
      </w:r>
      <w:r>
        <w:rPr>
          <w:rFonts w:ascii="Cambria" w:hAnsi="Cambria" w:eastAsia="Cambria"/>
          <w:b w:val="0"/>
          <w:i w:val="0"/>
          <w:sz w:val="22"/>
        </w:rPr>
        <w:t>Journal name.</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publication.</w:t>
      </w:r>
    </w:p>
    <w:p>
      <w:pPr>
        <w:spacing w:after="40"/>
        <w:ind w:left="1644" w:hanging="357"/>
      </w:pPr>
      <w:r>
        <w:rPr>
          <w:rFonts w:ascii="Cambria" w:hAnsi="Cambria" w:eastAsia="Cambria"/>
          <w:b w:val="0"/>
          <w:i w:val="0"/>
          <w:sz w:val="22"/>
        </w:rPr>
        <w:t>▪</w:t>
        <w:tab/>
      </w:r>
      <w:r>
        <w:rPr>
          <w:rFonts w:ascii="Cambria" w:hAnsi="Cambria" w:eastAsia="Cambria"/>
          <w:b w:val="0"/>
          <w:i w:val="0"/>
          <w:sz w:val="22"/>
        </w:rPr>
        <w:t>Citation count (as per WoS/Scopus/Google Scholar).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Acts as supporting evidence for third-party bibliometric data.</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Departmental Research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Departments compile annual research reports listing publications and citations.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Helps verify institutional-level data with department-level contributions.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Often includes graphs/tables showing growth in citations.</w:t>
      </w:r>
    </w:p>
    <w:p>
      <w:pPr>
        <w:spacing w:after="40" w:line="276" w:lineRule="auto"/>
      </w:pPr>
      <w:r>
        <w:rPr>
          <w:rFonts w:ascii="Cambria" w:hAnsi="Cambria" w:eastAsia="Cambria"/>
          <w:b/>
          <w:i w:val="0"/>
          <w:sz w:val="22"/>
        </w:rPr>
        <w:t>Verification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WoS/SCI Citation Database (Third Party)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NIRF extracts official citation counts directly from Web of Science.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Prevents manipulation or inflation of institutional citation claims.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Cross-Check with Institutional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Internal faculty lists and departmental reports ensure alignment.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Differences are reconciled via DOI-level checking.</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Citation count is a direct indicator of research quality and global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Used in the Research &amp; Professional Practice (RP) parameter.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publish in high-impact, well-cited journals.</w:t>
      </w:r>
    </w:p>
    <w:p>
      <w:r>
        <w:br w:type="page"/>
      </w:r>
    </w:p>
    <w:p>
      <w:pPr>
        <w:keepNext/>
        <w:spacing w:before="360" w:after="160"/>
      </w:pPr>
      <w:r>
        <w:rPr>
          <w:rFonts w:ascii="Cambria" w:hAnsi="Cambria" w:eastAsia="Cambria"/>
          <w:b/>
          <w:i w:val="0"/>
          <w:color w:val="1F3A5F"/>
          <w:sz w:val="36"/>
        </w:rPr>
        <w:t>67. Ventures/Startups Recognized by DPIIT/Startup India (SU)</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 = 20 × f(Nsu)</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Nsu = Number of ventures/startups officially recognized by DPIIT/Startup India (cumulative or in the last 3 years, as per NIRF's data format).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ensure comparability across institutions of different sizes.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when the institution achieves or exceeds NIRF's benchmark value (discipline/size-specific).</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Recognition of Institutional Startups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the number of student/faculty/startup incubated ventures that are officially registered under DPIIT/Startup India portal.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that ventures meet eligibility criteria (innovative product/service, scalability, &lt;10 years old, etc.).</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Institutional Entrepreneurial Ecosystem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the capacity of the HEI to create job-creators, not just job-seekers.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incubation, mentoring, seed funding, and innovation policies.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Policy Alignment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Aligns with Government of India's Startup India initiative.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contribution to the Atmanirbhar Bharat and innovation-driven economy.</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Suppose NIRF benchmark = 50 recognized startups.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 35 DPIIT-recognized startups.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35 ÷ 50 = 0.70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 Score = 20 × 0.70 = 14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list of recognized startups, with Startup India/DPIIT recognition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Founders (student/faculty/alumni), sector, date of registration, and incubation support details.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DPIIT/Startup India portal (https://www.startupindia.gov.in/).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Incubation Cell/EDC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MoUs with accelerators, incubators, or DST-supported TBI/STEP.</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real-world entrepreneurial success emerging from the campus.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industry–academia–government linkages.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Adds value to regional/national innovation ecosystem.</w:t>
      </w:r>
    </w:p>
    <w:p>
      <w:r>
        <w:br w:type="page"/>
      </w:r>
    </w:p>
    <w:p>
      <w:pPr>
        <w:keepNext/>
        <w:spacing w:before="360" w:after="160"/>
      </w:pPr>
      <w:r>
        <w:rPr>
          <w:rFonts w:ascii="Cambria" w:hAnsi="Cambria" w:eastAsia="Cambria"/>
          <w:b/>
          <w:i w:val="0"/>
          <w:color w:val="1F3A5F"/>
          <w:sz w:val="36"/>
        </w:rPr>
        <w:t>68. Ventures/Startups Receiving VC Investment (VCI)</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VCI = 25 × f(Nvci)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Nvci = Number of institutional startups/ventures that received verified venture capital (VC) funding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balance institutions of different sizes.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25 Marks when an institution achieves/exceeds the NIRF benchmark number of VC-backed startups.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Access to Private Capital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whether startups incubated at the institution are commercially attractive to investors.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scalability, product-market fit, and growth readiness of student/faculty ventures.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Validation of Startup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VC investment serves as a third-party validation of the innovation ecosystem's quality.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Attracting VC funds means startups are beyond prototype stage and are ready for market expansion.</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Institutional Innovation Strength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not only incubate startups but also support them towards fundraising through mentorship, demo days, investor networks.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Suppose NIRF benchmark = 20 startups with VC investment.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 12 startups that raised VC in the last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12 ÷ 20 = 0.60</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VCI Score = 25 × 0.60 = 15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startups incubated/linked with institution that raised VC funding.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 of funding, startup founders, sector, amount invested.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VC funding agreements, investor press releases, official filings (MCA, SEBI).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Certificates/letters from VC firms.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incubation records and MoUs with investors.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VC-backed startups are more likely to scale, create jobs, and attract global recognition.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real-world impact of institutional innovation ecosystems.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a culture of entrepreneurship + external capital infusion.</w:t>
      </w:r>
    </w:p>
    <w:p>
      <w:r>
        <w:br w:type="page"/>
      </w:r>
    </w:p>
    <w:p>
      <w:pPr>
        <w:keepNext/>
        <w:spacing w:before="360" w:after="160"/>
      </w:pPr>
      <w:r>
        <w:rPr>
          <w:rFonts w:ascii="Cambria" w:hAnsi="Cambria" w:eastAsia="Cambria"/>
          <w:b/>
          <w:i w:val="0"/>
          <w:color w:val="1F3A5F"/>
          <w:sz w:val="36"/>
        </w:rPr>
        <w:t>69. FDI Investment in Ventures/Startups (FDII)</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FDII = 25 × f(Nfdi)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Nfdi = Number of institutional ventures/startups that have received verified Foreign Direct Investment (FDI)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used by NIRF to balance across institutions of different sizes and disciplines.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25 Marks when the institution reaches or exceeds NIRF's benchmark for FDI-backed ventures.</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Global Investor Confidence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Shows the ability of institutional startups to attract international investors, demonstrating world-class scalability and global appeal.</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Internationalization of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Reflects how well startups are integrated into global value chains.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FDI typically comes with technology transfer, partnerships, and global market access.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Maturity of Innovation Ecosystem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institutions to help startups build credibility, legal compliance, and global networks needed to raise FDI.</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 10 startups with FDI.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 6 startups with verified FDI inflows.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6 ÷ 10 = 0.6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FDII Score = 25 × 0.6 = 15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ventures/startups incubated or supported by the institution that received FDI.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 of investment, startup founders, sector, amount received.</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RBI filings under FEMA (Foreign Exchange Management 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MCA filings with FDI entries.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FDI receipts, foreign investment agreements.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Investor press releases and due diligence reports.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Attracting FDI is a strong indicator of global competitiveness.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that institutional startups meet international standards of innovation and governance.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India's positioning in global innovation rankings.</w:t>
      </w:r>
    </w:p>
    <w:p>
      <w:r>
        <w:br w:type="page"/>
      </w:r>
    </w:p>
    <w:p>
      <w:pPr>
        <w:keepNext/>
        <w:spacing w:before="360" w:after="160"/>
      </w:pPr>
      <w:r>
        <w:rPr>
          <w:rFonts w:ascii="Cambria" w:hAnsi="Cambria" w:eastAsia="Cambria"/>
          <w:b/>
          <w:i w:val="0"/>
          <w:color w:val="1F3A5F"/>
          <w:sz w:val="36"/>
        </w:rPr>
        <w:t>70. Innovation Grants from Government (IG)</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IG = 30 × f(Nig)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Nig = Total number/value of institutional ventures/startups that received verified Innovation Grants from Central/State Government agencies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used by NIRF to balance different institution sizes.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are awarded if the institution's startups achieve or exceed the benchmark grant level (amount/startups count) specified by NIRF.</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Public Sector Support for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the extent to which the institution's startups/ventures have been able to win competitive grants from government schemes.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Indicates credibility and impact of institutional innovation.</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Government-Industry-Academia Alignment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Encourages startups to leverage flagship programs such as:</w:t>
      </w:r>
    </w:p>
    <w:p>
      <w:pPr>
        <w:spacing w:after="40"/>
        <w:ind w:left="1644" w:hanging="357"/>
      </w:pPr>
      <w:r>
        <w:rPr>
          <w:rFonts w:ascii="Cambria" w:hAnsi="Cambria" w:eastAsia="Cambria"/>
          <w:b w:val="0"/>
          <w:i w:val="0"/>
          <w:sz w:val="22"/>
        </w:rPr>
        <w:t>▪</w:t>
        <w:tab/>
      </w:r>
      <w:r>
        <w:rPr>
          <w:rFonts w:ascii="Cambria" w:hAnsi="Cambria" w:eastAsia="Cambria"/>
          <w:b w:val="0"/>
          <w:i w:val="0"/>
          <w:sz w:val="22"/>
        </w:rPr>
        <w:t>DST NIDHI/PRAYAS</w:t>
      </w:r>
    </w:p>
    <w:p>
      <w:pPr>
        <w:spacing w:after="40"/>
        <w:ind w:left="1644" w:hanging="357"/>
      </w:pPr>
      <w:r>
        <w:rPr>
          <w:rFonts w:ascii="Cambria" w:hAnsi="Cambria" w:eastAsia="Cambria"/>
          <w:b w:val="0"/>
          <w:i w:val="0"/>
          <w:sz w:val="22"/>
        </w:rPr>
        <w:t>▪</w:t>
        <w:tab/>
      </w:r>
      <w:r>
        <w:rPr>
          <w:rFonts w:ascii="Cambria" w:hAnsi="Cambria" w:eastAsia="Cambria"/>
          <w:b w:val="0"/>
          <w:i w:val="0"/>
          <w:sz w:val="22"/>
        </w:rPr>
        <w:t>DBT-BIRAC BIG Grants</w:t>
      </w:r>
    </w:p>
    <w:p>
      <w:pPr>
        <w:spacing w:after="40"/>
        <w:ind w:left="1644" w:hanging="357"/>
      </w:pPr>
      <w:r>
        <w:rPr>
          <w:rFonts w:ascii="Cambria" w:hAnsi="Cambria" w:eastAsia="Cambria"/>
          <w:b w:val="0"/>
          <w:i w:val="0"/>
          <w:sz w:val="22"/>
        </w:rPr>
        <w:t>▪</w:t>
        <w:tab/>
      </w:r>
      <w:r>
        <w:rPr>
          <w:rFonts w:ascii="Cambria" w:hAnsi="Cambria" w:eastAsia="Cambria"/>
          <w:b w:val="0"/>
          <w:i w:val="0"/>
          <w:sz w:val="22"/>
        </w:rPr>
        <w:t>MeitY TIDE Grants</w:t>
      </w:r>
    </w:p>
    <w:p>
      <w:pPr>
        <w:spacing w:after="40"/>
        <w:ind w:left="1644" w:hanging="357"/>
      </w:pPr>
      <w:r>
        <w:rPr>
          <w:rFonts w:ascii="Cambria" w:hAnsi="Cambria" w:eastAsia="Cambria"/>
          <w:b w:val="0"/>
          <w:i w:val="0"/>
          <w:sz w:val="22"/>
        </w:rPr>
        <w:t>▪</w:t>
        <w:tab/>
      </w:r>
      <w:r>
        <w:rPr>
          <w:rFonts w:ascii="Cambria" w:hAnsi="Cambria" w:eastAsia="Cambria"/>
          <w:b w:val="0"/>
          <w:i w:val="0"/>
          <w:sz w:val="22"/>
        </w:rPr>
        <w:t>AICTE IDEA Labs</w:t>
      </w:r>
    </w:p>
    <w:p>
      <w:pPr>
        <w:spacing w:after="40"/>
        <w:ind w:left="1644" w:hanging="357"/>
      </w:pPr>
      <w:r>
        <w:rPr>
          <w:rFonts w:ascii="Cambria" w:hAnsi="Cambria" w:eastAsia="Cambria"/>
          <w:b w:val="0"/>
          <w:i w:val="0"/>
          <w:sz w:val="22"/>
        </w:rPr>
        <w:t>▪</w:t>
        <w:tab/>
      </w:r>
      <w:r>
        <w:rPr>
          <w:rFonts w:ascii="Cambria" w:hAnsi="Cambria" w:eastAsia="Cambria"/>
          <w:b w:val="0"/>
          <w:i w:val="0"/>
          <w:sz w:val="22"/>
        </w:rPr>
        <w:t>MSME Seed Grants</w:t>
      </w:r>
    </w:p>
    <w:p>
      <w:pPr>
        <w:spacing w:after="40"/>
        <w:ind w:left="1644" w:hanging="357"/>
      </w:pPr>
      <w:r>
        <w:rPr>
          <w:rFonts w:ascii="Cambria" w:hAnsi="Cambria" w:eastAsia="Cambria"/>
          <w:b w:val="0"/>
          <w:i w:val="0"/>
          <w:sz w:val="22"/>
        </w:rPr>
        <w:t>▪</w:t>
        <w:tab/>
      </w:r>
      <w:r>
        <w:rPr>
          <w:rFonts w:ascii="Cambria" w:hAnsi="Cambria" w:eastAsia="Cambria"/>
          <w:b w:val="0"/>
          <w:i w:val="0"/>
          <w:sz w:val="22"/>
        </w:rPr>
        <w:t>State Innovation Funds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Risk-free Seed Funding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Unlike VC/FDI, government grants are non-dilutive funding.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Promotes early-stage prototyping and technology validation.</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Suppose NIRF benchmark = ₹20 Cr of grants awarded across institutional startups in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 ₹12 Cr.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12 ÷ 20 = 0.6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IG Score = 30 × 0.6 = 18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startups/ventures that received grants.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Agency name, year, grant amount, purpose.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Sanction letters from ministries (DST, DBT, MeitY, MSME, AICTE, State Govts.).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Disbursement proofs, utilization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Annual reports of incubators/innovation councils.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startups that successfully compete for public grants.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innovation pipelines at the idea/prototype stage.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Signals institutional support in helping students/faculty apply for and win government innovation schemes.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List of Startups/Ventures that Received Grants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a year-wise list of startups/ventures incubated or supported by the institution that secured external grants.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entry should clearly mention:</w:t>
      </w:r>
    </w:p>
    <w:p>
      <w:pPr>
        <w:spacing w:after="40"/>
        <w:ind w:left="1644" w:hanging="357"/>
      </w:pPr>
      <w:r>
        <w:rPr>
          <w:rFonts w:ascii="Cambria" w:hAnsi="Cambria" w:eastAsia="Cambria"/>
          <w:b w:val="0"/>
          <w:i w:val="0"/>
          <w:sz w:val="22"/>
        </w:rPr>
        <w:t>▪</w:t>
        <w:tab/>
      </w:r>
      <w:r>
        <w:rPr>
          <w:rFonts w:ascii="Cambria" w:hAnsi="Cambria" w:eastAsia="Cambria"/>
          <w:b w:val="0"/>
          <w:i w:val="0"/>
          <w:sz w:val="22"/>
        </w:rPr>
        <w:t>Startup/Venture name.</w:t>
      </w:r>
    </w:p>
    <w:p>
      <w:pPr>
        <w:spacing w:after="40"/>
        <w:ind w:left="1644" w:hanging="357"/>
      </w:pPr>
      <w:r>
        <w:rPr>
          <w:rFonts w:ascii="Cambria" w:hAnsi="Cambria" w:eastAsia="Cambria"/>
          <w:b w:val="0"/>
          <w:i w:val="0"/>
          <w:sz w:val="22"/>
        </w:rPr>
        <w:t>▪</w:t>
        <w:tab/>
      </w:r>
      <w:r>
        <w:rPr>
          <w:rFonts w:ascii="Cambria" w:hAnsi="Cambria" w:eastAsia="Cambria"/>
          <w:b w:val="0"/>
          <w:i w:val="0"/>
          <w:sz w:val="22"/>
        </w:rPr>
        <w:t>Founder details (student, faculty, alumni, or external).</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grant approval.</w:t>
      </w:r>
    </w:p>
    <w:p>
      <w:pPr>
        <w:spacing w:after="40"/>
        <w:ind w:left="1644" w:hanging="357"/>
      </w:pPr>
      <w:r>
        <w:rPr>
          <w:rFonts w:ascii="Cambria" w:hAnsi="Cambria" w:eastAsia="Cambria"/>
          <w:b w:val="0"/>
          <w:i w:val="0"/>
          <w:sz w:val="22"/>
        </w:rPr>
        <w:t>▪</w:t>
        <w:tab/>
      </w:r>
      <w:r>
        <w:rPr>
          <w:rFonts w:ascii="Cambria" w:hAnsi="Cambria" w:eastAsia="Cambria"/>
          <w:b w:val="0"/>
          <w:i w:val="0"/>
          <w:sz w:val="22"/>
        </w:rPr>
        <w:t>Sector/domain (e.g., AgriTech, HealthTech, AI/IoT).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Agency Name, Year, Grant Amount, Purpose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include details of funding agency such as:</w:t>
      </w:r>
    </w:p>
    <w:p>
      <w:pPr>
        <w:spacing w:after="40"/>
        <w:ind w:left="1644" w:hanging="357"/>
      </w:pPr>
      <w:r>
        <w:rPr>
          <w:rFonts w:ascii="Cambria" w:hAnsi="Cambria" w:eastAsia="Cambria"/>
          <w:b w:val="0"/>
          <w:i w:val="0"/>
          <w:sz w:val="22"/>
        </w:rPr>
        <w:t>▪</w:t>
        <w:tab/>
      </w:r>
      <w:r>
        <w:rPr>
          <w:rFonts w:ascii="Cambria" w:hAnsi="Cambria" w:eastAsia="Cambria"/>
          <w:b w:val="0"/>
          <w:i w:val="0"/>
          <w:sz w:val="22"/>
        </w:rPr>
        <w:t>DST (Department of Science &amp; Technology).</w:t>
      </w:r>
    </w:p>
    <w:p>
      <w:pPr>
        <w:spacing w:after="40"/>
        <w:ind w:left="1644" w:hanging="357"/>
      </w:pPr>
      <w:r>
        <w:rPr>
          <w:rFonts w:ascii="Cambria" w:hAnsi="Cambria" w:eastAsia="Cambria"/>
          <w:b w:val="0"/>
          <w:i w:val="0"/>
          <w:sz w:val="22"/>
        </w:rPr>
        <w:t>▪</w:t>
        <w:tab/>
      </w:r>
      <w:r>
        <w:rPr>
          <w:rFonts w:ascii="Cambria" w:hAnsi="Cambria" w:eastAsia="Cambria"/>
          <w:b w:val="0"/>
          <w:i w:val="0"/>
          <w:sz w:val="22"/>
        </w:rPr>
        <w:t>DBT (Department of Biotechnology).</w:t>
      </w:r>
    </w:p>
    <w:p>
      <w:pPr>
        <w:spacing w:after="40"/>
        <w:ind w:left="1644" w:hanging="357"/>
      </w:pPr>
      <w:r>
        <w:rPr>
          <w:rFonts w:ascii="Cambria" w:hAnsi="Cambria" w:eastAsia="Cambria"/>
          <w:b w:val="0"/>
          <w:i w:val="0"/>
          <w:sz w:val="22"/>
        </w:rPr>
        <w:t>▪</w:t>
        <w:tab/>
      </w:r>
      <w:r>
        <w:rPr>
          <w:rFonts w:ascii="Cambria" w:hAnsi="Cambria" w:eastAsia="Cambria"/>
          <w:b w:val="0"/>
          <w:i w:val="0"/>
          <w:sz w:val="22"/>
        </w:rPr>
        <w:t>MeitY (Ministry of Electronics &amp; IT).</w:t>
      </w:r>
    </w:p>
    <w:p>
      <w:pPr>
        <w:spacing w:after="40"/>
        <w:ind w:left="1644" w:hanging="357"/>
      </w:pPr>
      <w:r>
        <w:rPr>
          <w:rFonts w:ascii="Cambria" w:hAnsi="Cambria" w:eastAsia="Cambria"/>
          <w:b w:val="0"/>
          <w:i w:val="0"/>
          <w:sz w:val="22"/>
        </w:rPr>
        <w:t>▪</w:t>
        <w:tab/>
      </w:r>
      <w:r>
        <w:rPr>
          <w:rFonts w:ascii="Cambria" w:hAnsi="Cambria" w:eastAsia="Cambria"/>
          <w:b w:val="0"/>
          <w:i w:val="0"/>
          <w:sz w:val="22"/>
        </w:rPr>
        <w:t>MSME (Micro, Small &amp; Medium Enterprises).</w:t>
      </w:r>
    </w:p>
    <w:p>
      <w:pPr>
        <w:spacing w:after="40"/>
        <w:ind w:left="1644" w:hanging="357"/>
      </w:pPr>
      <w:r>
        <w:rPr>
          <w:rFonts w:ascii="Cambria" w:hAnsi="Cambria" w:eastAsia="Cambria"/>
          <w:b w:val="0"/>
          <w:i w:val="0"/>
          <w:sz w:val="22"/>
        </w:rPr>
        <w:t>▪</w:t>
        <w:tab/>
      </w:r>
      <w:r>
        <w:rPr>
          <w:rFonts w:ascii="Cambria" w:hAnsi="Cambria" w:eastAsia="Cambria"/>
          <w:b w:val="0"/>
          <w:i w:val="0"/>
          <w:sz w:val="22"/>
        </w:rPr>
        <w:t>AICTE, State Government Schemes, CSR funds, etc.</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Reported data should cover:</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sanction.</w:t>
      </w:r>
    </w:p>
    <w:p>
      <w:pPr>
        <w:spacing w:after="40"/>
        <w:ind w:left="1644" w:hanging="357"/>
      </w:pPr>
      <w:r>
        <w:rPr>
          <w:rFonts w:ascii="Cambria" w:hAnsi="Cambria" w:eastAsia="Cambria"/>
          <w:b w:val="0"/>
          <w:i w:val="0"/>
          <w:sz w:val="22"/>
        </w:rPr>
        <w:t>▪</w:t>
        <w:tab/>
      </w:r>
      <w:r>
        <w:rPr>
          <w:rFonts w:ascii="Cambria" w:hAnsi="Cambria" w:eastAsia="Cambria"/>
          <w:b w:val="0"/>
          <w:i w:val="0"/>
          <w:sz w:val="22"/>
        </w:rPr>
        <w:t>Grant amount (₹).</w:t>
      </w:r>
    </w:p>
    <w:p>
      <w:pPr>
        <w:spacing w:after="40"/>
        <w:ind w:left="1644" w:hanging="357"/>
      </w:pPr>
      <w:r>
        <w:rPr>
          <w:rFonts w:ascii="Cambria" w:hAnsi="Cambria" w:eastAsia="Cambria"/>
          <w:b w:val="0"/>
          <w:i w:val="0"/>
          <w:sz w:val="22"/>
        </w:rPr>
        <w:t>▪</w:t>
        <w:tab/>
      </w:r>
      <w:r>
        <w:rPr>
          <w:rFonts w:ascii="Cambria" w:hAnsi="Cambria" w:eastAsia="Cambria"/>
          <w:b w:val="0"/>
          <w:i w:val="0"/>
          <w:sz w:val="22"/>
        </w:rPr>
        <w:t>Purpose/Project Title (prototype development, commercialization, scaling up, etc.).</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Sanction Letters from Ministries/Agencies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sanction/approval letters issued by funding agencies.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legitimacy of the grant.</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Disbursement Proofs, Utilization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Bank receipts and financial statements proving grant disbursal.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Utilization Certificates (UCs) signed by institution accounts confirming fund usage.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Annual Reports of Incubators/Innovation Councils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Incubation cells and IIC (Institution's Innovation Council) include grant details in their annual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as supporting evidence for NIRF reporting.</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institutional ecosystem support for entrepreneurship and innovation.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Measures how effectively institutions attract government and external funding for startups.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Adds to Research &amp; Professional Practice (RP) and Outreach &amp; Inclusivity (OI) scores.</w:t>
      </w:r>
    </w:p>
    <w:p>
      <w:r>
        <w:br w:type="page"/>
      </w:r>
    </w:p>
    <w:p>
      <w:pPr>
        <w:keepNext/>
        <w:spacing w:before="360" w:after="160"/>
      </w:pPr>
      <w:r>
        <w:rPr>
          <w:rFonts w:ascii="Cambria" w:hAnsi="Cambria" w:eastAsia="Cambria"/>
          <w:b/>
          <w:i w:val="0"/>
          <w:color w:val="1F3A5F"/>
          <w:sz w:val="36"/>
        </w:rPr>
        <w:t>71. Innovations at Various Technology Readiness Levels (ITRL)</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ITRL = 40 × f(Nitr)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Nitr = Weighted count of innovations/projects developed at different TRL stages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ensuring fairness across institution size and sector.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40 Marks are awarded when an institution achieves or exceeds the benchmark number of innovations across TRLs.</w:t>
      </w:r>
    </w:p>
    <w:p>
      <w:pPr>
        <w:spacing w:after="40" w:line="276" w:lineRule="auto"/>
      </w:pPr>
      <w:r>
        <w:rPr>
          <w:rFonts w:ascii="Cambria" w:hAnsi="Cambria" w:eastAsia="Cambria"/>
          <w:b/>
          <w:i w:val="0"/>
          <w:sz w:val="22"/>
        </w:rPr>
        <w:t>Technology Readiness Levels (TRL Framework)</w:t>
      </w:r>
    </w:p>
    <w:p>
      <w:pPr>
        <w:spacing w:after="120" w:line="276" w:lineRule="auto"/>
        <w:jc w:val="both"/>
      </w:pPr>
      <w:r>
        <w:rPr>
          <w:rFonts w:ascii="Cambria" w:hAnsi="Cambria" w:eastAsia="Cambria"/>
          <w:b w:val="0"/>
          <w:i w:val="0"/>
          <w:sz w:val="22"/>
        </w:rPr>
        <w:t>The TRL framework is used worldwide (NASA/DoD, now adopted in India for innovation ranking) to track maturity of innovations.</w:t>
      </w:r>
    </w:p>
    <w:p>
      <w:pPr>
        <w:spacing w:line="276" w:lineRule="auto" w:after="40"/>
        <w:ind w:left="357" w:hanging="357"/>
      </w:pPr>
      <w:r>
        <w:rPr>
          <w:rFonts w:ascii="Cambria" w:hAnsi="Cambria" w:eastAsia="Cambria"/>
          <w:b w:val="0"/>
          <w:i w:val="0"/>
          <w:sz w:val="22"/>
        </w:rPr>
        <w:t>1.</w:t>
        <w:tab/>
      </w:r>
      <w:r>
        <w:rPr>
          <w:rFonts w:ascii="Cambria" w:hAnsi="Cambria" w:eastAsia="Cambria"/>
          <w:b w:val="0"/>
          <w:i w:val="0"/>
          <w:sz w:val="22"/>
        </w:rPr>
        <w:t>TRL 1–2: Idea, basic principles observed, concept formulated.</w:t>
      </w:r>
    </w:p>
    <w:p>
      <w:pPr>
        <w:spacing w:line="276" w:lineRule="auto" w:after="40"/>
        <w:ind w:left="357" w:hanging="357"/>
      </w:pPr>
      <w:r>
        <w:rPr>
          <w:rFonts w:ascii="Cambria" w:hAnsi="Cambria" w:eastAsia="Cambria"/>
          <w:b w:val="0"/>
          <w:i w:val="0"/>
          <w:sz w:val="22"/>
        </w:rPr>
        <w:t>2.</w:t>
        <w:tab/>
      </w:r>
      <w:r>
        <w:rPr>
          <w:rFonts w:ascii="Cambria" w:hAnsi="Cambria" w:eastAsia="Cambria"/>
          <w:b w:val="0"/>
          <w:i w:val="0"/>
          <w:sz w:val="22"/>
        </w:rPr>
        <w:t>TRL 3–4: Proof of concept validated, lab-scale experimentation.</w:t>
      </w:r>
    </w:p>
    <w:p>
      <w:pPr>
        <w:spacing w:line="276" w:lineRule="auto" w:after="40"/>
        <w:ind w:left="357" w:hanging="357"/>
      </w:pPr>
      <w:r>
        <w:rPr>
          <w:rFonts w:ascii="Cambria" w:hAnsi="Cambria" w:eastAsia="Cambria"/>
          <w:b w:val="0"/>
          <w:i w:val="0"/>
          <w:sz w:val="22"/>
        </w:rPr>
        <w:t>3.</w:t>
        <w:tab/>
      </w:r>
      <w:r>
        <w:rPr>
          <w:rFonts w:ascii="Cambria" w:hAnsi="Cambria" w:eastAsia="Cambria"/>
          <w:b w:val="0"/>
          <w:i w:val="0"/>
          <w:sz w:val="22"/>
        </w:rPr>
        <w:t>TRL 5–6: Prototyping, validation in simulated/real environment.</w:t>
      </w:r>
    </w:p>
    <w:p>
      <w:pPr>
        <w:spacing w:line="276" w:lineRule="auto" w:after="40"/>
        <w:ind w:left="357" w:hanging="357"/>
      </w:pPr>
      <w:r>
        <w:rPr>
          <w:rFonts w:ascii="Cambria" w:hAnsi="Cambria" w:eastAsia="Cambria"/>
          <w:b w:val="0"/>
          <w:i w:val="0"/>
          <w:sz w:val="22"/>
        </w:rPr>
        <w:t>4.</w:t>
        <w:tab/>
      </w:r>
      <w:r>
        <w:rPr>
          <w:rFonts w:ascii="Cambria" w:hAnsi="Cambria" w:eastAsia="Cambria"/>
          <w:b w:val="0"/>
          <w:i w:val="0"/>
          <w:sz w:val="22"/>
        </w:rPr>
        <w:t>TRL 7–8: Pilot production, system prototype demonstrated.</w:t>
      </w:r>
    </w:p>
    <w:p>
      <w:pPr>
        <w:spacing w:line="276" w:lineRule="auto" w:after="40"/>
        <w:ind w:left="357" w:hanging="357"/>
      </w:pPr>
      <w:r>
        <w:rPr>
          <w:rFonts w:ascii="Cambria" w:hAnsi="Cambria" w:eastAsia="Cambria"/>
          <w:b w:val="0"/>
          <w:i w:val="0"/>
          <w:sz w:val="22"/>
        </w:rPr>
        <w:t>5.</w:t>
        <w:tab/>
      </w:r>
      <w:r>
        <w:rPr>
          <w:rFonts w:ascii="Cambria" w:hAnsi="Cambria" w:eastAsia="Cambria"/>
          <w:b w:val="0"/>
          <w:i w:val="0"/>
          <w:sz w:val="22"/>
        </w:rPr>
        <w:t>TRL 9: Full deployment, innovation commercially operational.</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Depth of Innovation Pipeline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innovations/projects across the entire lifecycle, from ideation to commercialization.</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Balanced Ecosystem</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institutions that don't just focus on ideas, but also advance technologies toward market-ready solutions.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Maturity Tracking</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Captures whether institutions are creating commercially viable outputs (TRL 7–9) in addition to academic prototypes.</w:t>
      </w:r>
    </w:p>
    <w:p>
      <w:pPr>
        <w:spacing w:after="40" w:line="276" w:lineRule="auto"/>
      </w:pPr>
      <w:r>
        <w:rPr>
          <w:rFonts w:ascii="Cambria" w:hAnsi="Cambria" w:eastAsia="Cambria"/>
          <w:b/>
          <w:i w:val="0"/>
          <w:sz w:val="22"/>
        </w:rPr>
        <w:t>Scoring Method (Indicative)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Each innovation is assigned a weight based on TRL stage (higher TRL = more weight).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Example (illustrative weights):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TRL 1–3 = 0.5 marks per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TRL 4–6 = 1.0 mark per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TRL 7–8 = 2.0 marks per innovation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TRL 9 = 3.0 marks per innovation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Total weighted score → normalized → scaled to 40 Marks.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10 innovations at TRL 1–3 → 10 × 0.5 = 5</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8 innovations at TRL 4–6 → 8 × 1.0 = 8</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4 innovations at TRL 7–8 → 4 × 2.0 = 8</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2 innovations at TRL 9 → 2 × 3.0 = 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Weighted total = 27</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If benchmark = 30, normalized ratio = 27 ÷ 30 = 0.9</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ITRL = 40 × 0.9 = 36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innovations, TRL classification, year, sector.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of TRL status (lab reports, prototype demos, pilot studies, commercialization proof).</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IPR cell, incubator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Technology transfer/licensing agreements.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Product deployment certificates.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Captures not just innovation quantity, but quality and maturity.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push more innovations from labs to market.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impact of academia-driven innovation in the national economy and industry adoption.</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List of Innovations with TRL Classification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a record of innovations and technologies developed, categorized as per Technology Readiness Levels (TRL 1–9).</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Each entry should include:</w:t>
      </w:r>
    </w:p>
    <w:p>
      <w:pPr>
        <w:spacing w:after="40"/>
        <w:ind w:left="1644" w:hanging="357"/>
      </w:pPr>
      <w:r>
        <w:rPr>
          <w:rFonts w:ascii="Cambria" w:hAnsi="Cambria" w:eastAsia="Cambria"/>
          <w:b w:val="0"/>
          <w:i w:val="0"/>
          <w:sz w:val="22"/>
        </w:rPr>
        <w:t>▪</w:t>
        <w:tab/>
      </w:r>
      <w:r>
        <w:rPr>
          <w:rFonts w:ascii="Cambria" w:hAnsi="Cambria" w:eastAsia="Cambria"/>
          <w:b w:val="0"/>
          <w:i w:val="0"/>
          <w:sz w:val="22"/>
        </w:rPr>
        <w:t>Innovation/Technology Name.</w:t>
      </w:r>
    </w:p>
    <w:p>
      <w:pPr>
        <w:spacing w:after="40"/>
        <w:ind w:left="1644" w:hanging="357"/>
      </w:pPr>
      <w:r>
        <w:rPr>
          <w:rFonts w:ascii="Cambria" w:hAnsi="Cambria" w:eastAsia="Cambria"/>
          <w:b w:val="0"/>
          <w:i w:val="0"/>
          <w:sz w:val="22"/>
        </w:rPr>
        <w:t>▪</w:t>
        <w:tab/>
      </w:r>
      <w:r>
        <w:rPr>
          <w:rFonts w:ascii="Cambria" w:hAnsi="Cambria" w:eastAsia="Cambria"/>
          <w:b w:val="0"/>
          <w:i w:val="0"/>
          <w:sz w:val="22"/>
        </w:rPr>
        <w:t>TRL Stage (from concept → prototype → commercialization).</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development/advancement.</w:t>
      </w:r>
    </w:p>
    <w:p>
      <w:pPr>
        <w:spacing w:after="40"/>
        <w:ind w:left="1644" w:hanging="357"/>
      </w:pPr>
      <w:r>
        <w:rPr>
          <w:rFonts w:ascii="Cambria" w:hAnsi="Cambria" w:eastAsia="Cambria"/>
          <w:b w:val="0"/>
          <w:i w:val="0"/>
          <w:sz w:val="22"/>
        </w:rPr>
        <w:t>▪</w:t>
        <w:tab/>
      </w:r>
      <w:r>
        <w:rPr>
          <w:rFonts w:ascii="Cambria" w:hAnsi="Cambria" w:eastAsia="Cambria"/>
          <w:b w:val="0"/>
          <w:i w:val="0"/>
          <w:sz w:val="22"/>
        </w:rPr>
        <w:t>Sector/Domain (e.g., HealthTech, AgriTech, Energy, AI/ML).</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Evidence of TRL Status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Institutions must provide documentation corresponding to the TRL stage:</w:t>
      </w:r>
    </w:p>
    <w:p>
      <w:pPr>
        <w:spacing w:after="40"/>
        <w:ind w:left="1644" w:hanging="357"/>
      </w:pPr>
      <w:r>
        <w:rPr>
          <w:rFonts w:ascii="Cambria" w:hAnsi="Cambria" w:eastAsia="Cambria"/>
          <w:b w:val="0"/>
          <w:i w:val="0"/>
          <w:sz w:val="22"/>
        </w:rPr>
        <w:t>▪</w:t>
        <w:tab/>
      </w:r>
      <w:r>
        <w:rPr>
          <w:rFonts w:ascii="Cambria" w:hAnsi="Cambria" w:eastAsia="Cambria"/>
          <w:b w:val="0"/>
          <w:i w:val="0"/>
          <w:sz w:val="22"/>
        </w:rPr>
        <w:t>TRL 3–4: Lab test reports, experimental proof of concept.</w:t>
      </w:r>
    </w:p>
    <w:p>
      <w:pPr>
        <w:spacing w:after="40"/>
        <w:ind w:left="1644" w:hanging="357"/>
      </w:pPr>
      <w:r>
        <w:rPr>
          <w:rFonts w:ascii="Cambria" w:hAnsi="Cambria" w:eastAsia="Cambria"/>
          <w:b w:val="0"/>
          <w:i w:val="0"/>
          <w:sz w:val="22"/>
        </w:rPr>
        <w:t>▪</w:t>
        <w:tab/>
      </w:r>
      <w:r>
        <w:rPr>
          <w:rFonts w:ascii="Cambria" w:hAnsi="Cambria" w:eastAsia="Cambria"/>
          <w:b w:val="0"/>
          <w:i w:val="0"/>
          <w:sz w:val="22"/>
        </w:rPr>
        <w:t>TRL 5–6: Prototype demo reports, pilot testing in relevant environments.</w:t>
      </w:r>
    </w:p>
    <w:p>
      <w:pPr>
        <w:spacing w:after="40"/>
        <w:ind w:left="1644" w:hanging="357"/>
      </w:pPr>
      <w:r>
        <w:rPr>
          <w:rFonts w:ascii="Cambria" w:hAnsi="Cambria" w:eastAsia="Cambria"/>
          <w:b w:val="0"/>
          <w:i w:val="0"/>
          <w:sz w:val="22"/>
        </w:rPr>
        <w:t>▪</w:t>
        <w:tab/>
      </w:r>
      <w:r>
        <w:rPr>
          <w:rFonts w:ascii="Cambria" w:hAnsi="Cambria" w:eastAsia="Cambria"/>
          <w:b w:val="0"/>
          <w:i w:val="0"/>
          <w:sz w:val="22"/>
        </w:rPr>
        <w:t>TRL 7–8: Field deployment, beta testing, validation with industry/government.</w:t>
      </w:r>
    </w:p>
    <w:p>
      <w:pPr>
        <w:spacing w:after="40"/>
        <w:ind w:left="1644" w:hanging="357"/>
      </w:pPr>
      <w:r>
        <w:rPr>
          <w:rFonts w:ascii="Cambria" w:hAnsi="Cambria" w:eastAsia="Cambria"/>
          <w:b w:val="0"/>
          <w:i w:val="0"/>
          <w:sz w:val="22"/>
        </w:rPr>
        <w:t>▪</w:t>
        <w:tab/>
      </w:r>
      <w:r>
        <w:rPr>
          <w:rFonts w:ascii="Cambria" w:hAnsi="Cambria" w:eastAsia="Cambria"/>
          <w:b w:val="0"/>
          <w:i w:val="0"/>
          <w:sz w:val="22"/>
        </w:rPr>
        <w:t>TRL 9: Proof of commercialization, product deployment certificate, sales agreements.</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Institutional IPR Cell / Incubator Records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Maintain official logs of innovation projects and their TRL classification.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Provide authentication of innovation ownership.</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Technology Transfer/Licensing Agreements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Signed agreements with industry or startups for scaling and commercialization.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Evidence of IP movement beyond lab.</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Product Deployment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Proof that the innovation has been deployed or commercialized.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Can include user certificates, purchase orders, or industry validation reports.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TRL reporting demonstrates how institutions translate research into real-world technologies.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innovation beyond publications → towards prototypes, pilots, and commercialization.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Forms part of Research &amp; Professional Practice (RP) and Innovation Ecosystem metrics.</w:t>
      </w:r>
    </w:p>
    <w:p>
      <w:r>
        <w:br w:type="page"/>
      </w:r>
    </w:p>
    <w:p>
      <w:pPr>
        <w:keepNext/>
        <w:spacing w:before="360" w:after="160"/>
      </w:pPr>
      <w:r>
        <w:rPr>
          <w:rFonts w:ascii="Cambria" w:hAnsi="Cambria" w:eastAsia="Cambria"/>
          <w:b/>
          <w:i w:val="0"/>
          <w:color w:val="1F3A5F"/>
          <w:sz w:val="36"/>
        </w:rPr>
        <w:t>72. Ventures/Startups with Turnover ≥ ₹50 Lakhs (NVS)</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NVS = 40 × f(Nturn)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Nturn = Number of institutional ventures/startups with verified annual turnover ≥ ₹50 lakhs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compare across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40 Marks when the institution meets/exceeds the NIRF benchmark count.</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Commercial Success of Startups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Goes beyond incubation and early-stage funding to measure actual market performance.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 turnover ≥ ₹50 lakhs indicates revenue traction, product-market fit, and customer base.</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Job Creation &amp; Market Validation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Startups achieving this milestone are usually scaling businesses, generating employment and contributing to the economy.</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Institutional Ecosystem Effectiveness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Rewards HEIs that don't just produce ideas but viable companies.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strength of mentoring, incubation, and alumni entrepreneurship.</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Suppose NIRF benchmark = 10 such startups.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 7 startups with turnover ≥ ₹50 lakhs.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7 ÷ 10 = 0.7</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NVS Score = 40 × 0.7 = 28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startups incubated/supported by the institution with turnover ≥ ₹50 lakhs.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turnover, founders, sector.</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Audited financial statements.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CA-certified turnover certificates.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MCA filings (Ministry of Corporate Affairs).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GST returns (if available).</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real business outcomes from academic innovation ecosystems.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Distinguishes institutions where startups achieve financial sustainability and scale.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HEIs to focus on quality startups, not just numbers.</w:t>
      </w:r>
    </w:p>
    <w:p>
      <w:r>
        <w:br w:type="page"/>
      </w:r>
    </w:p>
    <w:p>
      <w:pPr>
        <w:keepNext/>
        <w:spacing w:before="360" w:after="160"/>
      </w:pPr>
      <w:r>
        <w:rPr>
          <w:rFonts w:ascii="Cambria" w:hAnsi="Cambria" w:eastAsia="Cambria"/>
          <w:b/>
          <w:i w:val="0"/>
          <w:color w:val="1F3A5F"/>
          <w:sz w:val="36"/>
        </w:rPr>
        <w:t>73. Alumni Founders of Forbes/Fortune 500 Companies (AFF)</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AFF = 20 × f(Naff)</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Naff = Number of alumni who are recognized founders/co-founders of companies listed in Forbes Global/India 2000 or Fortune 500 (Global/India) rankings.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standardize across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20 Marks if an institution reports alumni founders equal to or above the benchmark set by NIRF.</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Long-term Alumni Impact</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Measures how an institution's alumni have contributed to creating globally influential enterprises.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Focuses on legacy, leadership, and large-scale impact beyond academia.</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Brand Prestige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Alumni with Forbes/Fortune 500 companies enhance institutional reputation globally.</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Demonstrates the institution's role in nurturing world-class entrepreneurial leaders.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Innovation &amp; Economic Contribution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Recognizes alumni-driven companies that have massive turnover, employment, and innovation footprint.</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 5 alumni founders in Forbes/Fortune 500 firms.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reports 3 verified alumni.</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3 ÷ 5 = 0.6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AFF Score = 20 × 0.6 = 12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alumni recognized as founders/co-founders of Forbes/Fortune 500 companies.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 of recognition, company name, role, graduation details.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Forbes Global/India 2000 list, Fortune 500 list (Global/India).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company websites, press releases.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Alumni association confirmations.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LinkedIn/Business registries (secondary).</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Highlights the prestige and legacy of an institution in shaping leaders of global enterprises.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institutions to strengthen alumni networks, entrepreneurship support, and long-term innovation ecosystems.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Serves as a powerful branding metric in rankings.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List of Alumni Recognized as Founders/Co-Founders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compile a list of notable alumni who are founders, co-founders, or top executives of companies listed in:</w:t>
      </w:r>
    </w:p>
    <w:p>
      <w:pPr>
        <w:spacing w:after="40"/>
        <w:ind w:left="1644" w:hanging="357"/>
      </w:pPr>
      <w:r>
        <w:rPr>
          <w:rFonts w:ascii="Cambria" w:hAnsi="Cambria" w:eastAsia="Cambria"/>
          <w:b w:val="0"/>
          <w:i w:val="0"/>
          <w:sz w:val="22"/>
        </w:rPr>
        <w:t>▪</w:t>
        <w:tab/>
      </w:r>
      <w:r>
        <w:rPr>
          <w:rFonts w:ascii="Cambria" w:hAnsi="Cambria" w:eastAsia="Cambria"/>
          <w:b w:val="0"/>
          <w:i w:val="0"/>
          <w:sz w:val="22"/>
        </w:rPr>
        <w:t>Forbes Global 2000</w:t>
      </w:r>
    </w:p>
    <w:p>
      <w:pPr>
        <w:spacing w:after="40"/>
        <w:ind w:left="1644" w:hanging="357"/>
      </w:pPr>
      <w:r>
        <w:rPr>
          <w:rFonts w:ascii="Cambria" w:hAnsi="Cambria" w:eastAsia="Cambria"/>
          <w:b w:val="0"/>
          <w:i w:val="0"/>
          <w:sz w:val="22"/>
        </w:rPr>
        <w:t>▪</w:t>
        <w:tab/>
      </w:r>
      <w:r>
        <w:rPr>
          <w:rFonts w:ascii="Cambria" w:hAnsi="Cambria" w:eastAsia="Cambria"/>
          <w:b w:val="0"/>
          <w:i w:val="0"/>
          <w:sz w:val="22"/>
        </w:rPr>
        <w:t>Fortune 500 (Global/India)</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Required details:</w:t>
      </w:r>
    </w:p>
    <w:p>
      <w:pPr>
        <w:spacing w:after="40"/>
        <w:ind w:left="1644" w:hanging="357"/>
      </w:pPr>
      <w:r>
        <w:rPr>
          <w:rFonts w:ascii="Cambria" w:hAnsi="Cambria" w:eastAsia="Cambria"/>
          <w:b w:val="0"/>
          <w:i w:val="0"/>
          <w:sz w:val="22"/>
        </w:rPr>
        <w:t>▪</w:t>
        <w:tab/>
      </w:r>
      <w:r>
        <w:rPr>
          <w:rFonts w:ascii="Cambria" w:hAnsi="Cambria" w:eastAsia="Cambria"/>
          <w:b w:val="0"/>
          <w:i w:val="0"/>
          <w:sz w:val="22"/>
        </w:rPr>
        <w:t>Alumni Name.</w:t>
      </w:r>
    </w:p>
    <w:p>
      <w:pPr>
        <w:spacing w:after="40"/>
        <w:ind w:left="1644" w:hanging="357"/>
      </w:pPr>
      <w:r>
        <w:rPr>
          <w:rFonts w:ascii="Cambria" w:hAnsi="Cambria" w:eastAsia="Cambria"/>
          <w:b w:val="0"/>
          <w:i w:val="0"/>
          <w:sz w:val="22"/>
        </w:rPr>
        <w:t>▪</w:t>
        <w:tab/>
      </w:r>
      <w:r>
        <w:rPr>
          <w:rFonts w:ascii="Cambria" w:hAnsi="Cambria" w:eastAsia="Cambria"/>
          <w:b w:val="0"/>
          <w:i w:val="0"/>
          <w:sz w:val="22"/>
        </w:rPr>
        <w:t>Graduation Details (Year, Program, Department).</w:t>
      </w:r>
    </w:p>
    <w:p>
      <w:pPr>
        <w:spacing w:after="40"/>
        <w:ind w:left="1644" w:hanging="357"/>
      </w:pPr>
      <w:r>
        <w:rPr>
          <w:rFonts w:ascii="Cambria" w:hAnsi="Cambria" w:eastAsia="Cambria"/>
          <w:b w:val="0"/>
          <w:i w:val="0"/>
          <w:sz w:val="22"/>
        </w:rPr>
        <w:t>▪</w:t>
        <w:tab/>
      </w:r>
      <w:r>
        <w:rPr>
          <w:rFonts w:ascii="Cambria" w:hAnsi="Cambria" w:eastAsia="Cambria"/>
          <w:b w:val="0"/>
          <w:i w:val="0"/>
          <w:sz w:val="22"/>
        </w:rPr>
        <w:t>Company Name.</w:t>
      </w:r>
    </w:p>
    <w:p>
      <w:pPr>
        <w:spacing w:after="40"/>
        <w:ind w:left="1644" w:hanging="357"/>
      </w:pPr>
      <w:r>
        <w:rPr>
          <w:rFonts w:ascii="Cambria" w:hAnsi="Cambria" w:eastAsia="Cambria"/>
          <w:b w:val="0"/>
          <w:i w:val="0"/>
          <w:sz w:val="22"/>
        </w:rPr>
        <w:t>▪</w:t>
        <w:tab/>
      </w:r>
      <w:r>
        <w:rPr>
          <w:rFonts w:ascii="Cambria" w:hAnsi="Cambria" w:eastAsia="Cambria"/>
          <w:b w:val="0"/>
          <w:i w:val="0"/>
          <w:sz w:val="22"/>
        </w:rPr>
        <w:t>Role (Founder/Co-Founder/CEO/Executive).</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Recognition (when company appeared in Forbes/Fortune list).</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Forbes Global 2000 / Fortune 500 Lists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annual lists (Global and India editions).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Used to confirm whether the company is listed.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Official Company Websites &amp; Press Releases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Validate alumni role (Founder/Co-Founder/CEO).</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Confirms ongoing association.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Alumni Association Confirmations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Alumni cell/association maintains records of notable alumni.</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Can provide official letters confirming alumni achievements.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LinkedIn / Business Registries (Secondary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Secondary validation of alumni's current position and role.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Examples: LinkedIn profiles, Crunchbase, Bloomberg company registries.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Highlights institution's global alumni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Strengthens the perception metric under Outreach &amp; Inclusivity (OI) and Research &amp; Professional Practice (RP).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Demonstrates contribution of the institution to entrepreneurship, leadership, and innovation at global scale.</w:t>
      </w:r>
    </w:p>
    <w:p>
      <w:r>
        <w:br w:type="page"/>
      </w:r>
    </w:p>
    <w:p>
      <w:pPr>
        <w:keepNext/>
        <w:spacing w:before="360" w:after="160"/>
      </w:pPr>
      <w:r>
        <w:rPr>
          <w:rFonts w:ascii="Cambria" w:hAnsi="Cambria" w:eastAsia="Cambria"/>
          <w:b/>
          <w:i w:val="0"/>
          <w:color w:val="1F3A5F"/>
          <w:sz w:val="36"/>
        </w:rPr>
        <w:t>74. Participation in Smart India Hackathon (SIH)</w:t>
      </w:r>
    </w:p>
    <w:p>
      <w:pPr>
        <w:spacing w:after="40" w:line="276" w:lineRule="auto"/>
      </w:pPr>
      <w:r>
        <w:rPr>
          <w:rFonts w:ascii="Cambria" w:hAnsi="Cambria" w:eastAsia="Cambria"/>
          <w:b/>
          <w:i w:val="0"/>
          <w:sz w:val="22"/>
        </w:rPr>
        <w:t>Formula</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SIH = 30 × f(Nsih)</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Nsih = Number of student teams/faculty mentors from the institution that participated in Smart India Hackathon (Software + Hardware editions) in the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 = Normalization function applied by NIRF to scale participation across institutions.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Full 30 Marks when benchmark (set by NIRF/MIC) is achieved/exceeded.</w:t>
      </w:r>
    </w:p>
    <w:p>
      <w:pPr>
        <w:spacing w:after="40" w:line="276" w:lineRule="auto"/>
      </w:pPr>
      <w:r>
        <w:rPr>
          <w:rFonts w:ascii="Cambria" w:hAnsi="Cambria" w:eastAsia="Cambria"/>
          <w:b/>
          <w:i w:val="0"/>
          <w:sz w:val="22"/>
        </w:rPr>
        <w:t>What It Captures</w:t>
      </w:r>
    </w:p>
    <w:p>
      <w:pPr>
        <w:spacing w:line="276" w:lineRule="auto" w:after="40"/>
        <w:ind w:left="357" w:hanging="357"/>
      </w:pPr>
      <w:r>
        <w:rPr>
          <w:rFonts w:ascii="Cambria" w:hAnsi="Cambria" w:eastAsia="Cambria"/>
          <w:b w:val="0"/>
          <w:i w:val="0"/>
          <w:sz w:val="22"/>
        </w:rPr>
        <w:t>1.</w:t>
        <w:tab/>
      </w:r>
      <w:r>
        <w:rPr>
          <w:rFonts w:ascii="Cambria" w:hAnsi="Cambria" w:eastAsia="Cambria"/>
          <w:b/>
          <w:i w:val="0"/>
          <w:sz w:val="22"/>
        </w:rPr>
        <w:t>Student Innovation &amp; Problem-Solving Skills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Tracks participation in national-level hackathons solving real-world problems from ministries, industries, and NGOs.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Ensures students are exposed to applied innovation challenges.</w:t>
      </w:r>
    </w:p>
    <w:p>
      <w:pPr>
        <w:spacing w:line="276" w:lineRule="auto" w:after="40"/>
        <w:ind w:left="357" w:hanging="357"/>
      </w:pPr>
      <w:r>
        <w:rPr>
          <w:rFonts w:ascii="Cambria" w:hAnsi="Cambria" w:eastAsia="Cambria"/>
          <w:b w:val="0"/>
          <w:i w:val="0"/>
          <w:sz w:val="22"/>
        </w:rPr>
        <w:t>2.</w:t>
        <w:tab/>
      </w:r>
      <w:r>
        <w:rPr>
          <w:rFonts w:ascii="Cambria" w:hAnsi="Cambria" w:eastAsia="Cambria"/>
          <w:b/>
          <w:i w:val="0"/>
          <w:sz w:val="22"/>
        </w:rPr>
        <w:t>Institutional Engagement in National Missions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Smart India Hackathon is a flagship innovation program under MoE's Innovation Cell.</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Participation indicates that the institution aligns with national innovation priorities.</w:t>
      </w:r>
    </w:p>
    <w:p>
      <w:pPr>
        <w:spacing w:line="276" w:lineRule="auto" w:after="40"/>
        <w:ind w:left="357" w:hanging="357"/>
      </w:pPr>
      <w:r>
        <w:rPr>
          <w:rFonts w:ascii="Cambria" w:hAnsi="Cambria" w:eastAsia="Cambria"/>
          <w:b w:val="0"/>
          <w:i w:val="0"/>
          <w:sz w:val="22"/>
        </w:rPr>
        <w:t>3.</w:t>
        <w:tab/>
      </w:r>
      <w:r>
        <w:rPr>
          <w:rFonts w:ascii="Cambria" w:hAnsi="Cambria" w:eastAsia="Cambria"/>
          <w:b/>
          <w:i w:val="0"/>
          <w:sz w:val="22"/>
        </w:rPr>
        <w:t>Outputs Considered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of teams selected for national rounds.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No. of winners (cash prizes, projects implemented).</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Industry/government adoption of student solutions.</w:t>
      </w:r>
    </w:p>
    <w:p>
      <w:pPr>
        <w:spacing w:after="40" w:line="276" w:lineRule="auto"/>
      </w:pPr>
      <w:r>
        <w:rPr>
          <w:rFonts w:ascii="Cambria" w:hAnsi="Cambria" w:eastAsia="Cambria"/>
          <w:b/>
          <w:i w:val="0"/>
          <w:sz w:val="22"/>
        </w:rPr>
        <w:t>Scoring Example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Benchmark = 20 teams participating across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Institution reported = 12 teams (8 software + 4 hardware).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Ratio = 12 ÷ 20 = 0.6.</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SIH Score = 30 × 0.6 = 18 Marks.</w:t>
      </w:r>
    </w:p>
    <w:p>
      <w:pPr>
        <w:spacing w:after="40" w:line="276" w:lineRule="auto"/>
      </w:pPr>
      <w:r>
        <w:rPr>
          <w:rFonts w:ascii="Cambria" w:hAnsi="Cambria" w:eastAsia="Cambria"/>
          <w:b/>
          <w:i w:val="0"/>
          <w:sz w:val="22"/>
        </w:rPr>
        <w:t>Data Requirements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Primary Data (Institution):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List of participating teams, domains, and problem statements.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Year-wise details of participation, awards won, or project adoptions.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Verification Sources: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SIH portal (https://sih.gov.in).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Certificates, awards, MoE's IIC reports.</w:t>
      </w:r>
    </w:p>
    <w:p>
      <w:pPr>
        <w:spacing w:after="40" w:line="276" w:lineRule="auto"/>
      </w:pPr>
      <w:r>
        <w:rPr>
          <w:rFonts w:ascii="Cambria" w:hAnsi="Cambria" w:eastAsia="Cambria"/>
          <w:b/>
          <w:i w:val="0"/>
          <w:sz w:val="22"/>
        </w:rPr>
        <w:t>Why It Matters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students to apply knowledge to solve national problems.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Builds a culture of team-based innovation and entrepreneurship.</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Provides exposure to industries, government agencies, and startups.</w:t>
      </w:r>
    </w:p>
    <w:p>
      <w:pPr>
        <w:spacing w:after="40" w:line="276" w:lineRule="auto"/>
      </w:pPr>
      <w:r>
        <w:rPr>
          <w:rFonts w:ascii="Cambria" w:hAnsi="Cambria" w:eastAsia="Cambria"/>
          <w:b/>
          <w:i w:val="0"/>
          <w:sz w:val="22"/>
        </w:rPr>
        <w:t>Primary Data (Institution)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List of Participating Teams, Domains, and Problem Statements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 must maintain a record of all teams that participated in SIH (Software &amp; Hardware editions).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should include:</w:t>
      </w:r>
    </w:p>
    <w:p>
      <w:pPr>
        <w:spacing w:after="40"/>
        <w:ind w:left="1644" w:hanging="357"/>
      </w:pPr>
      <w:r>
        <w:rPr>
          <w:rFonts w:ascii="Cambria" w:hAnsi="Cambria" w:eastAsia="Cambria"/>
          <w:b w:val="0"/>
          <w:i w:val="0"/>
          <w:sz w:val="22"/>
        </w:rPr>
        <w:t>▪</w:t>
        <w:tab/>
      </w:r>
      <w:r>
        <w:rPr>
          <w:rFonts w:ascii="Cambria" w:hAnsi="Cambria" w:eastAsia="Cambria"/>
          <w:b w:val="0"/>
          <w:i w:val="0"/>
          <w:sz w:val="22"/>
        </w:rPr>
        <w:t>Team Name &amp; Members (student/faculty mentors).</w:t>
      </w:r>
    </w:p>
    <w:p>
      <w:pPr>
        <w:spacing w:after="40"/>
        <w:ind w:left="1644" w:hanging="357"/>
      </w:pPr>
      <w:r>
        <w:rPr>
          <w:rFonts w:ascii="Cambria" w:hAnsi="Cambria" w:eastAsia="Cambria"/>
          <w:b w:val="0"/>
          <w:i w:val="0"/>
          <w:sz w:val="22"/>
        </w:rPr>
        <w:t>▪</w:t>
        <w:tab/>
      </w:r>
      <w:r>
        <w:rPr>
          <w:rFonts w:ascii="Cambria" w:hAnsi="Cambria" w:eastAsia="Cambria"/>
          <w:b w:val="0"/>
          <w:i w:val="0"/>
          <w:sz w:val="22"/>
        </w:rPr>
        <w:t>Domain/Category (e.g., AI/ML, HealthTech, AgriTech, IoT, Cybersecurity).</w:t>
      </w:r>
    </w:p>
    <w:p>
      <w:pPr>
        <w:spacing w:after="40"/>
        <w:ind w:left="1644" w:hanging="357"/>
      </w:pPr>
      <w:r>
        <w:rPr>
          <w:rFonts w:ascii="Cambria" w:hAnsi="Cambria" w:eastAsia="Cambria"/>
          <w:b w:val="0"/>
          <w:i w:val="0"/>
          <w:sz w:val="22"/>
        </w:rPr>
        <w:t>▪</w:t>
        <w:tab/>
      </w:r>
      <w:r>
        <w:rPr>
          <w:rFonts w:ascii="Cambria" w:hAnsi="Cambria" w:eastAsia="Cambria"/>
          <w:b w:val="0"/>
          <w:i w:val="0"/>
          <w:sz w:val="22"/>
        </w:rPr>
        <w:t>Problem Statement (provided by industry/government).</w:t>
      </w:r>
    </w:p>
    <w:p>
      <w:pPr>
        <w:spacing w:after="40"/>
        <w:ind w:left="1644" w:hanging="357"/>
      </w:pPr>
      <w:r>
        <w:rPr>
          <w:rFonts w:ascii="Cambria" w:hAnsi="Cambria" w:eastAsia="Cambria"/>
          <w:b w:val="0"/>
          <w:i w:val="0"/>
          <w:sz w:val="22"/>
        </w:rPr>
        <w:t>▪</w:t>
        <w:tab/>
      </w:r>
      <w:r>
        <w:rPr>
          <w:rFonts w:ascii="Cambria" w:hAnsi="Cambria" w:eastAsia="Cambria"/>
          <w:b w:val="0"/>
          <w:i w:val="0"/>
          <w:sz w:val="22"/>
        </w:rPr>
        <w:t>Year of participation.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Year-wise Details of Participation, Awards, or Project Adoptions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Must provide year-wise record for last 3 years.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Data points:</w:t>
      </w:r>
    </w:p>
    <w:p>
      <w:pPr>
        <w:spacing w:after="40"/>
        <w:ind w:left="1644" w:hanging="357"/>
      </w:pPr>
      <w:r>
        <w:rPr>
          <w:rFonts w:ascii="Cambria" w:hAnsi="Cambria" w:eastAsia="Cambria"/>
          <w:b w:val="0"/>
          <w:i w:val="0"/>
          <w:sz w:val="22"/>
        </w:rPr>
        <w:t>▪</w:t>
        <w:tab/>
      </w:r>
      <w:r>
        <w:rPr>
          <w:rFonts w:ascii="Cambria" w:hAnsi="Cambria" w:eastAsia="Cambria"/>
          <w:b w:val="0"/>
          <w:i w:val="0"/>
          <w:sz w:val="22"/>
        </w:rPr>
        <w:t>Total teams shortlisted/finalists.</w:t>
      </w:r>
    </w:p>
    <w:p>
      <w:pPr>
        <w:spacing w:after="40"/>
        <w:ind w:left="1644" w:hanging="357"/>
      </w:pPr>
      <w:r>
        <w:rPr>
          <w:rFonts w:ascii="Cambria" w:hAnsi="Cambria" w:eastAsia="Cambria"/>
          <w:b w:val="0"/>
          <w:i w:val="0"/>
          <w:sz w:val="22"/>
        </w:rPr>
        <w:t>▪</w:t>
        <w:tab/>
      </w:r>
      <w:r>
        <w:rPr>
          <w:rFonts w:ascii="Cambria" w:hAnsi="Cambria" w:eastAsia="Cambria"/>
          <w:b w:val="0"/>
          <w:i w:val="0"/>
          <w:sz w:val="22"/>
        </w:rPr>
        <w:t>Awards won (cash prize, recognition).</w:t>
      </w:r>
    </w:p>
    <w:p>
      <w:pPr>
        <w:spacing w:after="40"/>
        <w:ind w:left="1644" w:hanging="357"/>
      </w:pPr>
      <w:r>
        <w:rPr>
          <w:rFonts w:ascii="Cambria" w:hAnsi="Cambria" w:eastAsia="Cambria"/>
          <w:b w:val="0"/>
          <w:i w:val="0"/>
          <w:sz w:val="22"/>
        </w:rPr>
        <w:t>▪</w:t>
        <w:tab/>
      </w:r>
      <w:r>
        <w:rPr>
          <w:rFonts w:ascii="Cambria" w:hAnsi="Cambria" w:eastAsia="Cambria"/>
          <w:b w:val="0"/>
          <w:i w:val="0"/>
          <w:sz w:val="22"/>
        </w:rPr>
        <w:t>Problem statements solved and adopted by industry/government.</w:t>
      </w:r>
    </w:p>
    <w:p>
      <w:pPr>
        <w:spacing w:after="40"/>
        <w:ind w:left="1644" w:hanging="357"/>
      </w:pPr>
      <w:r>
        <w:rPr>
          <w:rFonts w:ascii="Cambria" w:hAnsi="Cambria" w:eastAsia="Cambria"/>
          <w:b w:val="0"/>
          <w:i w:val="0"/>
          <w:sz w:val="22"/>
        </w:rPr>
        <w:t>▪</w:t>
        <w:tab/>
      </w:r>
      <w:r>
        <w:rPr>
          <w:rFonts w:ascii="Cambria" w:hAnsi="Cambria" w:eastAsia="Cambria"/>
          <w:b w:val="0"/>
          <w:i w:val="0"/>
          <w:sz w:val="22"/>
        </w:rPr>
        <w:t>Proof of implementation (MoU, pilot project).</w:t>
      </w:r>
    </w:p>
    <w:p>
      <w:pPr>
        <w:spacing w:after="40" w:line="276" w:lineRule="auto"/>
      </w:pPr>
      <w:r>
        <w:rPr>
          <w:rFonts w:ascii="Cambria" w:hAnsi="Cambria" w:eastAsia="Cambria"/>
          <w:b/>
          <w:i w:val="0"/>
          <w:sz w:val="22"/>
        </w:rPr>
        <w:t>Verification Sources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SIH Portal (https://sih.gov.in)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Official record of institution/team participation.</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Validates number of teams, awards, and project adoption.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Certificates &amp; Awards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Certificates issued to student teams by SIH organizing committee.</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Cash prize/award letters as proof.</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MoE's IIC Reports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Institutional Innovation Council (IIC) maintains reports of SIH activities.</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Yearly IIC reports include details of participation and achievements.</w:t>
      </w:r>
    </w:p>
    <w:p>
      <w:pPr>
        <w:spacing w:after="40" w:line="276" w:lineRule="auto"/>
      </w:pPr>
      <w:r>
        <w:rPr>
          <w:rFonts w:ascii="Cambria" w:hAnsi="Cambria" w:eastAsia="Cambria"/>
          <w:b/>
          <w:i w:val="0"/>
          <w:sz w:val="22"/>
        </w:rPr>
        <w:t>Why NIRF Collects This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SIH is a flagship national innovation initiative under MoE.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Participation reflects institutional support for innovation, problem-solving, and industry-government collaboration.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Awards and adoptions demonstrate real-world impact.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Adds weight under Innovation &amp; Startup Ecosystem metrics in NIRF.</w:t>
      </w:r>
    </w:p>
    <w:p>
      <w:r>
        <w:br w:type="page"/>
      </w:r>
    </w:p>
    <w:p>
      <w:pPr>
        <w:keepNext/>
        <w:spacing w:before="360" w:after="160"/>
      </w:pPr>
      <w:r>
        <w:rPr>
          <w:rFonts w:ascii="Cambria" w:hAnsi="Cambria" w:eastAsia="Cambria"/>
          <w:b/>
          <w:i w:val="0"/>
          <w:color w:val="1F3A5F"/>
          <w:sz w:val="36"/>
        </w:rPr>
        <w:t>75. NIRF 2024 Framework for Architecture &amp; Planning Institutions</w:t>
      </w:r>
    </w:p>
    <w:p>
      <w:pPr>
        <w:keepNext/>
        <w:spacing w:before="280" w:after="120"/>
      </w:pPr>
      <w:r>
        <w:rPr>
          <w:rFonts w:ascii="Cambria" w:hAnsi="Cambria" w:eastAsia="Cambria"/>
          <w:b/>
          <w:i w:val="0"/>
          <w:color w:val="1F3A5F"/>
          <w:sz w:val="30"/>
        </w:rPr>
        <w:t>1. Teaching, Learning &amp; Resources (TLR) – 100 Marks (Weight: 0.40)</w:t>
      </w:r>
    </w:p>
    <w:p>
      <w:pPr>
        <w:spacing w:after="120" w:line="276" w:lineRule="auto"/>
        <w:jc w:val="both"/>
      </w:pPr>
      <w:r>
        <w:rPr>
          <w:rFonts w:ascii="Cambria" w:hAnsi="Cambria" w:eastAsia="Cambria"/>
          <w:b w:val="0"/>
          <w:i w:val="0"/>
          <w:sz w:val="22"/>
        </w:rPr>
        <w:t>Since architecture &amp; planning education is resource-intensive, this parameter carries the highest weight (40%).</w:t>
      </w:r>
    </w:p>
    <w:p>
      <w:pPr>
        <w:keepNext/>
        <w:spacing w:before="200" w:after="100"/>
      </w:pPr>
      <w:r>
        <w:rPr>
          <w:rFonts w:ascii="Cambria" w:hAnsi="Cambria" w:eastAsia="Cambria"/>
          <w:b/>
          <w:i w:val="0"/>
          <w:color w:val="1F3A5F"/>
          <w:sz w:val="24"/>
        </w:rPr>
        <w:t>A. Student Strength (SS)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Balanced intake across UG, PG, and Ph.D. programs.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institutional capacity to train architects, urban planners, and designers.</w:t>
      </w:r>
    </w:p>
    <w:p>
      <w:pPr>
        <w:keepNext/>
        <w:spacing w:before="200" w:after="100"/>
      </w:pPr>
      <w:r>
        <w:rPr>
          <w:rFonts w:ascii="Cambria" w:hAnsi="Cambria" w:eastAsia="Cambria"/>
          <w:b/>
          <w:i w:val="0"/>
          <w:color w:val="1F3A5F"/>
          <w:sz w:val="24"/>
        </w:rPr>
        <w:t>B. Faculty–Student Ratio (FSR)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Adequacy of permanent faculty relative to student strength.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studio-based learning is not overcrowded (important for design education).</w:t>
      </w:r>
    </w:p>
    <w:p>
      <w:pPr>
        <w:keepNext/>
        <w:spacing w:before="200" w:after="100"/>
      </w:pPr>
      <w:r>
        <w:rPr>
          <w:rFonts w:ascii="Cambria" w:hAnsi="Cambria" w:eastAsia="Cambria"/>
          <w:b/>
          <w:i w:val="0"/>
          <w:color w:val="1F3A5F"/>
          <w:sz w:val="24"/>
        </w:rPr>
        <w:t>C. Faculty with PhD &amp; Experience (FQE)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proportion of PhD-qualified faculty and distribution of experience levels.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blend of academic and professional (industry/practice) expertise.</w:t>
      </w:r>
    </w:p>
    <w:p>
      <w:pPr>
        <w:keepNext/>
        <w:spacing w:before="200" w:after="100"/>
      </w:pPr>
      <w:r>
        <w:rPr>
          <w:rFonts w:ascii="Cambria" w:hAnsi="Cambria" w:eastAsia="Cambria"/>
          <w:b/>
          <w:i w:val="0"/>
          <w:color w:val="1F3A5F"/>
          <w:sz w:val="24"/>
        </w:rPr>
        <w:t>D. Financial Resources &amp; Utilisation (FRU)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Per-student expenditure on design studios, workshops, laboratories, materials, ICT-enabled classrooms, and model-making facilities.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quality of infrastructure supporting practical training.</w:t>
      </w:r>
    </w:p>
    <w:p>
      <w:pPr>
        <w:keepNext/>
        <w:spacing w:before="280" w:after="120"/>
      </w:pPr>
      <w:r>
        <w:rPr>
          <w:rFonts w:ascii="Cambria" w:hAnsi="Cambria" w:eastAsia="Cambria"/>
          <w:b/>
          <w:i w:val="0"/>
          <w:color w:val="1F3A5F"/>
          <w:sz w:val="30"/>
        </w:rPr>
        <w:t>2. Research &amp; Professional Practice (RP) – 100 Marks (Weight: 0.20)</w:t>
      </w:r>
    </w:p>
    <w:p>
      <w:pPr>
        <w:spacing w:after="120" w:line="276" w:lineRule="auto"/>
        <w:jc w:val="both"/>
      </w:pPr>
      <w:r>
        <w:rPr>
          <w:rFonts w:ascii="Cambria" w:hAnsi="Cambria" w:eastAsia="Cambria"/>
          <w:b w:val="0"/>
          <w:i w:val="0"/>
          <w:sz w:val="22"/>
        </w:rPr>
        <w:t>Architecture &amp; planning institutions are judged not only on research publications but also on professional practice and real-world projects.</w:t>
      </w:r>
    </w:p>
    <w:p>
      <w:pPr>
        <w:keepNext/>
        <w:spacing w:before="200" w:after="100"/>
      </w:pPr>
      <w:r>
        <w:rPr>
          <w:rFonts w:ascii="Cambria" w:hAnsi="Cambria" w:eastAsia="Cambria"/>
          <w:b/>
          <w:i w:val="0"/>
          <w:color w:val="1F3A5F"/>
          <w:sz w:val="24"/>
        </w:rPr>
        <w:t>A. Publications (PU) – 60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Research output in urban planning, sustainable design, green buildings, housing, transport, and smart cities.</w:t>
      </w:r>
    </w:p>
    <w:p>
      <w:pPr>
        <w:keepNext/>
        <w:spacing w:before="200" w:after="100"/>
      </w:pPr>
      <w:r>
        <w:rPr>
          <w:rFonts w:ascii="Cambria" w:hAnsi="Cambria" w:eastAsia="Cambria"/>
          <w:b/>
          <w:i w:val="0"/>
          <w:color w:val="1F3A5F"/>
          <w:sz w:val="24"/>
        </w:rPr>
        <w:t>B. Quality of Publications (QP)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Citations, journal indexing, and relevance to architecture and planning.</w:t>
      </w:r>
    </w:p>
    <w:p>
      <w:pPr>
        <w:keepNext/>
        <w:spacing w:before="200" w:after="100"/>
      </w:pPr>
      <w:r>
        <w:rPr>
          <w:rFonts w:ascii="Cambria" w:hAnsi="Cambria" w:eastAsia="Cambria"/>
          <w:b/>
          <w:i w:val="0"/>
          <w:color w:val="1F3A5F"/>
          <w:sz w:val="24"/>
        </w:rPr>
        <w:t>C. Footprint of Projects &amp; Professional Practice (FPPP)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Consultancy projects, government/industry-sponsored design and planning work, competitions, and urban development initiatives.</w:t>
      </w:r>
    </w:p>
    <w:p>
      <w:pPr>
        <w:keepNext/>
        <w:spacing w:before="280" w:after="120"/>
      </w:pPr>
      <w:r>
        <w:rPr>
          <w:rFonts w:ascii="Cambria" w:hAnsi="Cambria" w:eastAsia="Cambria"/>
          <w:b/>
          <w:i w:val="0"/>
          <w:color w:val="1F3A5F"/>
          <w:sz w:val="30"/>
        </w:rPr>
        <w:t>3. Graduation Outcomes (GO) – 100 Marks (Weight: 0.20)</w:t>
      </w:r>
    </w:p>
    <w:p>
      <w:pPr>
        <w:spacing w:after="120" w:line="276" w:lineRule="auto"/>
        <w:jc w:val="both"/>
      </w:pPr>
      <w:r>
        <w:rPr>
          <w:rFonts w:ascii="Cambria" w:hAnsi="Cambria" w:eastAsia="Cambria"/>
          <w:b w:val="0"/>
          <w:i w:val="0"/>
          <w:sz w:val="22"/>
        </w:rPr>
        <w:t>Captures success of graduates in employment, higher studies, and professional practice.</w:t>
      </w:r>
    </w:p>
    <w:p>
      <w:pPr>
        <w:keepNext/>
        <w:spacing w:before="200" w:after="100"/>
      </w:pPr>
      <w:r>
        <w:rPr>
          <w:rFonts w:ascii="Cambria" w:hAnsi="Cambria" w:eastAsia="Cambria"/>
          <w:b/>
          <w:i w:val="0"/>
          <w:color w:val="1F3A5F"/>
          <w:sz w:val="24"/>
        </w:rPr>
        <w:t>A. Placement &amp; Higher Studies (GPH) – 40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 of graduates employed in design firms, planning agencies, real estate, infrastructure consultancies, or pursuing PG/Ph.D. studies.</w:t>
      </w:r>
    </w:p>
    <w:p>
      <w:pPr>
        <w:keepNext/>
        <w:spacing w:before="200" w:after="100"/>
      </w:pPr>
      <w:r>
        <w:rPr>
          <w:rFonts w:ascii="Cambria" w:hAnsi="Cambria" w:eastAsia="Cambria"/>
          <w:b/>
          <w:i w:val="0"/>
          <w:color w:val="1F3A5F"/>
          <w:sz w:val="24"/>
        </w:rPr>
        <w:t>B. University Examinations (GUE)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On-time graduation rates across UG/PG programs.</w:t>
      </w:r>
    </w:p>
    <w:p>
      <w:pPr>
        <w:keepNext/>
        <w:spacing w:before="200" w:after="100"/>
      </w:pPr>
      <w:r>
        <w:rPr>
          <w:rFonts w:ascii="Cambria" w:hAnsi="Cambria" w:eastAsia="Cambria"/>
          <w:b/>
          <w:i w:val="0"/>
          <w:color w:val="1F3A5F"/>
          <w:sz w:val="24"/>
        </w:rPr>
        <w:t>C. Median Salary (GMS)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Median annual salary of placed graduates; benchmarked against the sector.</w:t>
      </w:r>
    </w:p>
    <w:p>
      <w:pPr>
        <w:keepNext/>
        <w:spacing w:before="280" w:after="120"/>
      </w:pPr>
      <w:r>
        <w:rPr>
          <w:rFonts w:ascii="Cambria" w:hAnsi="Cambria" w:eastAsia="Cambria"/>
          <w:b/>
          <w:i w:val="0"/>
          <w:color w:val="1F3A5F"/>
          <w:sz w:val="30"/>
        </w:rPr>
        <w:t>4. Outreach &amp; Inclusivity (OI) – 100 Marks (Weight: 0.10)</w:t>
      </w:r>
    </w:p>
    <w:p>
      <w:pPr>
        <w:spacing w:after="120" w:line="276" w:lineRule="auto"/>
        <w:jc w:val="both"/>
      </w:pPr>
      <w:r>
        <w:rPr>
          <w:rFonts w:ascii="Cambria" w:hAnsi="Cambria" w:eastAsia="Cambria"/>
          <w:b w:val="0"/>
          <w:i w:val="0"/>
          <w:sz w:val="22"/>
        </w:rPr>
        <w:t>Evaluates diversity, access, and inclusivity.</w:t>
      </w:r>
    </w:p>
    <w:p>
      <w:pPr>
        <w:keepNext/>
        <w:spacing w:before="200" w:after="100"/>
      </w:pPr>
      <w:r>
        <w:rPr>
          <w:rFonts w:ascii="Cambria" w:hAnsi="Cambria" w:eastAsia="Cambria"/>
          <w:b/>
          <w:i w:val="0"/>
          <w:color w:val="1F3A5F"/>
          <w:sz w:val="24"/>
        </w:rPr>
        <w:t>A. Regional Diversity (RD)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Enrollment of students from other states and countries.</w:t>
      </w:r>
    </w:p>
    <w:p>
      <w:pPr>
        <w:keepNext/>
        <w:spacing w:before="200" w:after="100"/>
      </w:pPr>
      <w:r>
        <w:rPr>
          <w:rFonts w:ascii="Cambria" w:hAnsi="Cambria" w:eastAsia="Cambria"/>
          <w:b/>
          <w:i w:val="0"/>
          <w:color w:val="1F3A5F"/>
          <w:sz w:val="24"/>
        </w:rPr>
        <w:t>B. Women Diversity (WD)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Participation of women students and women faculty (especially in leadership).</w:t>
      </w:r>
    </w:p>
    <w:p>
      <w:pPr>
        <w:keepNext/>
        <w:spacing w:before="200" w:after="100"/>
      </w:pPr>
      <w:r>
        <w:rPr>
          <w:rFonts w:ascii="Cambria" w:hAnsi="Cambria" w:eastAsia="Cambria"/>
          <w:b/>
          <w:i w:val="0"/>
          <w:color w:val="1F3A5F"/>
          <w:sz w:val="24"/>
        </w:rPr>
        <w:t>C. Economically &amp; Socially Challenged Students (ESCS)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Scholarships, tuition waivers, and financial support for disadvantaged students.</w:t>
      </w:r>
    </w:p>
    <w:p>
      <w:pPr>
        <w:keepNext/>
        <w:spacing w:before="200" w:after="100"/>
      </w:pPr>
      <w:r>
        <w:rPr>
          <w:rFonts w:ascii="Cambria" w:hAnsi="Cambria" w:eastAsia="Cambria"/>
          <w:b/>
          <w:i w:val="0"/>
          <w:color w:val="1F3A5F"/>
          <w:sz w:val="24"/>
        </w:rPr>
        <w:t>D. Physically Challenged Students (PCS)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Infrastructure and learning support for differently-abled students.</w:t>
      </w:r>
    </w:p>
    <w:p>
      <w:pPr>
        <w:keepNext/>
        <w:spacing w:before="280" w:after="120"/>
      </w:pPr>
      <w:r>
        <w:rPr>
          <w:rFonts w:ascii="Cambria" w:hAnsi="Cambria" w:eastAsia="Cambria"/>
          <w:b/>
          <w:i w:val="0"/>
          <w:color w:val="1F3A5F"/>
          <w:sz w:val="30"/>
        </w:rPr>
        <w:t>5. Perception (PR) – 100 Marks (Weight: 0.10)</w:t>
      </w:r>
    </w:p>
    <w:p>
      <w:pPr>
        <w:spacing w:after="120" w:line="276" w:lineRule="auto"/>
        <w:jc w:val="both"/>
      </w:pPr>
      <w:r>
        <w:rPr>
          <w:rFonts w:ascii="Cambria" w:hAnsi="Cambria" w:eastAsia="Cambria"/>
          <w:b w:val="0"/>
          <w:i w:val="0"/>
          <w:sz w:val="22"/>
        </w:rPr>
        <w:t>Measures the reputation of the institution among stakeholders.</w:t>
      </w:r>
    </w:p>
    <w:p>
      <w:pPr>
        <w:keepNext/>
        <w:spacing w:before="200" w:after="100"/>
      </w:pPr>
      <w:r>
        <w:rPr>
          <w:rFonts w:ascii="Cambria" w:hAnsi="Cambria" w:eastAsia="Cambria"/>
          <w:b/>
          <w:i w:val="0"/>
          <w:color w:val="1F3A5F"/>
          <w:sz w:val="24"/>
        </w:rPr>
        <w:t>A. Peer Perception (PR) – 100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Based on surveys of employers (design firms, urban development bodies, real estate companies), academic peers, and professionals.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Strongly influenced by design competitions won, alumni reputation, and consultancy contributions.</w:t>
      </w:r>
    </w:p>
    <w:p>
      <w:pPr>
        <w:spacing w:after="40" w:line="276" w:lineRule="auto"/>
      </w:pPr>
      <w:r>
        <w:rPr>
          <w:rFonts w:ascii="Cambria" w:hAnsi="Cambria" w:eastAsia="Cambria"/>
          <w:b/>
          <w:i w:val="0"/>
          <w:sz w:val="22"/>
        </w:rPr>
        <w:t>Key Insights for Architecture &amp; Planning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dominates (40%), reflecting the studio- and resource-heavy nature of design education.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has moderate weight (20%), but publications (60 marks) and professional practice (20 marks) make it unique.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(20%) balances placements, salaries, and exam outcomes, with a strong emphasis on employability.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ensures access and inclusivity.</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(10%) captures perception from both academic and professional practice circles.</w:t>
      </w:r>
    </w:p>
    <w:p>
      <w:pPr>
        <w:spacing w:after="80" w:line="276" w:lineRule="auto"/>
      </w:pPr>
      <w:r>
        <w:rPr>
          <w:rFonts w:ascii="Cambria" w:hAnsi="Cambria" w:eastAsia="Cambria"/>
          <w:b/>
          <w:i w:val="0"/>
          <w:sz w:val="22"/>
        </w:rPr>
        <w:t>NIRF 2024 – Overall vs Architecture &amp; Planning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438"/>
            <w:shd w:val="clear" w:color="auto" w:fill="1F3A5F"/>
          </w:tcPr>
          <w:p>
            <w:pPr>
              <w:spacing w:after="40" w:line="240" w:lineRule="auto"/>
              <w:jc w:val="center"/>
            </w:pPr>
            <w:r/>
            <w:r>
              <w:rPr>
                <w:rFonts w:ascii="Cambria" w:hAnsi="Cambria" w:eastAsia="Cambria"/>
                <w:b/>
                <w:i w:val="0"/>
                <w:color w:val="FFFFFF"/>
                <w:sz w:val="22"/>
              </w:rPr>
              <w:t>Parameter</w:t>
            </w:r>
          </w:p>
        </w:tc>
        <w:tc>
          <w:tcPr>
            <w:tcW w:type="dxa" w:w="3487"/>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487"/>
            <w:shd w:val="clear" w:color="auto" w:fill="1F3A5F"/>
          </w:tcPr>
          <w:p>
            <w:pPr>
              <w:spacing w:after="40" w:line="240" w:lineRule="auto"/>
              <w:jc w:val="center"/>
            </w:pPr>
            <w:r/>
            <w:r>
              <w:rPr>
                <w:rFonts w:ascii="Cambria" w:hAnsi="Cambria" w:eastAsia="Cambria"/>
                <w:b/>
                <w:i w:val="0"/>
                <w:color w:val="FFFFFF"/>
                <w:sz w:val="22"/>
              </w:rPr>
              <w:t>Architecture &amp; Planning Framework</w:t>
            </w:r>
          </w:p>
        </w:tc>
      </w:tr>
      <w:tr>
        <w:tc>
          <w:tcPr>
            <w:tcW w:type="dxa" w:w="2438"/>
          </w:tcPr>
          <w:p>
            <w:pPr>
              <w:spacing w:after="40" w:line="240" w:lineRule="auto"/>
              <w:jc w:val="left"/>
            </w:pPr>
            <w:r/>
            <w:r>
              <w:rPr>
                <w:rFonts w:ascii="Cambria" w:hAnsi="Cambria" w:eastAsia="Cambria"/>
                <w:b w:val="0"/>
                <w:i w:val="0"/>
                <w:sz w:val="22"/>
              </w:rPr>
              <w:t>Teaching, Learning &amp; Resources (TLR)</w:t>
            </w:r>
          </w:p>
        </w:tc>
        <w:tc>
          <w:tcPr>
            <w:tcW w:type="dxa" w:w="3487"/>
          </w:tcPr>
          <w:p>
            <w:pPr>
              <w:spacing w:after="40" w:line="240" w:lineRule="auto"/>
              <w:jc w:val="center"/>
            </w:pPr>
            <w:r/>
            <w:r>
              <w:rPr>
                <w:rFonts w:ascii="Cambria" w:hAnsi="Cambria" w:eastAsia="Cambria"/>
                <w:b w:val="0"/>
                <w:i w:val="0"/>
                <w:sz w:val="22"/>
              </w:rPr>
              <w:t>100 marks (30%)</w:t>
              <w:br/>
              <w:t>SS (20)</w:t>
              <w:br/>
              <w:t>FSR (25)</w:t>
              <w:br/>
              <w:t>FQE (20)</w:t>
              <w:br/>
              <w:t>FRU (20)</w:t>
              <w:br/>
              <w:t>OE (10)</w:t>
              <w:br/>
              <w:t>MIR (5)</w:t>
            </w:r>
          </w:p>
        </w:tc>
        <w:tc>
          <w:tcPr>
            <w:tcW w:type="dxa" w:w="3487"/>
          </w:tcPr>
          <w:p>
            <w:pPr>
              <w:spacing w:after="40" w:line="240" w:lineRule="auto"/>
              <w:jc w:val="center"/>
            </w:pPr>
            <w:r/>
            <w:r>
              <w:rPr>
                <w:rFonts w:ascii="Cambria" w:hAnsi="Cambria" w:eastAsia="Cambria"/>
                <w:b w:val="0"/>
                <w:i w:val="0"/>
                <w:sz w:val="22"/>
              </w:rPr>
              <w:t>100 marks (40%)</w:t>
              <w:br/>
              <w:t>SS (20)</w:t>
              <w:br/>
              <w:t>FSR (30)</w:t>
              <w:br/>
              <w:t>FQE (20)</w:t>
              <w:br/>
              <w:t>FRU (30)</w:t>
            </w:r>
          </w:p>
        </w:tc>
      </w:tr>
      <w:tr>
        <w:tc>
          <w:tcPr>
            <w:tcW w:type="dxa" w:w="2438"/>
            <w:shd w:val="clear" w:color="auto" w:fill="DCE6F1"/>
          </w:tcPr>
          <w:p>
            <w:pPr>
              <w:spacing w:after="40" w:line="240" w:lineRule="auto"/>
              <w:jc w:val="left"/>
            </w:pPr>
            <w:r/>
            <w:r>
              <w:rPr>
                <w:rFonts w:ascii="Cambria" w:hAnsi="Cambria" w:eastAsia="Cambria"/>
                <w:b w:val="0"/>
                <w:i w:val="0"/>
                <w:sz w:val="22"/>
              </w:rPr>
              <w:t>Research &amp; Professional Practice (RP)</w:t>
            </w:r>
          </w:p>
        </w:tc>
        <w:tc>
          <w:tcPr>
            <w:tcW w:type="dxa" w:w="3487"/>
            <w:shd w:val="clear" w:color="auto" w:fill="DCE6F1"/>
          </w:tcPr>
          <w:p>
            <w:pPr>
              <w:spacing w:after="40" w:line="240" w:lineRule="auto"/>
              <w:jc w:val="center"/>
            </w:pPr>
            <w:r/>
            <w:r>
              <w:rPr>
                <w:rFonts w:ascii="Cambria" w:hAnsi="Cambria" w:eastAsia="Cambria"/>
                <w:b w:val="0"/>
                <w:i w:val="0"/>
                <w:sz w:val="22"/>
              </w:rPr>
              <w:t>100 marks (30%)</w:t>
              <w:br/>
              <w:t>PU (30)</w:t>
              <w:br/>
              <w:t>QP (30)</w:t>
              <w:br/>
              <w:t>IPR (15)</w:t>
              <w:br/>
              <w:t>FPPP (15)</w:t>
              <w:br/>
              <w:t>PSDGs (10)</w:t>
            </w:r>
          </w:p>
        </w:tc>
        <w:tc>
          <w:tcPr>
            <w:tcW w:type="dxa" w:w="3487"/>
            <w:shd w:val="clear" w:color="auto" w:fill="DCE6F1"/>
          </w:tcPr>
          <w:p>
            <w:pPr>
              <w:spacing w:after="40" w:line="240" w:lineRule="auto"/>
              <w:jc w:val="center"/>
            </w:pPr>
            <w:r/>
            <w:r>
              <w:rPr>
                <w:rFonts w:ascii="Cambria" w:hAnsi="Cambria" w:eastAsia="Cambria"/>
                <w:b w:val="0"/>
                <w:i w:val="0"/>
                <w:sz w:val="22"/>
              </w:rPr>
              <w:t>100 marks (20%)</w:t>
              <w:br/>
              <w:t>PU (60)</w:t>
              <w:br/>
              <w:t>QP (20)</w:t>
              <w:br/>
              <w:t>FPPP (20)</w:t>
            </w:r>
          </w:p>
        </w:tc>
      </w:tr>
      <w:tr>
        <w:tc>
          <w:tcPr>
            <w:tcW w:type="dxa" w:w="2438"/>
          </w:tcPr>
          <w:p>
            <w:pPr>
              <w:spacing w:after="40" w:line="240" w:lineRule="auto"/>
              <w:jc w:val="left"/>
            </w:pPr>
            <w:r/>
            <w:r>
              <w:rPr>
                <w:rFonts w:ascii="Cambria" w:hAnsi="Cambria" w:eastAsia="Cambria"/>
                <w:b w:val="0"/>
                <w:i w:val="0"/>
                <w:sz w:val="22"/>
              </w:rPr>
              <w:t>Graduation Outcomes (GO)</w:t>
            </w:r>
          </w:p>
        </w:tc>
        <w:tc>
          <w:tcPr>
            <w:tcW w:type="dxa" w:w="3487"/>
          </w:tcPr>
          <w:p>
            <w:pPr>
              <w:spacing w:after="40" w:line="240" w:lineRule="auto"/>
              <w:jc w:val="center"/>
            </w:pPr>
            <w:r/>
            <w:r>
              <w:rPr>
                <w:rFonts w:ascii="Cambria" w:hAnsi="Cambria" w:eastAsia="Cambria"/>
                <w:b w:val="0"/>
                <w:i w:val="0"/>
                <w:sz w:val="22"/>
              </w:rPr>
              <w:t>100 marks (20%)</w:t>
              <w:br/>
              <w:t>GUE (60)</w:t>
              <w:br/>
              <w:t>GPHD (40)</w:t>
            </w:r>
          </w:p>
        </w:tc>
        <w:tc>
          <w:tcPr>
            <w:tcW w:type="dxa" w:w="3487"/>
          </w:tcPr>
          <w:p>
            <w:pPr>
              <w:spacing w:after="40" w:line="240" w:lineRule="auto"/>
              <w:jc w:val="center"/>
            </w:pPr>
            <w:r/>
            <w:r>
              <w:rPr>
                <w:rFonts w:ascii="Cambria" w:hAnsi="Cambria" w:eastAsia="Cambria"/>
                <w:b w:val="0"/>
                <w:i w:val="0"/>
                <w:sz w:val="22"/>
              </w:rPr>
              <w:t>100 marks (20%)</w:t>
              <w:br/>
              <w:t>GPH (40)</w:t>
              <w:br/>
              <w:t>GUE (30)</w:t>
              <w:br/>
              <w:t>GMS (30)</w:t>
            </w:r>
          </w:p>
        </w:tc>
      </w:tr>
      <w:tr>
        <w:tc>
          <w:tcPr>
            <w:tcW w:type="dxa" w:w="2438"/>
            <w:shd w:val="clear" w:color="auto" w:fill="DCE6F1"/>
          </w:tcPr>
          <w:p>
            <w:pPr>
              <w:spacing w:after="40" w:line="240" w:lineRule="auto"/>
              <w:jc w:val="left"/>
            </w:pPr>
            <w:r/>
            <w:r>
              <w:rPr>
                <w:rFonts w:ascii="Cambria" w:hAnsi="Cambria" w:eastAsia="Cambria"/>
                <w:b w:val="0"/>
                <w:i w:val="0"/>
                <w:sz w:val="22"/>
              </w:rPr>
              <w:t>Outreach &amp; Inclusivity (OI)</w:t>
            </w:r>
          </w:p>
        </w:tc>
        <w:tc>
          <w:tcPr>
            <w:tcW w:type="dxa" w:w="3487"/>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c>
          <w:tcPr>
            <w:tcW w:type="dxa" w:w="3487"/>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r>
      <w:tr>
        <w:tc>
          <w:tcPr>
            <w:tcW w:type="dxa" w:w="2438"/>
          </w:tcPr>
          <w:p>
            <w:pPr>
              <w:spacing w:after="40" w:line="240" w:lineRule="auto"/>
              <w:jc w:val="left"/>
            </w:pPr>
            <w:r/>
            <w:r>
              <w:rPr>
                <w:rFonts w:ascii="Cambria" w:hAnsi="Cambria" w:eastAsia="Cambria"/>
                <w:b w:val="0"/>
                <w:i w:val="0"/>
                <w:sz w:val="22"/>
              </w:rPr>
              <w:t>Perception (PR)</w:t>
            </w:r>
          </w:p>
        </w:tc>
        <w:tc>
          <w:tcPr>
            <w:tcW w:type="dxa" w:w="3487"/>
          </w:tcPr>
          <w:p>
            <w:pPr>
              <w:spacing w:after="40" w:line="240" w:lineRule="auto"/>
              <w:jc w:val="center"/>
            </w:pPr>
            <w:r/>
            <w:r>
              <w:rPr>
                <w:rFonts w:ascii="Cambria" w:hAnsi="Cambria" w:eastAsia="Cambria"/>
                <w:b w:val="0"/>
                <w:i w:val="0"/>
                <w:sz w:val="22"/>
              </w:rPr>
              <w:t>100 marks (10%)</w:t>
              <w:br/>
              <w:t>PR (100)</w:t>
            </w:r>
          </w:p>
        </w:tc>
        <w:tc>
          <w:tcPr>
            <w:tcW w:type="dxa" w:w="3487"/>
          </w:tcPr>
          <w:p>
            <w:pPr>
              <w:spacing w:after="40" w:line="240" w:lineRule="auto"/>
              <w:jc w:val="center"/>
            </w:pPr>
            <w:r/>
            <w:r>
              <w:rPr>
                <w:rFonts w:ascii="Cambria" w:hAnsi="Cambria" w:eastAsia="Cambria"/>
                <w:b w:val="0"/>
                <w:i w:val="0"/>
                <w:sz w:val="22"/>
              </w:rPr>
              <w:t>100 marks (10%)</w:t>
              <w:br/>
              <w:t>PR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NEP reforms (Online Education – 10, MIR – 5).</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Architecture &amp; Planning</w:t>
      </w:r>
      <w:r>
        <w:rPr>
          <w:rFonts w:ascii="Cambria" w:hAnsi="Cambria" w:eastAsia="Cambria"/>
          <w:b w:val="0"/>
          <w:i w:val="0"/>
          <w:sz w:val="22"/>
        </w:rPr>
        <w:t xml:space="preserve"> places heavier weight (40%), prioritizing FSR (30) and FRU (30) → reflects studio/lab-intensive nature of design education.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balanced across publications, quality, patents, projects, SDGs.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Architecture &amp; Planning</w:t>
      </w:r>
      <w:r>
        <w:rPr>
          <w:rFonts w:ascii="Cambria" w:hAnsi="Cambria" w:eastAsia="Cambria"/>
          <w:b w:val="0"/>
          <w:i w:val="0"/>
          <w:sz w:val="22"/>
        </w:rPr>
        <w:t xml:space="preserve"> = Publications dominate (60), with quality (20) and projects/consultancy (20) → patents/SDGs not emphasized.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Exams (60) + Ph.D.s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Architecture &amp; Planning</w:t>
      </w:r>
      <w:r>
        <w:rPr>
          <w:rFonts w:ascii="Cambria" w:hAnsi="Cambria" w:eastAsia="Cambria"/>
          <w:b w:val="0"/>
          <w:i w:val="0"/>
          <w:sz w:val="22"/>
        </w:rPr>
        <w:t xml:space="preserve"> = Placements (40) + Exams (30) + Median Salary (30) → practical career focus.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Identical in both frameworks.</w:t>
      </w:r>
    </w:p>
    <w:p>
      <w:r>
        <w:br w:type="page"/>
      </w:r>
    </w:p>
    <w:p>
      <w:pPr>
        <w:keepNext/>
        <w:spacing w:before="360" w:after="160"/>
      </w:pPr>
      <w:r>
        <w:rPr>
          <w:rFonts w:ascii="Cambria" w:hAnsi="Cambria" w:eastAsia="Cambria"/>
          <w:b/>
          <w:i w:val="0"/>
          <w:color w:val="1F3A5F"/>
          <w:sz w:val="36"/>
        </w:rPr>
        <w:t>76. NIRF 2024 Framework for Agriculture &amp; Allied Sectors Institutions</w:t>
      </w:r>
    </w:p>
    <w:p>
      <w:pPr>
        <w:keepNext/>
        <w:spacing w:before="280" w:after="120"/>
      </w:pPr>
      <w:r>
        <w:rPr>
          <w:rFonts w:ascii="Cambria" w:hAnsi="Cambria" w:eastAsia="Cambria"/>
          <w:b/>
          <w:i w:val="0"/>
          <w:color w:val="1F3A5F"/>
          <w:sz w:val="30"/>
        </w:rPr>
        <w:t>1. Teaching, Learning &amp; Resources (TLR) – 100 Marks (Weight: 0.30)</w:t>
      </w:r>
    </w:p>
    <w:p>
      <w:pPr>
        <w:spacing w:after="120" w:line="276" w:lineRule="auto"/>
        <w:jc w:val="both"/>
      </w:pPr>
      <w:r>
        <w:rPr>
          <w:rFonts w:ascii="Cambria" w:hAnsi="Cambria" w:eastAsia="Cambria"/>
          <w:b w:val="0"/>
          <w:i w:val="0"/>
          <w:sz w:val="22"/>
        </w:rPr>
        <w:t>This parameter evaluates the teaching capacity, infrastructure, and resources available in agriculture-focused institutions.</w:t>
      </w:r>
    </w:p>
    <w:p>
      <w:pPr>
        <w:keepNext/>
        <w:spacing w:before="200" w:after="100"/>
      </w:pPr>
      <w:r>
        <w:rPr>
          <w:rFonts w:ascii="Cambria" w:hAnsi="Cambria" w:eastAsia="Cambria"/>
          <w:b/>
          <w:i w:val="0"/>
          <w:color w:val="1F3A5F"/>
          <w:sz w:val="24"/>
        </w:rPr>
        <w:t>A. Student Strength (SS)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Considers UG (B.Sc. Agri, Dairy, Horticulture, Fisheries, Forestry), PG, and Ph.D. enrollments.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Balanced enrollment across disciplines is rewarded.</w:t>
      </w:r>
    </w:p>
    <w:p>
      <w:pPr>
        <w:keepNext/>
        <w:spacing w:before="200" w:after="100"/>
      </w:pPr>
      <w:r>
        <w:rPr>
          <w:rFonts w:ascii="Cambria" w:hAnsi="Cambria" w:eastAsia="Cambria"/>
          <w:b/>
          <w:i w:val="0"/>
          <w:color w:val="1F3A5F"/>
          <w:sz w:val="24"/>
        </w:rPr>
        <w:t>B. Faculty–Student Ratio (FSR)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Ensures adequate faculty presence for hands-on, field-based education.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Optimum benchmark: 1:15.</w:t>
      </w:r>
    </w:p>
    <w:p>
      <w:pPr>
        <w:keepNext/>
        <w:spacing w:before="200" w:after="100"/>
      </w:pPr>
      <w:r>
        <w:rPr>
          <w:rFonts w:ascii="Cambria" w:hAnsi="Cambria" w:eastAsia="Cambria"/>
          <w:b/>
          <w:i w:val="0"/>
          <w:color w:val="1F3A5F"/>
          <w:sz w:val="24"/>
        </w:rPr>
        <w:t>C. Faculty with PhD &amp; Experience (FQE)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percentage of PhD-qualified faculty with relevant experience.</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strength in both research-based and field-extension teaching.</w:t>
      </w:r>
    </w:p>
    <w:p>
      <w:pPr>
        <w:keepNext/>
        <w:spacing w:before="200" w:after="100"/>
      </w:pPr>
      <w:r>
        <w:rPr>
          <w:rFonts w:ascii="Cambria" w:hAnsi="Cambria" w:eastAsia="Cambria"/>
          <w:b/>
          <w:i w:val="0"/>
          <w:color w:val="1F3A5F"/>
          <w:sz w:val="24"/>
        </w:rPr>
        <w:t>D. Financial Resources &amp; Utilisation (FRU)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Evaluates per-student expenditure on labs, research farms, veterinary clinics, fisheries hatcheries, dairy units, greenhouses, and ICT-enabled learning.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Shows institutional investment in practice-oriented agriculture training.</w:t>
      </w:r>
    </w:p>
    <w:p>
      <w:pPr>
        <w:keepNext/>
        <w:spacing w:before="280" w:after="120"/>
      </w:pPr>
      <w:r>
        <w:rPr>
          <w:rFonts w:ascii="Cambria" w:hAnsi="Cambria" w:eastAsia="Cambria"/>
          <w:b/>
          <w:i w:val="0"/>
          <w:color w:val="1F3A5F"/>
          <w:sz w:val="30"/>
        </w:rPr>
        <w:t>2. Research &amp; Professional Practice (RP) – 100 Marks (Weight: 0.30)</w:t>
      </w:r>
    </w:p>
    <w:p>
      <w:pPr>
        <w:spacing w:after="120" w:line="276" w:lineRule="auto"/>
        <w:jc w:val="both"/>
      </w:pPr>
      <w:r>
        <w:rPr>
          <w:rFonts w:ascii="Cambria" w:hAnsi="Cambria" w:eastAsia="Cambria"/>
          <w:b w:val="0"/>
          <w:i w:val="0"/>
          <w:sz w:val="22"/>
        </w:rPr>
        <w:t>Agriculture institutions are research-driven, focusing on food security, biotechnology, sustainability, and rural development.</w:t>
      </w:r>
    </w:p>
    <w:p>
      <w:pPr>
        <w:keepNext/>
        <w:spacing w:before="200" w:after="100"/>
      </w:pPr>
      <w:r>
        <w:rPr>
          <w:rFonts w:ascii="Cambria" w:hAnsi="Cambria" w:eastAsia="Cambria"/>
          <w:b/>
          <w:i w:val="0"/>
          <w:color w:val="1F3A5F"/>
          <w:sz w:val="24"/>
        </w:rPr>
        <w:t>A. Publications (PU) – 35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Weighted number of research publications in agriculture, life sciences, veterinary, fisheries, forestry, etc.</w:t>
      </w:r>
    </w:p>
    <w:p>
      <w:pPr>
        <w:keepNext/>
        <w:spacing w:before="200" w:after="100"/>
      </w:pPr>
      <w:r>
        <w:rPr>
          <w:rFonts w:ascii="Cambria" w:hAnsi="Cambria" w:eastAsia="Cambria"/>
          <w:b/>
          <w:i w:val="0"/>
          <w:color w:val="1F3A5F"/>
          <w:sz w:val="24"/>
        </w:rPr>
        <w:t>B. Quality of Publications (QP) – 40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Citations, impact factor, and global visibility of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Encourages evidence-based agricultural innovation.</w:t>
      </w:r>
    </w:p>
    <w:p>
      <w:pPr>
        <w:keepNext/>
        <w:spacing w:before="200" w:after="100"/>
      </w:pPr>
      <w:r>
        <w:rPr>
          <w:rFonts w:ascii="Cambria" w:hAnsi="Cambria" w:eastAsia="Cambria"/>
          <w:b/>
          <w:i w:val="0"/>
          <w:color w:val="1F3A5F"/>
          <w:sz w:val="24"/>
        </w:rPr>
        <w:t>C. IPR &amp; Patents (IPR) – 15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Patents in plant varieties, biotech products, agri-tech innovations.</w:t>
      </w:r>
    </w:p>
    <w:p>
      <w:pPr>
        <w:keepNext/>
        <w:spacing w:before="200" w:after="100"/>
      </w:pPr>
      <w:r>
        <w:rPr>
          <w:rFonts w:ascii="Cambria" w:hAnsi="Cambria" w:eastAsia="Cambria"/>
          <w:b/>
          <w:i w:val="0"/>
          <w:color w:val="1F3A5F"/>
          <w:sz w:val="24"/>
        </w:rPr>
        <w:t>D. Projects &amp; Professional Practice (FPPP) – 10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Sponsored projects, consultancy with agro-industries, rural extension programs, and government collaborations.</w:t>
      </w:r>
    </w:p>
    <w:p>
      <w:pPr>
        <w:keepNext/>
        <w:spacing w:before="280" w:after="120"/>
      </w:pPr>
      <w:r>
        <w:rPr>
          <w:rFonts w:ascii="Cambria" w:hAnsi="Cambria" w:eastAsia="Cambria"/>
          <w:b/>
          <w:i w:val="0"/>
          <w:color w:val="1F3A5F"/>
          <w:sz w:val="30"/>
        </w:rPr>
        <w:t>3. Graduation Outcomes (GO) – 100 Marks (Weight: 0.20)</w:t>
      </w:r>
    </w:p>
    <w:p>
      <w:pPr>
        <w:spacing w:after="120" w:line="276" w:lineRule="auto"/>
        <w:jc w:val="both"/>
      </w:pPr>
      <w:r>
        <w:rPr>
          <w:rFonts w:ascii="Cambria" w:hAnsi="Cambria" w:eastAsia="Cambria"/>
          <w:b w:val="0"/>
          <w:i w:val="0"/>
          <w:sz w:val="22"/>
        </w:rPr>
        <w:t>Captures how well graduates succeed in careers and higher studies.</w:t>
      </w:r>
    </w:p>
    <w:p>
      <w:pPr>
        <w:keepNext/>
        <w:spacing w:before="200" w:after="100"/>
      </w:pPr>
      <w:r>
        <w:rPr>
          <w:rFonts w:ascii="Cambria" w:hAnsi="Cambria" w:eastAsia="Cambria"/>
          <w:b/>
          <w:i w:val="0"/>
          <w:color w:val="1F3A5F"/>
          <w:sz w:val="24"/>
        </w:rPr>
        <w:t>A. Placement &amp; Higher Studies (GPH) – 40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 of students placed in agri-business firms, research labs, food industries, extension services, or admitted for PG/Ph.D. programs.</w:t>
      </w:r>
    </w:p>
    <w:p>
      <w:pPr>
        <w:keepNext/>
        <w:spacing w:before="200" w:after="100"/>
      </w:pPr>
      <w:r>
        <w:rPr>
          <w:rFonts w:ascii="Cambria" w:hAnsi="Cambria" w:eastAsia="Cambria"/>
          <w:b/>
          <w:i w:val="0"/>
          <w:color w:val="1F3A5F"/>
          <w:sz w:val="24"/>
        </w:rPr>
        <w:t>B. University Examinations (GUE) – 15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Timely graduation rate.</w:t>
      </w:r>
    </w:p>
    <w:p>
      <w:pPr>
        <w:keepNext/>
        <w:spacing w:before="200" w:after="100"/>
      </w:pPr>
      <w:r>
        <w:rPr>
          <w:rFonts w:ascii="Cambria" w:hAnsi="Cambria" w:eastAsia="Cambria"/>
          <w:b/>
          <w:i w:val="0"/>
          <w:color w:val="1F3A5F"/>
          <w:sz w:val="24"/>
        </w:rPr>
        <w:t>C. Median Salary (GMS) – 25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Median annual package of placed graduates.</w:t>
      </w:r>
    </w:p>
    <w:p>
      <w:pPr>
        <w:keepNext/>
        <w:spacing w:before="200" w:after="100"/>
      </w:pPr>
      <w:r>
        <w:rPr>
          <w:rFonts w:ascii="Cambria" w:hAnsi="Cambria" w:eastAsia="Cambria"/>
          <w:b/>
          <w:i w:val="0"/>
          <w:color w:val="1F3A5F"/>
          <w:sz w:val="24"/>
        </w:rPr>
        <w:t>D. Ph.D. Students Graduated (GPHD)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Average Ph.D. graduates over 3 years in agriculture and allied fields.</w:t>
      </w:r>
    </w:p>
    <w:p>
      <w:pPr>
        <w:keepNext/>
        <w:spacing w:before="280" w:after="120"/>
      </w:pPr>
      <w:r>
        <w:rPr>
          <w:rFonts w:ascii="Cambria" w:hAnsi="Cambria" w:eastAsia="Cambria"/>
          <w:b/>
          <w:i w:val="0"/>
          <w:color w:val="1F3A5F"/>
          <w:sz w:val="30"/>
        </w:rPr>
        <w:t>4. Outreach &amp; Inclusivity (OI) – 100 Marks (Weight: 0.10)</w:t>
      </w:r>
    </w:p>
    <w:p>
      <w:pPr>
        <w:spacing w:after="120" w:line="276" w:lineRule="auto"/>
        <w:jc w:val="both"/>
      </w:pPr>
      <w:r>
        <w:rPr>
          <w:rFonts w:ascii="Cambria" w:hAnsi="Cambria" w:eastAsia="Cambria"/>
          <w:b w:val="0"/>
          <w:i w:val="0"/>
          <w:sz w:val="22"/>
        </w:rPr>
        <w:t>Ensures agriculture institutions serve diverse and inclusive student populations.</w:t>
      </w:r>
    </w:p>
    <w:p>
      <w:pPr>
        <w:keepNext/>
        <w:spacing w:before="200" w:after="100"/>
      </w:pPr>
      <w:r>
        <w:rPr>
          <w:rFonts w:ascii="Cambria" w:hAnsi="Cambria" w:eastAsia="Cambria"/>
          <w:b/>
          <w:i w:val="0"/>
          <w:color w:val="1F3A5F"/>
          <w:sz w:val="24"/>
        </w:rPr>
        <w:t>A. Regional Diversity (RD)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Students from other states/countries enrolled.</w:t>
      </w:r>
    </w:p>
    <w:p>
      <w:pPr>
        <w:keepNext/>
        <w:spacing w:before="200" w:after="100"/>
      </w:pPr>
      <w:r>
        <w:rPr>
          <w:rFonts w:ascii="Cambria" w:hAnsi="Cambria" w:eastAsia="Cambria"/>
          <w:b/>
          <w:i w:val="0"/>
          <w:color w:val="1F3A5F"/>
          <w:sz w:val="24"/>
        </w:rPr>
        <w:t>B. Women Diversity (WD)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Share of women students and women faculty (including senior roles).</w:t>
      </w:r>
    </w:p>
    <w:p>
      <w:pPr>
        <w:keepNext/>
        <w:spacing w:before="200" w:after="100"/>
      </w:pPr>
      <w:r>
        <w:rPr>
          <w:rFonts w:ascii="Cambria" w:hAnsi="Cambria" w:eastAsia="Cambria"/>
          <w:b/>
          <w:i w:val="0"/>
          <w:color w:val="1F3A5F"/>
          <w:sz w:val="24"/>
        </w:rPr>
        <w:t>C. Economically &amp; Socially Challenged Students (ESCS)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Full fee reimbursements, scholarships, stipends to underprivileged students.</w:t>
      </w:r>
    </w:p>
    <w:p>
      <w:pPr>
        <w:keepNext/>
        <w:spacing w:before="200" w:after="100"/>
      </w:pPr>
      <w:r>
        <w:rPr>
          <w:rFonts w:ascii="Cambria" w:hAnsi="Cambria" w:eastAsia="Cambria"/>
          <w:b/>
          <w:i w:val="0"/>
          <w:color w:val="1F3A5F"/>
          <w:sz w:val="24"/>
        </w:rPr>
        <w:t>D. Facilities for Physically Challenged Students (PCS)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Infrastructure and assistive technologies for differently-abled students.</w:t>
      </w:r>
    </w:p>
    <w:p>
      <w:pPr>
        <w:keepNext/>
        <w:spacing w:before="280" w:after="120"/>
      </w:pPr>
      <w:r>
        <w:rPr>
          <w:rFonts w:ascii="Cambria" w:hAnsi="Cambria" w:eastAsia="Cambria"/>
          <w:b/>
          <w:i w:val="0"/>
          <w:color w:val="1F3A5F"/>
          <w:sz w:val="30"/>
        </w:rPr>
        <w:t>5. Perception (PR) – 100 Marks (Weight: 0.10)</w:t>
      </w:r>
    </w:p>
    <w:p>
      <w:pPr>
        <w:spacing w:after="120" w:line="276" w:lineRule="auto"/>
        <w:jc w:val="both"/>
      </w:pPr>
      <w:r>
        <w:rPr>
          <w:rFonts w:ascii="Cambria" w:hAnsi="Cambria" w:eastAsia="Cambria"/>
          <w:b w:val="0"/>
          <w:i w:val="0"/>
          <w:sz w:val="22"/>
        </w:rPr>
        <w:t>Reflects national reputation and credibility.</w:t>
      </w:r>
    </w:p>
    <w:p>
      <w:pPr>
        <w:keepNext/>
        <w:spacing w:before="200" w:after="100"/>
      </w:pPr>
      <w:r>
        <w:rPr>
          <w:rFonts w:ascii="Cambria" w:hAnsi="Cambria" w:eastAsia="Cambria"/>
          <w:b/>
          <w:i w:val="0"/>
          <w:color w:val="1F3A5F"/>
          <w:sz w:val="24"/>
        </w:rPr>
        <w:t>A. Peer Perception – 100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Based on surveys of employers (agribusiness, biotech, food industry, government agencies), research peers, and collaborators.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Captures recognition of graduate quality and institutional visibility.</w:t>
      </w:r>
    </w:p>
    <w:p>
      <w:pPr>
        <w:spacing w:after="40" w:line="276" w:lineRule="auto"/>
      </w:pPr>
      <w:r>
        <w:rPr>
          <w:rFonts w:ascii="Cambria" w:hAnsi="Cambria" w:eastAsia="Cambria"/>
          <w:b/>
          <w:i w:val="0"/>
          <w:sz w:val="22"/>
        </w:rPr>
        <w:t>Key Insights for Agriculture &amp; Allied Sectors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(30%) and RP (30%) dominate, showing equal importance of teaching excellence and agricultural research.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(20%) emphasizes placements, salaries, and Ph.D. training, critical for employability and research careers.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ensures inclusivity in line with agriculture's role in rural upliftment.</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(10%) adds credibility, reflecting how well graduates and institutions are perceived nationally.</w:t>
      </w:r>
    </w:p>
    <w:p>
      <w:pPr>
        <w:spacing w:after="80" w:line="276" w:lineRule="auto"/>
      </w:pPr>
      <w:r>
        <w:rPr>
          <w:rFonts w:ascii="Cambria" w:hAnsi="Cambria" w:eastAsia="Cambria"/>
          <w:b/>
          <w:i w:val="0"/>
          <w:sz w:val="22"/>
        </w:rPr>
        <w:t>NIRF 2024 – Overall vs Agriculture &amp; Allied Sectors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438"/>
            <w:shd w:val="clear" w:color="auto" w:fill="1F3A5F"/>
          </w:tcPr>
          <w:p>
            <w:pPr>
              <w:spacing w:after="40" w:line="240" w:lineRule="auto"/>
              <w:jc w:val="center"/>
            </w:pPr>
            <w:r/>
            <w:r>
              <w:rPr>
                <w:rFonts w:ascii="Cambria" w:hAnsi="Cambria" w:eastAsia="Cambria"/>
                <w:b/>
                <w:i w:val="0"/>
                <w:color w:val="FFFFFF"/>
                <w:sz w:val="22"/>
              </w:rPr>
              <w:t>Parameter</w:t>
            </w:r>
          </w:p>
        </w:tc>
        <w:tc>
          <w:tcPr>
            <w:tcW w:type="dxa" w:w="3487"/>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487"/>
            <w:shd w:val="clear" w:color="auto" w:fill="1F3A5F"/>
          </w:tcPr>
          <w:p>
            <w:pPr>
              <w:spacing w:after="40" w:line="240" w:lineRule="auto"/>
              <w:jc w:val="center"/>
            </w:pPr>
            <w:r/>
            <w:r>
              <w:rPr>
                <w:rFonts w:ascii="Cambria" w:hAnsi="Cambria" w:eastAsia="Cambria"/>
                <w:b/>
                <w:i w:val="0"/>
                <w:color w:val="FFFFFF"/>
                <w:sz w:val="22"/>
              </w:rPr>
              <w:t>Agriculture &amp; Allied Sectors Framework</w:t>
            </w:r>
          </w:p>
        </w:tc>
      </w:tr>
      <w:tr>
        <w:tc>
          <w:tcPr>
            <w:tcW w:type="dxa" w:w="2438"/>
          </w:tcPr>
          <w:p>
            <w:pPr>
              <w:spacing w:after="40" w:line="240" w:lineRule="auto"/>
              <w:jc w:val="left"/>
            </w:pPr>
            <w:r/>
            <w:r>
              <w:rPr>
                <w:rFonts w:ascii="Cambria" w:hAnsi="Cambria" w:eastAsia="Cambria"/>
                <w:b w:val="0"/>
                <w:i w:val="0"/>
                <w:sz w:val="22"/>
              </w:rPr>
              <w:t>Teaching, Learning &amp; Resources (TLR)</w:t>
            </w:r>
          </w:p>
        </w:tc>
        <w:tc>
          <w:tcPr>
            <w:tcW w:type="dxa" w:w="3487"/>
          </w:tcPr>
          <w:p>
            <w:pPr>
              <w:spacing w:after="40" w:line="240" w:lineRule="auto"/>
              <w:jc w:val="center"/>
            </w:pPr>
            <w:r/>
            <w:r>
              <w:rPr>
                <w:rFonts w:ascii="Cambria" w:hAnsi="Cambria" w:eastAsia="Cambria"/>
                <w:b w:val="0"/>
                <w:i w:val="0"/>
                <w:sz w:val="22"/>
              </w:rPr>
              <w:t>100 marks (30%)</w:t>
              <w:br/>
              <w:t>SS (20)</w:t>
              <w:br/>
              <w:t>FSR (25)</w:t>
              <w:br/>
              <w:t>FQE (20)</w:t>
              <w:br/>
              <w:t>FRU (20)</w:t>
              <w:br/>
              <w:t>OE (10)</w:t>
              <w:br/>
              <w:t>MIR (5)</w:t>
            </w:r>
          </w:p>
        </w:tc>
        <w:tc>
          <w:tcPr>
            <w:tcW w:type="dxa" w:w="3487"/>
          </w:tcPr>
          <w:p>
            <w:pPr>
              <w:spacing w:after="40" w:line="240" w:lineRule="auto"/>
              <w:jc w:val="center"/>
            </w:pPr>
            <w:r/>
            <w:r>
              <w:rPr>
                <w:rFonts w:ascii="Cambria" w:hAnsi="Cambria" w:eastAsia="Cambria"/>
                <w:b w:val="0"/>
                <w:i w:val="0"/>
                <w:sz w:val="22"/>
              </w:rPr>
              <w:t>100 marks (30%)</w:t>
              <w:br/>
              <w:t>SS (20)</w:t>
              <w:br/>
              <w:t>FSR (30)</w:t>
              <w:br/>
              <w:t>FQE (20)</w:t>
              <w:br/>
              <w:t>FRU (30)</w:t>
            </w:r>
          </w:p>
        </w:tc>
      </w:tr>
      <w:tr>
        <w:tc>
          <w:tcPr>
            <w:tcW w:type="dxa" w:w="2438"/>
            <w:shd w:val="clear" w:color="auto" w:fill="DCE6F1"/>
          </w:tcPr>
          <w:p>
            <w:pPr>
              <w:spacing w:after="40" w:line="240" w:lineRule="auto"/>
              <w:jc w:val="left"/>
            </w:pPr>
            <w:r/>
            <w:r>
              <w:rPr>
                <w:rFonts w:ascii="Cambria" w:hAnsi="Cambria" w:eastAsia="Cambria"/>
                <w:b w:val="0"/>
                <w:i w:val="0"/>
                <w:sz w:val="22"/>
              </w:rPr>
              <w:t>Research &amp; Professional Practice (RP)</w:t>
            </w:r>
          </w:p>
        </w:tc>
        <w:tc>
          <w:tcPr>
            <w:tcW w:type="dxa" w:w="3487"/>
            <w:shd w:val="clear" w:color="auto" w:fill="DCE6F1"/>
          </w:tcPr>
          <w:p>
            <w:pPr>
              <w:spacing w:after="40" w:line="240" w:lineRule="auto"/>
              <w:jc w:val="center"/>
            </w:pPr>
            <w:r/>
            <w:r>
              <w:rPr>
                <w:rFonts w:ascii="Cambria" w:hAnsi="Cambria" w:eastAsia="Cambria"/>
                <w:b w:val="0"/>
                <w:i w:val="0"/>
                <w:sz w:val="22"/>
              </w:rPr>
              <w:t>100 marks (30%)</w:t>
              <w:br/>
              <w:t>PU (30)</w:t>
              <w:br/>
              <w:t>QP (30)</w:t>
              <w:br/>
              <w:t>IPR (15)</w:t>
              <w:br/>
              <w:t>FPPP (15)</w:t>
              <w:br/>
              <w:t>PSDGs (10)</w:t>
            </w:r>
          </w:p>
        </w:tc>
        <w:tc>
          <w:tcPr>
            <w:tcW w:type="dxa" w:w="3487"/>
            <w:shd w:val="clear" w:color="auto" w:fill="DCE6F1"/>
          </w:tcPr>
          <w:p>
            <w:pPr>
              <w:spacing w:after="40" w:line="240" w:lineRule="auto"/>
              <w:jc w:val="center"/>
            </w:pPr>
            <w:r/>
            <w:r>
              <w:rPr>
                <w:rFonts w:ascii="Cambria" w:hAnsi="Cambria" w:eastAsia="Cambria"/>
                <w:b w:val="0"/>
                <w:i w:val="0"/>
                <w:sz w:val="22"/>
              </w:rPr>
              <w:t>100 marks (30%)</w:t>
              <w:br/>
              <w:t>PU (35)</w:t>
              <w:br/>
              <w:t>QP (40)</w:t>
              <w:br/>
              <w:t>IPR (15)</w:t>
              <w:br/>
              <w:t>FPPP (10)</w:t>
            </w:r>
          </w:p>
        </w:tc>
      </w:tr>
      <w:tr>
        <w:tc>
          <w:tcPr>
            <w:tcW w:type="dxa" w:w="2438"/>
          </w:tcPr>
          <w:p>
            <w:pPr>
              <w:spacing w:after="40" w:line="240" w:lineRule="auto"/>
              <w:jc w:val="left"/>
            </w:pPr>
            <w:r/>
            <w:r>
              <w:rPr>
                <w:rFonts w:ascii="Cambria" w:hAnsi="Cambria" w:eastAsia="Cambria"/>
                <w:b w:val="0"/>
                <w:i w:val="0"/>
                <w:sz w:val="22"/>
              </w:rPr>
              <w:t>Graduation Outcomes (GO)</w:t>
            </w:r>
          </w:p>
        </w:tc>
        <w:tc>
          <w:tcPr>
            <w:tcW w:type="dxa" w:w="3487"/>
          </w:tcPr>
          <w:p>
            <w:pPr>
              <w:spacing w:after="40" w:line="240" w:lineRule="auto"/>
              <w:jc w:val="center"/>
            </w:pPr>
            <w:r/>
            <w:r>
              <w:rPr>
                <w:rFonts w:ascii="Cambria" w:hAnsi="Cambria" w:eastAsia="Cambria"/>
                <w:b w:val="0"/>
                <w:i w:val="0"/>
                <w:sz w:val="22"/>
              </w:rPr>
              <w:t>100 marks (20%)</w:t>
              <w:br/>
              <w:t>GUE (60)</w:t>
              <w:br/>
              <w:t>GPHD (40)</w:t>
            </w:r>
          </w:p>
        </w:tc>
        <w:tc>
          <w:tcPr>
            <w:tcW w:type="dxa" w:w="3487"/>
          </w:tcPr>
          <w:p>
            <w:pPr>
              <w:spacing w:after="40" w:line="240" w:lineRule="auto"/>
              <w:jc w:val="center"/>
            </w:pPr>
            <w:r/>
            <w:r>
              <w:rPr>
                <w:rFonts w:ascii="Cambria" w:hAnsi="Cambria" w:eastAsia="Cambria"/>
                <w:b w:val="0"/>
                <w:i w:val="0"/>
                <w:sz w:val="22"/>
              </w:rPr>
              <w:t>100 marks (20%)</w:t>
              <w:br/>
              <w:t>Placement &amp; Higher Studies (40)</w:t>
              <w:br/>
              <w:t>GUE (15)</w:t>
              <w:br/>
              <w:t>Median Salary (25)</w:t>
              <w:br/>
              <w:t>Ph.D. Graduates (20)</w:t>
            </w:r>
          </w:p>
        </w:tc>
      </w:tr>
      <w:tr>
        <w:tc>
          <w:tcPr>
            <w:tcW w:type="dxa" w:w="2438"/>
            <w:shd w:val="clear" w:color="auto" w:fill="DCE6F1"/>
          </w:tcPr>
          <w:p>
            <w:pPr>
              <w:spacing w:after="40" w:line="240" w:lineRule="auto"/>
              <w:jc w:val="left"/>
            </w:pPr>
            <w:r/>
            <w:r>
              <w:rPr>
                <w:rFonts w:ascii="Cambria" w:hAnsi="Cambria" w:eastAsia="Cambria"/>
                <w:b w:val="0"/>
                <w:i w:val="0"/>
                <w:sz w:val="22"/>
              </w:rPr>
              <w:t>Outreach &amp; Inclusivity (OI)</w:t>
            </w:r>
          </w:p>
        </w:tc>
        <w:tc>
          <w:tcPr>
            <w:tcW w:type="dxa" w:w="3487"/>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c>
          <w:tcPr>
            <w:tcW w:type="dxa" w:w="3487"/>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r>
      <w:tr>
        <w:tc>
          <w:tcPr>
            <w:tcW w:type="dxa" w:w="2438"/>
          </w:tcPr>
          <w:p>
            <w:pPr>
              <w:spacing w:after="40" w:line="240" w:lineRule="auto"/>
              <w:jc w:val="left"/>
            </w:pPr>
            <w:r/>
            <w:r>
              <w:rPr>
                <w:rFonts w:ascii="Cambria" w:hAnsi="Cambria" w:eastAsia="Cambria"/>
                <w:b w:val="0"/>
                <w:i w:val="0"/>
                <w:sz w:val="22"/>
              </w:rPr>
              <w:t>Perception (PR)</w:t>
            </w:r>
          </w:p>
        </w:tc>
        <w:tc>
          <w:tcPr>
            <w:tcW w:type="dxa" w:w="3487"/>
          </w:tcPr>
          <w:p>
            <w:pPr>
              <w:spacing w:after="40" w:line="240" w:lineRule="auto"/>
              <w:jc w:val="center"/>
            </w:pPr>
            <w:r/>
            <w:r>
              <w:rPr>
                <w:rFonts w:ascii="Cambria" w:hAnsi="Cambria" w:eastAsia="Cambria"/>
                <w:b w:val="0"/>
                <w:i w:val="0"/>
                <w:sz w:val="22"/>
              </w:rPr>
              <w:t>100 marks (10%)</w:t>
              <w:br/>
              <w:t>Peer Perception (100)</w:t>
            </w:r>
          </w:p>
        </w:tc>
        <w:tc>
          <w:tcPr>
            <w:tcW w:type="dxa" w:w="3487"/>
          </w:tcPr>
          <w:p>
            <w:pPr>
              <w:spacing w:after="40" w:line="240" w:lineRule="auto"/>
              <w:jc w:val="center"/>
            </w:pPr>
            <w:r/>
            <w:r>
              <w:rPr>
                <w:rFonts w:ascii="Cambria" w:hAnsi="Cambria" w:eastAsia="Cambria"/>
                <w:b w:val="0"/>
                <w:i w:val="0"/>
                <w:sz w:val="22"/>
              </w:rPr>
              <w:t>100 marks (10%)</w:t>
              <w:br/>
              <w:t>Peer Perception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Online Education (10) and MIR (5) to reflect NEP-2020 reforms.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Agriculture</w:t>
      </w:r>
      <w:r>
        <w:rPr>
          <w:rFonts w:ascii="Cambria" w:hAnsi="Cambria" w:eastAsia="Cambria"/>
          <w:b w:val="0"/>
          <w:i w:val="0"/>
          <w:sz w:val="22"/>
        </w:rPr>
        <w:t xml:space="preserve"> gives more weight to FSR (30) and FRU (30), focusing on fieldwork, labs, and practice-based training.</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balances across publications, quality, patents, projects, and SDGs.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Agriculture</w:t>
      </w:r>
      <w:r>
        <w:rPr>
          <w:rFonts w:ascii="Cambria" w:hAnsi="Cambria" w:eastAsia="Cambria"/>
          <w:b w:val="0"/>
          <w:i w:val="0"/>
          <w:sz w:val="22"/>
        </w:rPr>
        <w:t xml:space="preserve"> strengthens publications (35) and quality (40) while keeping IPR (15); projects (10) carry less weight, SDGs not separately tracked.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University Exams (60) + Ph.D.s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Agriculture</w:t>
      </w:r>
      <w:r>
        <w:rPr>
          <w:rFonts w:ascii="Cambria" w:hAnsi="Cambria" w:eastAsia="Cambria"/>
          <w:b w:val="0"/>
          <w:i w:val="0"/>
          <w:sz w:val="22"/>
        </w:rPr>
        <w:t xml:space="preserve"> = Placements (40) + Median Salary (25) + Exams (15) + Ph.D.s (20) → reflects employability and rural/agri-sector careers.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Both frameworks use the same sub-parameters and weights.</w:t>
      </w:r>
    </w:p>
    <w:p>
      <w:r>
        <w:br w:type="page"/>
      </w:r>
    </w:p>
    <w:p>
      <w:pPr>
        <w:keepNext/>
        <w:spacing w:before="360" w:after="160"/>
      </w:pPr>
      <w:r>
        <w:rPr>
          <w:rFonts w:ascii="Cambria" w:hAnsi="Cambria" w:eastAsia="Cambria"/>
          <w:b/>
          <w:i w:val="0"/>
          <w:color w:val="1F3A5F"/>
          <w:sz w:val="36"/>
        </w:rPr>
        <w:t>77. NIRF 2024 Framework for Dental Institutions</w:t>
      </w:r>
    </w:p>
    <w:p>
      <w:pPr>
        <w:keepNext/>
        <w:spacing w:before="280" w:after="120"/>
      </w:pPr>
      <w:r>
        <w:rPr>
          <w:rFonts w:ascii="Cambria" w:hAnsi="Cambria" w:eastAsia="Cambria"/>
          <w:b/>
          <w:i w:val="0"/>
          <w:color w:val="1F3A5F"/>
          <w:sz w:val="30"/>
        </w:rPr>
        <w:t>1. Teaching, Learning &amp; Resources (TLR) – 100 Marks (Weight: 0.30)</w:t>
      </w:r>
    </w:p>
    <w:p>
      <w:pPr>
        <w:spacing w:after="120" w:line="276" w:lineRule="auto"/>
        <w:jc w:val="both"/>
      </w:pPr>
      <w:r>
        <w:rPr>
          <w:rFonts w:ascii="Cambria" w:hAnsi="Cambria" w:eastAsia="Cambria"/>
          <w:b w:val="0"/>
          <w:i w:val="0"/>
          <w:sz w:val="22"/>
        </w:rPr>
        <w:t>Dental education is clinical and infrastructure-intensive, hence TLR plays a significant role.</w:t>
      </w:r>
    </w:p>
    <w:p>
      <w:pPr>
        <w:keepNext/>
        <w:spacing w:before="200" w:after="100"/>
      </w:pPr>
      <w:r>
        <w:rPr>
          <w:rFonts w:ascii="Cambria" w:hAnsi="Cambria" w:eastAsia="Cambria"/>
          <w:b/>
          <w:i w:val="0"/>
          <w:color w:val="1F3A5F"/>
          <w:sz w:val="24"/>
        </w:rPr>
        <w:t>A. Student Strength (SS) – 15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Enrollment across UG (BDS), PG (MDS), and doctoral levels.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Slightly lower weight than other medical disciplines, as capacity is often restricted by regulatory norms.</w:t>
      </w:r>
    </w:p>
    <w:p>
      <w:pPr>
        <w:keepNext/>
        <w:spacing w:before="200" w:after="100"/>
      </w:pPr>
      <w:r>
        <w:rPr>
          <w:rFonts w:ascii="Cambria" w:hAnsi="Cambria" w:eastAsia="Cambria"/>
          <w:b/>
          <w:i w:val="0"/>
          <w:color w:val="1F3A5F"/>
          <w:sz w:val="24"/>
        </w:rPr>
        <w:t>B. Faculty–Student Ratio (FSR)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Critical in clinical fields where supervision and patient interaction need close monitoring.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Optimum benchmark: 1:15.</w:t>
      </w:r>
    </w:p>
    <w:p>
      <w:pPr>
        <w:keepNext/>
        <w:spacing w:before="200" w:after="100"/>
      </w:pPr>
      <w:r>
        <w:rPr>
          <w:rFonts w:ascii="Cambria" w:hAnsi="Cambria" w:eastAsia="Cambria"/>
          <w:b/>
          <w:i w:val="0"/>
          <w:color w:val="1F3A5F"/>
          <w:sz w:val="24"/>
        </w:rPr>
        <w:t>C. Faculty with PhD &amp; Experience (FQE)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Rewards institutions with higher percentage of PhD/MDS-qualified faculty with substantial teaching and clinical experience.</w:t>
      </w:r>
    </w:p>
    <w:p>
      <w:pPr>
        <w:keepNext/>
        <w:spacing w:before="200" w:after="100"/>
      </w:pPr>
      <w:r>
        <w:rPr>
          <w:rFonts w:ascii="Cambria" w:hAnsi="Cambria" w:eastAsia="Cambria"/>
          <w:b/>
          <w:i w:val="0"/>
          <w:color w:val="1F3A5F"/>
          <w:sz w:val="24"/>
        </w:rPr>
        <w:t>D. Financial Resources &amp; Utilisation (FRU) – 35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Higher weight compared to other categories.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Reflects heavy investment in dental chairs, laboratories, clinics, radiology units, prosthodontic equipment, cadaver labs, and ICT resources.</w:t>
      </w:r>
    </w:p>
    <w:p>
      <w:pPr>
        <w:keepNext/>
        <w:spacing w:before="280" w:after="120"/>
      </w:pPr>
      <w:r>
        <w:rPr>
          <w:rFonts w:ascii="Cambria" w:hAnsi="Cambria" w:eastAsia="Cambria"/>
          <w:b/>
          <w:i w:val="0"/>
          <w:color w:val="1F3A5F"/>
          <w:sz w:val="30"/>
        </w:rPr>
        <w:t>2. Research &amp; Professional Practice (RP) – 100 Marks (Weight: 0.30)</w:t>
      </w:r>
    </w:p>
    <w:p>
      <w:pPr>
        <w:spacing w:after="120" w:line="276" w:lineRule="auto"/>
        <w:jc w:val="both"/>
      </w:pPr>
      <w:r>
        <w:rPr>
          <w:rFonts w:ascii="Cambria" w:hAnsi="Cambria" w:eastAsia="Cambria"/>
          <w:b w:val="0"/>
          <w:i w:val="0"/>
          <w:sz w:val="22"/>
        </w:rPr>
        <w:t>Focuses on research strength and practical clinical outreach.</w:t>
      </w:r>
    </w:p>
    <w:p>
      <w:pPr>
        <w:keepNext/>
        <w:spacing w:before="200" w:after="100"/>
      </w:pPr>
      <w:r>
        <w:rPr>
          <w:rFonts w:ascii="Cambria" w:hAnsi="Cambria" w:eastAsia="Cambria"/>
          <w:b/>
          <w:i w:val="0"/>
          <w:color w:val="1F3A5F"/>
          <w:sz w:val="24"/>
        </w:rPr>
        <w:t>A. Publications (PU) – 40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Weighted publication count in dental sciences, maxillofacial surgery, prosthodontics, orthodontics, oral pathology, etc.</w:t>
      </w:r>
    </w:p>
    <w:p>
      <w:pPr>
        <w:keepNext/>
        <w:spacing w:before="200" w:after="100"/>
      </w:pPr>
      <w:r>
        <w:rPr>
          <w:rFonts w:ascii="Cambria" w:hAnsi="Cambria" w:eastAsia="Cambria"/>
          <w:b/>
          <w:i w:val="0"/>
          <w:color w:val="1F3A5F"/>
          <w:sz w:val="24"/>
        </w:rPr>
        <w:t>B. Quality of Publications (QP) – 40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Citations, journal indexing (Scopus, PubMed), h-index, and global impact.</w:t>
      </w:r>
    </w:p>
    <w:p>
      <w:pPr>
        <w:keepNext/>
        <w:spacing w:before="200" w:after="100"/>
      </w:pPr>
      <w:r>
        <w:rPr>
          <w:rFonts w:ascii="Cambria" w:hAnsi="Cambria" w:eastAsia="Cambria"/>
          <w:b/>
          <w:i w:val="0"/>
          <w:color w:val="1F3A5F"/>
          <w:sz w:val="24"/>
        </w:rPr>
        <w:t>C. Projects &amp; Professional Practice (FPPP)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Funded projects, consultancy, outreach dental camps, public health dentistry initiatives.</w:t>
      </w:r>
    </w:p>
    <w:p>
      <w:pPr>
        <w:keepNext/>
        <w:spacing w:before="280" w:after="120"/>
      </w:pPr>
      <w:r>
        <w:rPr>
          <w:rFonts w:ascii="Cambria" w:hAnsi="Cambria" w:eastAsia="Cambria"/>
          <w:b/>
          <w:i w:val="0"/>
          <w:color w:val="1F3A5F"/>
          <w:sz w:val="30"/>
        </w:rPr>
        <w:t>3. Graduation Outcomes (GO) – 100 Marks (Weight: 0.20)</w:t>
      </w:r>
    </w:p>
    <w:p>
      <w:pPr>
        <w:spacing w:after="120" w:line="276" w:lineRule="auto"/>
        <w:jc w:val="both"/>
      </w:pPr>
      <w:r>
        <w:rPr>
          <w:rFonts w:ascii="Cambria" w:hAnsi="Cambria" w:eastAsia="Cambria"/>
          <w:b w:val="0"/>
          <w:i w:val="0"/>
          <w:sz w:val="22"/>
        </w:rPr>
        <w:t>Captures how effectively graduates succeed in placements, exams, and higher studies.</w:t>
      </w:r>
    </w:p>
    <w:p>
      <w:pPr>
        <w:keepNext/>
        <w:spacing w:before="200" w:after="100"/>
      </w:pPr>
      <w:r>
        <w:rPr>
          <w:rFonts w:ascii="Cambria" w:hAnsi="Cambria" w:eastAsia="Cambria"/>
          <w:b/>
          <w:i w:val="0"/>
          <w:color w:val="1F3A5F"/>
          <w:sz w:val="24"/>
        </w:rPr>
        <w:t>A. Placement &amp; Higher Studies (GPH) – 35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 of BDS/MDS graduates securing employment in clinics, hospitals, or higher education admissions.</w:t>
      </w:r>
    </w:p>
    <w:p>
      <w:pPr>
        <w:keepNext/>
        <w:spacing w:before="200" w:after="100"/>
      </w:pPr>
      <w:r>
        <w:rPr>
          <w:rFonts w:ascii="Cambria" w:hAnsi="Cambria" w:eastAsia="Cambria"/>
          <w:b/>
          <w:i w:val="0"/>
          <w:color w:val="1F3A5F"/>
          <w:sz w:val="24"/>
        </w:rPr>
        <w:t>B. University Examinations (GUE)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On-time graduation rate across programs.</w:t>
      </w:r>
    </w:p>
    <w:p>
      <w:pPr>
        <w:keepNext/>
        <w:spacing w:before="200" w:after="100"/>
      </w:pPr>
      <w:r>
        <w:rPr>
          <w:rFonts w:ascii="Cambria" w:hAnsi="Cambria" w:eastAsia="Cambria"/>
          <w:b/>
          <w:i w:val="0"/>
          <w:color w:val="1F3A5F"/>
          <w:sz w:val="24"/>
        </w:rPr>
        <w:t>C. PG Graduates (GPG) – 35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Average number of postgraduate students graduating (MDS) over 3 years.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High weight reflects the importance of advanced specialization in dentistry.</w:t>
      </w:r>
    </w:p>
    <w:p>
      <w:pPr>
        <w:keepNext/>
        <w:spacing w:before="280" w:after="120"/>
      </w:pPr>
      <w:r>
        <w:rPr>
          <w:rFonts w:ascii="Cambria" w:hAnsi="Cambria" w:eastAsia="Cambria"/>
          <w:b/>
          <w:i w:val="0"/>
          <w:color w:val="1F3A5F"/>
          <w:sz w:val="30"/>
        </w:rPr>
        <w:t>4. Outreach &amp; Inclusivity (OI) – 100 Marks (Weight: 0.10)</w:t>
      </w:r>
    </w:p>
    <w:p>
      <w:pPr>
        <w:spacing w:after="120" w:line="276" w:lineRule="auto"/>
        <w:jc w:val="both"/>
      </w:pPr>
      <w:r>
        <w:rPr>
          <w:rFonts w:ascii="Cambria" w:hAnsi="Cambria" w:eastAsia="Cambria"/>
          <w:b w:val="0"/>
          <w:i w:val="0"/>
          <w:sz w:val="22"/>
        </w:rPr>
        <w:t>Measures diversity, inclusivity, and equity in admissions and access.</w:t>
      </w:r>
    </w:p>
    <w:p>
      <w:pPr>
        <w:keepNext/>
        <w:spacing w:before="200" w:after="100"/>
      </w:pPr>
      <w:r>
        <w:rPr>
          <w:rFonts w:ascii="Cambria" w:hAnsi="Cambria" w:eastAsia="Cambria"/>
          <w:b/>
          <w:i w:val="0"/>
          <w:color w:val="1F3A5F"/>
          <w:sz w:val="24"/>
        </w:rPr>
        <w:t>A. Regional Diversity (RD)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Students enrolled from other states/countries.</w:t>
      </w:r>
    </w:p>
    <w:p>
      <w:pPr>
        <w:keepNext/>
        <w:spacing w:before="200" w:after="100"/>
      </w:pPr>
      <w:r>
        <w:rPr>
          <w:rFonts w:ascii="Cambria" w:hAnsi="Cambria" w:eastAsia="Cambria"/>
          <w:b/>
          <w:i w:val="0"/>
          <w:color w:val="1F3A5F"/>
          <w:sz w:val="24"/>
        </w:rPr>
        <w:t>B. Women Diversity (WD) – 30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Women student and faculty representation (notable as dentistry sees high women participation).</w:t>
      </w:r>
    </w:p>
    <w:p>
      <w:pPr>
        <w:keepNext/>
        <w:spacing w:before="200" w:after="100"/>
      </w:pPr>
      <w:r>
        <w:rPr>
          <w:rFonts w:ascii="Cambria" w:hAnsi="Cambria" w:eastAsia="Cambria"/>
          <w:b/>
          <w:i w:val="0"/>
          <w:color w:val="1F3A5F"/>
          <w:sz w:val="24"/>
        </w:rPr>
        <w:t>C. Economically &amp; Socially Challenged Students (ESCS)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Fee waivers, scholarships, and support for disadvantaged students.</w:t>
      </w:r>
    </w:p>
    <w:p>
      <w:pPr>
        <w:keepNext/>
        <w:spacing w:before="200" w:after="100"/>
      </w:pPr>
      <w:r>
        <w:rPr>
          <w:rFonts w:ascii="Cambria" w:hAnsi="Cambria" w:eastAsia="Cambria"/>
          <w:b/>
          <w:i w:val="0"/>
          <w:color w:val="1F3A5F"/>
          <w:sz w:val="24"/>
        </w:rPr>
        <w:t>D. Physically Challenged Students (PCS) – 20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Accessibility infrastructure, special learning provisions.</w:t>
      </w:r>
    </w:p>
    <w:p>
      <w:pPr>
        <w:keepNext/>
        <w:spacing w:before="280" w:after="120"/>
      </w:pPr>
      <w:r>
        <w:rPr>
          <w:rFonts w:ascii="Cambria" w:hAnsi="Cambria" w:eastAsia="Cambria"/>
          <w:b/>
          <w:i w:val="0"/>
          <w:color w:val="1F3A5F"/>
          <w:sz w:val="30"/>
        </w:rPr>
        <w:t>5. Perception (PR) – 100 Marks (Weight: 0.10)</w:t>
      </w:r>
    </w:p>
    <w:p>
      <w:pPr>
        <w:spacing w:after="120" w:line="276" w:lineRule="auto"/>
        <w:jc w:val="both"/>
      </w:pPr>
      <w:r>
        <w:rPr>
          <w:rFonts w:ascii="Cambria" w:hAnsi="Cambria" w:eastAsia="Cambria"/>
          <w:b w:val="0"/>
          <w:i w:val="0"/>
          <w:sz w:val="22"/>
        </w:rPr>
        <w:t>Assesses institutional reputation among peers and employers.</w:t>
      </w:r>
    </w:p>
    <w:p>
      <w:pPr>
        <w:keepNext/>
        <w:spacing w:before="200" w:after="100"/>
      </w:pPr>
      <w:r>
        <w:rPr>
          <w:rFonts w:ascii="Cambria" w:hAnsi="Cambria" w:eastAsia="Cambria"/>
          <w:b/>
          <w:i w:val="0"/>
          <w:color w:val="1F3A5F"/>
          <w:sz w:val="24"/>
        </w:rPr>
        <w:t>A. Peer Perception – 100 Marks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Based on surveys of employers (hospitals, clinics, public health agencies), academic peers, and professional associations.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Recognizes graduate quality, clinical reputation, and alumni performance.</w:t>
      </w:r>
    </w:p>
    <w:p>
      <w:pPr>
        <w:spacing w:after="40" w:line="276" w:lineRule="auto"/>
      </w:pPr>
      <w:r>
        <w:rPr>
          <w:rFonts w:ascii="Cambria" w:hAnsi="Cambria" w:eastAsia="Cambria"/>
          <w:b/>
          <w:i w:val="0"/>
          <w:sz w:val="22"/>
        </w:rPr>
        <w:t>Key Insights for Dental Rankings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TLR (30%): Higher weight on FSR (30) and FRU (35), recognizing the need for clinical resources and faculty-intensive training.</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RP (30%): Balanced between volume and quality of research with additional emphasis on outreach and consultancy in oral health.</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GO (20%): Focus on placements, higher studies, and PG specialization (reflecting dentistry's professional pathways).</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OI (10%): Aligns with inclusivity standards, especially given high women participation.</w:t>
      </w:r>
    </w:p>
    <w:p>
      <w:pPr>
        <w:spacing w:line="276" w:lineRule="auto" w:after="80"/>
        <w:ind w:left="357" w:hanging="357"/>
      </w:pPr>
      <w:r>
        <w:rPr>
          <w:rFonts w:ascii="Cambria" w:hAnsi="Cambria" w:eastAsia="Cambria"/>
          <w:b w:val="0"/>
          <w:i w:val="0"/>
          <w:sz w:val="22"/>
        </w:rPr>
        <w:t>·</w:t>
        <w:tab/>
      </w:r>
      <w:r>
        <w:rPr>
          <w:rFonts w:ascii="Cambria" w:hAnsi="Cambria" w:eastAsia="Cambria"/>
          <w:b w:val="0"/>
          <w:i w:val="0"/>
          <w:sz w:val="22"/>
        </w:rPr>
        <w:t>PR (10%): Captures external recognition in the clinical and academic ecosystem.</w:t>
      </w:r>
    </w:p>
    <w:p>
      <w:pPr>
        <w:spacing w:after="80" w:line="276" w:lineRule="auto"/>
      </w:pPr>
      <w:r>
        <w:rPr>
          <w:rFonts w:ascii="Cambria" w:hAnsi="Cambria" w:eastAsia="Cambria"/>
          <w:b/>
          <w:i w:val="0"/>
          <w:sz w:val="22"/>
        </w:rPr>
        <w:t>NIRF 2024 – Overall vs Dental Framework</w:t>
      </w:r>
    </w:p>
    <w:tbl>
      <w:tblPr>
        <w:tblW w:type="dxa" w:w="9412"/>
        <w:jc w:val="center"/>
        <w:tblLayout w:type="fixed"/>
        <w:tblLook w:firstColumn="1" w:firstRow="1" w:lastColumn="0" w:lastRow="0" w:noHBand="0" w:noVBand="1" w:val="04A0"/>
        <w:tblLayout w:type="fixed"/>
      </w:tblPr>
      <w:tblGrid>
        <w:gridCol w:w="3137"/>
        <w:gridCol w:w="3137"/>
        <w:gridCol w:w="3137"/>
      </w:tblGrid>
      <w:tr>
        <w:tc>
          <w:tcPr>
            <w:tcW w:type="dxa" w:w="2438"/>
            <w:shd w:val="clear" w:color="auto" w:fill="1F3A5F"/>
          </w:tcPr>
          <w:p>
            <w:pPr>
              <w:spacing w:after="40" w:line="240" w:lineRule="auto"/>
              <w:jc w:val="center"/>
            </w:pPr>
            <w:r/>
            <w:r>
              <w:rPr>
                <w:rFonts w:ascii="Cambria" w:hAnsi="Cambria" w:eastAsia="Cambria"/>
                <w:b/>
                <w:i w:val="0"/>
                <w:color w:val="FFFFFF"/>
                <w:sz w:val="22"/>
              </w:rPr>
              <w:t>Parameter</w:t>
            </w:r>
          </w:p>
        </w:tc>
        <w:tc>
          <w:tcPr>
            <w:tcW w:type="dxa" w:w="3487"/>
            <w:shd w:val="clear" w:color="auto" w:fill="1F3A5F"/>
          </w:tcPr>
          <w:p>
            <w:pPr>
              <w:spacing w:after="40" w:line="240" w:lineRule="auto"/>
              <w:jc w:val="center"/>
            </w:pPr>
            <w:r/>
            <w:r>
              <w:rPr>
                <w:rFonts w:ascii="Cambria" w:hAnsi="Cambria" w:eastAsia="Cambria"/>
                <w:b/>
                <w:i w:val="0"/>
                <w:color w:val="FFFFFF"/>
                <w:sz w:val="22"/>
              </w:rPr>
              <w:t>Overall Framework</w:t>
            </w:r>
          </w:p>
        </w:tc>
        <w:tc>
          <w:tcPr>
            <w:tcW w:type="dxa" w:w="3487"/>
            <w:shd w:val="clear" w:color="auto" w:fill="1F3A5F"/>
          </w:tcPr>
          <w:p>
            <w:pPr>
              <w:spacing w:after="40" w:line="240" w:lineRule="auto"/>
              <w:jc w:val="center"/>
            </w:pPr>
            <w:r/>
            <w:r>
              <w:rPr>
                <w:rFonts w:ascii="Cambria" w:hAnsi="Cambria" w:eastAsia="Cambria"/>
                <w:b/>
                <w:i w:val="0"/>
                <w:color w:val="FFFFFF"/>
                <w:sz w:val="22"/>
              </w:rPr>
              <w:t>Dental Framework</w:t>
            </w:r>
          </w:p>
        </w:tc>
      </w:tr>
      <w:tr>
        <w:tc>
          <w:tcPr>
            <w:tcW w:type="dxa" w:w="2438"/>
          </w:tcPr>
          <w:p>
            <w:pPr>
              <w:spacing w:after="40" w:line="240" w:lineRule="auto"/>
              <w:jc w:val="left"/>
            </w:pPr>
            <w:r/>
            <w:r>
              <w:rPr>
                <w:rFonts w:ascii="Cambria" w:hAnsi="Cambria" w:eastAsia="Cambria"/>
                <w:b w:val="0"/>
                <w:i w:val="0"/>
                <w:sz w:val="22"/>
              </w:rPr>
              <w:t>Teaching, Learning &amp; Resources (TLR)</w:t>
            </w:r>
          </w:p>
        </w:tc>
        <w:tc>
          <w:tcPr>
            <w:tcW w:type="dxa" w:w="3487"/>
          </w:tcPr>
          <w:p>
            <w:pPr>
              <w:spacing w:after="40" w:line="240" w:lineRule="auto"/>
              <w:jc w:val="center"/>
            </w:pPr>
            <w:r/>
            <w:r>
              <w:rPr>
                <w:rFonts w:ascii="Cambria" w:hAnsi="Cambria" w:eastAsia="Cambria"/>
                <w:b w:val="0"/>
                <w:i w:val="0"/>
                <w:sz w:val="22"/>
              </w:rPr>
              <w:t>100 marks (30%)</w:t>
              <w:br/>
              <w:t>SS (20)</w:t>
              <w:br/>
              <w:t>FSR (25)</w:t>
              <w:br/>
              <w:t>FQE (20)</w:t>
              <w:br/>
              <w:t>FRU (20)</w:t>
              <w:br/>
              <w:t>OE (10)</w:t>
              <w:br/>
              <w:t>MIR (5)</w:t>
            </w:r>
          </w:p>
        </w:tc>
        <w:tc>
          <w:tcPr>
            <w:tcW w:type="dxa" w:w="3487"/>
          </w:tcPr>
          <w:p>
            <w:pPr>
              <w:spacing w:after="40" w:line="240" w:lineRule="auto"/>
              <w:jc w:val="center"/>
            </w:pPr>
            <w:r/>
            <w:r>
              <w:rPr>
                <w:rFonts w:ascii="Cambria" w:hAnsi="Cambria" w:eastAsia="Cambria"/>
                <w:b w:val="0"/>
                <w:i w:val="0"/>
                <w:sz w:val="22"/>
              </w:rPr>
              <w:t>100 marks (30%)</w:t>
              <w:br/>
              <w:t>SS (15)</w:t>
              <w:br/>
              <w:t>FSR (30)</w:t>
              <w:br/>
              <w:t>FQE (20)</w:t>
              <w:br/>
              <w:t>FRU (35)</w:t>
            </w:r>
          </w:p>
        </w:tc>
      </w:tr>
      <w:tr>
        <w:tc>
          <w:tcPr>
            <w:tcW w:type="dxa" w:w="2438"/>
            <w:shd w:val="clear" w:color="auto" w:fill="DCE6F1"/>
          </w:tcPr>
          <w:p>
            <w:pPr>
              <w:spacing w:after="40" w:line="240" w:lineRule="auto"/>
              <w:jc w:val="left"/>
            </w:pPr>
            <w:r/>
            <w:r>
              <w:rPr>
                <w:rFonts w:ascii="Cambria" w:hAnsi="Cambria" w:eastAsia="Cambria"/>
                <w:b w:val="0"/>
                <w:i w:val="0"/>
                <w:sz w:val="22"/>
              </w:rPr>
              <w:t>Research &amp; Professional Practice (RP)</w:t>
            </w:r>
          </w:p>
        </w:tc>
        <w:tc>
          <w:tcPr>
            <w:tcW w:type="dxa" w:w="3487"/>
            <w:shd w:val="clear" w:color="auto" w:fill="DCE6F1"/>
          </w:tcPr>
          <w:p>
            <w:pPr>
              <w:spacing w:after="40" w:line="240" w:lineRule="auto"/>
              <w:jc w:val="center"/>
            </w:pPr>
            <w:r/>
            <w:r>
              <w:rPr>
                <w:rFonts w:ascii="Cambria" w:hAnsi="Cambria" w:eastAsia="Cambria"/>
                <w:b w:val="0"/>
                <w:i w:val="0"/>
                <w:sz w:val="22"/>
              </w:rPr>
              <w:t>100 marks (30%)</w:t>
              <w:br/>
              <w:t>PU (30)</w:t>
              <w:br/>
              <w:t>QP (30)</w:t>
              <w:br/>
              <w:t>IPR (15)</w:t>
              <w:br/>
              <w:t>FPPP (15)</w:t>
              <w:br/>
              <w:t>PSDGs (10)</w:t>
            </w:r>
          </w:p>
        </w:tc>
        <w:tc>
          <w:tcPr>
            <w:tcW w:type="dxa" w:w="3487"/>
            <w:shd w:val="clear" w:color="auto" w:fill="DCE6F1"/>
          </w:tcPr>
          <w:p>
            <w:pPr>
              <w:spacing w:after="40" w:line="240" w:lineRule="auto"/>
              <w:jc w:val="center"/>
            </w:pPr>
            <w:r/>
            <w:r>
              <w:rPr>
                <w:rFonts w:ascii="Cambria" w:hAnsi="Cambria" w:eastAsia="Cambria"/>
                <w:b w:val="0"/>
                <w:i w:val="0"/>
                <w:sz w:val="22"/>
              </w:rPr>
              <w:t>100 marks (30%)</w:t>
              <w:br/>
              <w:t>PU (40)</w:t>
              <w:br/>
              <w:t>QP (40)</w:t>
              <w:br/>
              <w:t>FPPP (20)</w:t>
            </w:r>
          </w:p>
        </w:tc>
      </w:tr>
      <w:tr>
        <w:tc>
          <w:tcPr>
            <w:tcW w:type="dxa" w:w="2438"/>
          </w:tcPr>
          <w:p>
            <w:pPr>
              <w:spacing w:after="40" w:line="240" w:lineRule="auto"/>
              <w:jc w:val="left"/>
            </w:pPr>
            <w:r/>
            <w:r>
              <w:rPr>
                <w:rFonts w:ascii="Cambria" w:hAnsi="Cambria" w:eastAsia="Cambria"/>
                <w:b w:val="0"/>
                <w:i w:val="0"/>
                <w:sz w:val="22"/>
              </w:rPr>
              <w:t>Graduation Outcomes (GO)</w:t>
            </w:r>
          </w:p>
        </w:tc>
        <w:tc>
          <w:tcPr>
            <w:tcW w:type="dxa" w:w="3487"/>
          </w:tcPr>
          <w:p>
            <w:pPr>
              <w:spacing w:after="40" w:line="240" w:lineRule="auto"/>
              <w:jc w:val="center"/>
            </w:pPr>
            <w:r/>
            <w:r>
              <w:rPr>
                <w:rFonts w:ascii="Cambria" w:hAnsi="Cambria" w:eastAsia="Cambria"/>
                <w:b w:val="0"/>
                <w:i w:val="0"/>
                <w:sz w:val="22"/>
              </w:rPr>
              <w:t>100 marks (20%)</w:t>
              <w:br/>
              <w:t>GUE (60)</w:t>
              <w:br/>
              <w:t>GPHD (40)</w:t>
            </w:r>
          </w:p>
        </w:tc>
        <w:tc>
          <w:tcPr>
            <w:tcW w:type="dxa" w:w="3487"/>
          </w:tcPr>
          <w:p>
            <w:pPr>
              <w:spacing w:after="40" w:line="240" w:lineRule="auto"/>
              <w:jc w:val="center"/>
            </w:pPr>
            <w:r/>
            <w:r>
              <w:rPr>
                <w:rFonts w:ascii="Cambria" w:hAnsi="Cambria" w:eastAsia="Cambria"/>
                <w:b w:val="0"/>
                <w:i w:val="0"/>
                <w:sz w:val="22"/>
              </w:rPr>
              <w:t>100 marks (20%)</w:t>
              <w:br/>
              <w:t>Placement &amp; Higher Studies (35)</w:t>
              <w:br/>
              <w:t>GUE (30)</w:t>
              <w:br/>
              <w:t>PG Graduates (35)</w:t>
            </w:r>
          </w:p>
        </w:tc>
      </w:tr>
      <w:tr>
        <w:tc>
          <w:tcPr>
            <w:tcW w:type="dxa" w:w="2438"/>
            <w:shd w:val="clear" w:color="auto" w:fill="DCE6F1"/>
          </w:tcPr>
          <w:p>
            <w:pPr>
              <w:spacing w:after="40" w:line="240" w:lineRule="auto"/>
              <w:jc w:val="left"/>
            </w:pPr>
            <w:r/>
            <w:r>
              <w:rPr>
                <w:rFonts w:ascii="Cambria" w:hAnsi="Cambria" w:eastAsia="Cambria"/>
                <w:b w:val="0"/>
                <w:i w:val="0"/>
                <w:sz w:val="22"/>
              </w:rPr>
              <w:t>Outreach &amp; Inclusivity (OI)</w:t>
            </w:r>
          </w:p>
        </w:tc>
        <w:tc>
          <w:tcPr>
            <w:tcW w:type="dxa" w:w="3487"/>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c>
          <w:tcPr>
            <w:tcW w:type="dxa" w:w="3487"/>
            <w:shd w:val="clear" w:color="auto" w:fill="DCE6F1"/>
          </w:tcPr>
          <w:p>
            <w:pPr>
              <w:spacing w:after="40" w:line="240" w:lineRule="auto"/>
              <w:jc w:val="center"/>
            </w:pPr>
            <w:r/>
            <w:r>
              <w:rPr>
                <w:rFonts w:ascii="Cambria" w:hAnsi="Cambria" w:eastAsia="Cambria"/>
                <w:b w:val="0"/>
                <w:i w:val="0"/>
                <w:sz w:val="22"/>
              </w:rPr>
              <w:t>100 marks (10%)</w:t>
              <w:br/>
              <w:t>RD (30)</w:t>
              <w:br/>
              <w:t>WD (30)</w:t>
              <w:br/>
              <w:t>ESCS (20)</w:t>
              <w:br/>
              <w:t>PCS (20)</w:t>
            </w:r>
          </w:p>
        </w:tc>
      </w:tr>
      <w:tr>
        <w:tc>
          <w:tcPr>
            <w:tcW w:type="dxa" w:w="2438"/>
          </w:tcPr>
          <w:p>
            <w:pPr>
              <w:spacing w:after="40" w:line="240" w:lineRule="auto"/>
              <w:jc w:val="left"/>
            </w:pPr>
            <w:r/>
            <w:r>
              <w:rPr>
                <w:rFonts w:ascii="Cambria" w:hAnsi="Cambria" w:eastAsia="Cambria"/>
                <w:b w:val="0"/>
                <w:i w:val="0"/>
                <w:sz w:val="22"/>
              </w:rPr>
              <w:t>Perception (PR)</w:t>
            </w:r>
          </w:p>
        </w:tc>
        <w:tc>
          <w:tcPr>
            <w:tcW w:type="dxa" w:w="3487"/>
          </w:tcPr>
          <w:p>
            <w:pPr>
              <w:spacing w:after="40" w:line="240" w:lineRule="auto"/>
              <w:jc w:val="center"/>
            </w:pPr>
            <w:r/>
            <w:r>
              <w:rPr>
                <w:rFonts w:ascii="Cambria" w:hAnsi="Cambria" w:eastAsia="Cambria"/>
                <w:b w:val="0"/>
                <w:i w:val="0"/>
                <w:sz w:val="22"/>
              </w:rPr>
              <w:t>100 marks (10%)</w:t>
              <w:br/>
              <w:t>Peer Perception (100)</w:t>
            </w:r>
          </w:p>
        </w:tc>
        <w:tc>
          <w:tcPr>
            <w:tcW w:type="dxa" w:w="3487"/>
          </w:tcPr>
          <w:p>
            <w:pPr>
              <w:spacing w:after="40" w:line="240" w:lineRule="auto"/>
              <w:jc w:val="center"/>
            </w:pPr>
            <w:r/>
            <w:r>
              <w:rPr>
                <w:rFonts w:ascii="Cambria" w:hAnsi="Cambria" w:eastAsia="Cambria"/>
                <w:b w:val="0"/>
                <w:i w:val="0"/>
                <w:sz w:val="22"/>
              </w:rPr>
              <w:t>100 marks (10%)</w:t>
              <w:br/>
              <w:t>Peer Perception (100)</w:t>
            </w:r>
          </w:p>
        </w:tc>
      </w:tr>
    </w:tbl>
    <w:p>
      <w:pPr>
        <w:spacing w:after="40" w:line="276" w:lineRule="auto"/>
      </w:pPr>
      <w:r>
        <w:rPr>
          <w:rFonts w:ascii="Cambria" w:hAnsi="Cambria" w:eastAsia="Cambria"/>
          <w:b/>
          <w:i w:val="0"/>
          <w:sz w:val="22"/>
        </w:rPr>
        <w:t>Key Differences</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TLR:</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includes Online Education (10) and MIR (5) (aligned with NEP-2020).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Dental</w:t>
      </w:r>
      <w:r>
        <w:rPr>
          <w:rFonts w:ascii="Cambria" w:hAnsi="Cambria" w:eastAsia="Cambria"/>
          <w:b w:val="0"/>
          <w:i w:val="0"/>
          <w:sz w:val="22"/>
        </w:rPr>
        <w:t xml:space="preserve"> framework excludes OE/MIR, instead raising FRU (35) and slightly lowering SS (15), reflecting heavy investment in clinical infrastructure.</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RP:</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balances across publications, quality, patents, projects, and SDGs.</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Dental</w:t>
      </w:r>
      <w:r>
        <w:rPr>
          <w:rFonts w:ascii="Cambria" w:hAnsi="Cambria" w:eastAsia="Cambria"/>
          <w:b w:val="0"/>
          <w:i w:val="0"/>
          <w:sz w:val="22"/>
        </w:rPr>
        <w:t xml:space="preserve"> framework gives stronger weight to Publications (40) and Quality (40), with Projects (20), while patents/SDGs are not emphasized.</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GO:</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Overall</w:t>
      </w:r>
      <w:r>
        <w:rPr>
          <w:rFonts w:ascii="Cambria" w:hAnsi="Cambria" w:eastAsia="Cambria"/>
          <w:b w:val="0"/>
          <w:i w:val="0"/>
          <w:sz w:val="22"/>
        </w:rPr>
        <w:t xml:space="preserve"> = Exams (60) + Ph.D.s (40).</w:t>
      </w:r>
    </w:p>
    <w:p>
      <w:pPr>
        <w:spacing w:line="276" w:lineRule="auto" w:after="80"/>
        <w:ind w:left="794" w:hanging="357"/>
      </w:pPr>
      <w:r>
        <w:rPr>
          <w:rFonts w:ascii="Cambria" w:hAnsi="Cambria" w:eastAsia="Cambria"/>
          <w:b w:val="0"/>
          <w:i w:val="0"/>
          <w:sz w:val="22"/>
        </w:rPr>
        <w:t>o</w:t>
        <w:tab/>
      </w:r>
      <w:r>
        <w:rPr>
          <w:rFonts w:ascii="Cambria" w:hAnsi="Cambria" w:eastAsia="Cambria"/>
          <w:b/>
          <w:i/>
          <w:sz w:val="22"/>
        </w:rPr>
        <w:t>Dental</w:t>
      </w:r>
      <w:r>
        <w:rPr>
          <w:rFonts w:ascii="Cambria" w:hAnsi="Cambria" w:eastAsia="Cambria"/>
          <w:b w:val="0"/>
          <w:i w:val="0"/>
          <w:sz w:val="22"/>
        </w:rPr>
        <w:t xml:space="preserve"> = Placements (35) + Exams (30) + PG Graduates (35) → highlights employability and MDS specialization.</w:t>
      </w:r>
    </w:p>
    <w:p>
      <w:pPr>
        <w:spacing w:line="276" w:lineRule="auto" w:after="80"/>
        <w:ind w:left="357" w:hanging="357"/>
      </w:pPr>
      <w:r>
        <w:rPr>
          <w:rFonts w:ascii="Cambria" w:hAnsi="Cambria" w:eastAsia="Cambria"/>
          <w:b w:val="0"/>
          <w:i w:val="0"/>
          <w:sz w:val="22"/>
        </w:rPr>
        <w:t>·</w:t>
        <w:tab/>
      </w:r>
      <w:r>
        <w:rPr>
          <w:rFonts w:ascii="Cambria" w:hAnsi="Cambria" w:eastAsia="Cambria"/>
          <w:b/>
          <w:i w:val="0"/>
          <w:sz w:val="22"/>
        </w:rPr>
        <w:t>OI &amp; PR:</w:t>
      </w:r>
    </w:p>
    <w:p>
      <w:pPr>
        <w:spacing w:line="276" w:lineRule="auto" w:after="80"/>
        <w:ind w:left="794" w:hanging="357"/>
      </w:pPr>
      <w:r>
        <w:rPr>
          <w:rFonts w:ascii="Cambria" w:hAnsi="Cambria" w:eastAsia="Cambria"/>
          <w:b w:val="0"/>
          <w:i w:val="0"/>
          <w:sz w:val="22"/>
        </w:rPr>
        <w:t>o</w:t>
        <w:tab/>
      </w:r>
      <w:r>
        <w:rPr>
          <w:rFonts w:ascii="Cambria" w:hAnsi="Cambria" w:eastAsia="Cambria"/>
          <w:b w:val="0"/>
          <w:i w:val="0"/>
          <w:sz w:val="22"/>
        </w:rPr>
        <w:t>Identical across both frameworks.</w:t>
      </w:r>
    </w:p>
    <w:p>
      <w:r>
        <w:br w:type="page"/>
      </w:r>
    </w:p>
    <w:p>
      <w:pPr>
        <w:keepNext/>
        <w:spacing w:before="360" w:after="160"/>
      </w:pPr>
      <w:r>
        <w:rPr>
          <w:rFonts w:ascii="Cambria" w:hAnsi="Cambria" w:eastAsia="Cambria"/>
          <w:b/>
          <w:i w:val="0"/>
          <w:color w:val="1F3A5F"/>
          <w:sz w:val="36"/>
        </w:rPr>
        <w:t>78. References</w:t>
      </w:r>
    </w:p>
    <w:p>
      <w:pPr>
        <w:spacing w:line="276" w:lineRule="auto" w:after="120"/>
        <w:ind w:left="357" w:hanging="357"/>
      </w:pPr>
      <w:r>
        <w:rPr>
          <w:rFonts w:ascii="Cambria" w:hAnsi="Cambria" w:eastAsia="Cambria"/>
          <w:b w:val="0"/>
          <w:i w:val="0"/>
          <w:sz w:val="22"/>
        </w:rPr>
        <w:t>1.</w:t>
        <w:tab/>
      </w:r>
      <w:r>
        <w:rPr>
          <w:rFonts w:ascii="Cambria" w:hAnsi="Cambria" w:eastAsia="Cambria"/>
          <w:b w:val="0"/>
          <w:i w:val="0"/>
          <w:sz w:val="22"/>
        </w:rPr>
        <w:t>Qualitative Metrics (QlM) and Quantitative Metrics (QnM) in Higher Educational Institutions (HEIs): As Applied in NAAC, NBA, and NIRF Frameworks, Kindle Edition, ASIN: B0F6CR212X. https://amzn.in/d/gUWl02e</w:t>
      </w:r>
    </w:p>
    <w:p>
      <w:pPr>
        <w:spacing w:line="276" w:lineRule="auto" w:after="120"/>
        <w:ind w:left="357" w:hanging="357"/>
      </w:pPr>
      <w:r>
        <w:rPr>
          <w:rFonts w:ascii="Cambria" w:hAnsi="Cambria" w:eastAsia="Cambria"/>
          <w:b w:val="0"/>
          <w:i w:val="0"/>
          <w:sz w:val="22"/>
        </w:rPr>
        <w:t>2.</w:t>
        <w:tab/>
      </w:r>
      <w:r>
        <w:rPr>
          <w:rFonts w:ascii="Cambria" w:hAnsi="Cambria" w:eastAsia="Cambria"/>
          <w:b w:val="0"/>
          <w:i w:val="0"/>
          <w:sz w:val="22"/>
        </w:rPr>
        <w:t>Statutory and Non-Statutory Committees in Higher Educational Institutions (HEIs): Mandatory by regulatory bodies like AICTE, UGC, NAAC, NBA, etc. Kindle Edition, ASIN: B0F7GHJ863. https://amzn.in/d/gf0LiBn</w:t>
      </w:r>
    </w:p>
    <w:p>
      <w:pPr>
        <w:spacing w:line="276" w:lineRule="auto" w:after="120"/>
        <w:ind w:left="357" w:hanging="357"/>
      </w:pPr>
      <w:r>
        <w:rPr>
          <w:rFonts w:ascii="Cambria" w:hAnsi="Cambria" w:eastAsia="Cambria"/>
          <w:b w:val="0"/>
          <w:i w:val="0"/>
          <w:sz w:val="22"/>
        </w:rPr>
        <w:t>3.</w:t>
        <w:tab/>
      </w:r>
      <w:r>
        <w:rPr>
          <w:rFonts w:ascii="Cambria" w:hAnsi="Cambria" w:eastAsia="Cambria"/>
          <w:b w:val="0"/>
          <w:i w:val="0"/>
          <w:sz w:val="22"/>
        </w:rPr>
        <w:t>Empowering Academic Skilling and Mathematical Modelling through Technical Computing Languages in Higher Education Institutions, Kindle Edition, ASIN: B0FC7TNZNG. https://amzn.in/d/brIlQwZ</w:t>
      </w:r>
    </w:p>
    <w:p>
      <w:pPr>
        <w:spacing w:line="276" w:lineRule="auto" w:after="120"/>
        <w:ind w:left="357" w:hanging="357"/>
      </w:pPr>
      <w:r>
        <w:rPr>
          <w:rFonts w:ascii="Cambria" w:hAnsi="Cambria" w:eastAsia="Cambria"/>
          <w:b w:val="0"/>
          <w:i w:val="0"/>
          <w:sz w:val="22"/>
        </w:rPr>
        <w:t>4.</w:t>
        <w:tab/>
      </w:r>
      <w:r>
        <w:rPr>
          <w:rFonts w:ascii="Cambria" w:hAnsi="Cambria" w:eastAsia="Cambria"/>
          <w:b w:val="0"/>
          <w:i w:val="0"/>
          <w:sz w:val="22"/>
        </w:rPr>
        <w:t>Research and Development Transformation in Higher Education Institutions, Kindle Edition, ASIN: B0FB9QFS88. https://amzn.in/d/1uOQZ0o</w:t>
      </w:r>
    </w:p>
    <w:p>
      <w:pPr>
        <w:spacing w:line="276" w:lineRule="auto" w:after="120"/>
        <w:ind w:left="357" w:hanging="357"/>
      </w:pPr>
      <w:r>
        <w:rPr>
          <w:rFonts w:ascii="Cambria" w:hAnsi="Cambria" w:eastAsia="Cambria"/>
          <w:b w:val="0"/>
          <w:i w:val="0"/>
          <w:sz w:val="22"/>
        </w:rPr>
        <w:t>5.</w:t>
        <w:tab/>
      </w:r>
      <w:r>
        <w:rPr>
          <w:rFonts w:ascii="Cambria" w:hAnsi="Cambria" w:eastAsia="Cambria"/>
          <w:b w:val="0"/>
          <w:i w:val="0"/>
          <w:sz w:val="22"/>
        </w:rPr>
        <w:t>Institutional Development Plans in Higher Education: Empowering Institutions for the 21st Century Kindle Edition, ASIN: B0FDBV6D47. https://amzn.in/d/ckm98I2</w:t>
      </w:r>
    </w:p>
    <w:p>
      <w:pPr>
        <w:spacing w:line="276" w:lineRule="auto" w:after="120"/>
        <w:ind w:left="357" w:hanging="357"/>
      </w:pPr>
      <w:r>
        <w:rPr>
          <w:rFonts w:ascii="Cambria" w:hAnsi="Cambria" w:eastAsia="Cambria"/>
          <w:b w:val="0"/>
          <w:i w:val="0"/>
          <w:sz w:val="22"/>
        </w:rPr>
        <w:t>6.</w:t>
        <w:tab/>
      </w:r>
      <w:r>
        <w:rPr>
          <w:rFonts w:ascii="Cambria" w:hAnsi="Cambria" w:eastAsia="Cambria"/>
          <w:b w:val="0"/>
          <w:i w:val="0"/>
          <w:sz w:val="22"/>
        </w:rPr>
        <w:t>Comprehensive Academic System in Higher Education Institutions, Kindle Edition, ASIN: B0FF2HDMSG. https://amzn.in/d/dbPMaVL</w:t>
      </w:r>
    </w:p>
    <w:p>
      <w:pPr>
        <w:spacing w:line="276" w:lineRule="auto" w:after="120"/>
        <w:ind w:left="357" w:hanging="357"/>
      </w:pPr>
      <w:r>
        <w:rPr>
          <w:rFonts w:ascii="Cambria" w:hAnsi="Cambria" w:eastAsia="Cambria"/>
          <w:b w:val="0"/>
          <w:i w:val="0"/>
          <w:sz w:val="22"/>
        </w:rPr>
        <w:t>7.</w:t>
        <w:tab/>
      </w:r>
      <w:r>
        <w:rPr>
          <w:rFonts w:ascii="Cambria" w:hAnsi="Cambria" w:eastAsia="Cambria"/>
          <w:b w:val="0"/>
          <w:i w:val="0"/>
          <w:sz w:val="22"/>
        </w:rPr>
        <w:t>Structured Approaches to Teaching, Learning, and Student Engagement in HEIs, Kindle Edition, ASIN: B0DB8QK1B4. https://amzn.in/d/7jNZrQo</w:t>
      </w:r>
    </w:p>
    <w:p>
      <w:pPr>
        <w:spacing w:line="276" w:lineRule="auto" w:after="120"/>
        <w:ind w:left="357" w:hanging="357"/>
      </w:pPr>
      <w:r>
        <w:rPr>
          <w:rFonts w:ascii="Cambria" w:hAnsi="Cambria" w:eastAsia="Cambria"/>
          <w:b w:val="0"/>
          <w:i w:val="0"/>
          <w:sz w:val="22"/>
        </w:rPr>
        <w:t>8.</w:t>
        <w:tab/>
      </w:r>
      <w:r>
        <w:rPr>
          <w:rFonts w:ascii="Cambria" w:hAnsi="Cambria" w:eastAsia="Cambria"/>
          <w:b w:val="0"/>
          <w:i w:val="0"/>
          <w:sz w:val="22"/>
        </w:rPr>
        <w:t>Admission Process in Indian Higher Education: A Comprehensive Institutional Guide Kindle Edition, ASIN: B0FFNCPP6P. https://amzn.in/d/0XO6APq</w:t>
      </w:r>
    </w:p>
    <w:p>
      <w:pPr>
        <w:spacing w:line="276" w:lineRule="auto" w:after="120"/>
        <w:ind w:left="357" w:hanging="357"/>
      </w:pPr>
      <w:r>
        <w:rPr>
          <w:rFonts w:ascii="Cambria" w:hAnsi="Cambria" w:eastAsia="Cambria"/>
          <w:b w:val="0"/>
          <w:i w:val="0"/>
          <w:sz w:val="22"/>
        </w:rPr>
        <w:t>9.</w:t>
        <w:tab/>
      </w:r>
      <w:r>
        <w:rPr>
          <w:rFonts w:ascii="Cambria" w:hAnsi="Cambria" w:eastAsia="Cambria"/>
          <w:b w:val="0"/>
          <w:i w:val="0"/>
          <w:sz w:val="22"/>
        </w:rPr>
        <w:t>Strategic Implementation of Best Practices in HEIs: Enhancing Quality, Innovation, and Impact, Kindle Edition, ASIN: B0CZP85QK7. https://amzn.in/d/5uj5Lkb</w:t>
      </w:r>
    </w:p>
    <w:p>
      <w:pPr>
        <w:spacing w:line="276" w:lineRule="auto" w:after="120"/>
        <w:ind w:left="357" w:hanging="357"/>
      </w:pPr>
      <w:r>
        <w:rPr>
          <w:rFonts w:ascii="Cambria" w:hAnsi="Cambria" w:eastAsia="Cambria"/>
          <w:b w:val="0"/>
          <w:i w:val="0"/>
          <w:sz w:val="22"/>
        </w:rPr>
        <w:t>10.</w:t>
        <w:tab/>
      </w:r>
      <w:r>
        <w:rPr>
          <w:rFonts w:ascii="Cambria" w:hAnsi="Cambria" w:eastAsia="Cambria"/>
          <w:b w:val="0"/>
          <w:i w:val="0"/>
          <w:sz w:val="22"/>
        </w:rPr>
        <w:t>National Education Policy 2020: A Transformative Roadmap for Holistic, Inclusive, and Future-Ready Learning in India, Kindle Edition, ASIN: B0F1L321B6. https://amzn.in/d/euglo4y</w:t>
      </w:r>
    </w:p>
    <w:p>
      <w:pPr>
        <w:spacing w:line="276" w:lineRule="auto" w:after="120"/>
        <w:ind w:left="357" w:hanging="357"/>
      </w:pPr>
      <w:r>
        <w:rPr>
          <w:rFonts w:ascii="Cambria" w:hAnsi="Cambria" w:eastAsia="Cambria"/>
          <w:b w:val="0"/>
          <w:i w:val="0"/>
          <w:sz w:val="22"/>
        </w:rPr>
        <w:t>11.</w:t>
        <w:tab/>
      </w:r>
      <w:r>
        <w:rPr>
          <w:rFonts w:ascii="Cambria" w:hAnsi="Cambria" w:eastAsia="Cambria"/>
          <w:b w:val="0"/>
          <w:i w:val="0"/>
          <w:sz w:val="22"/>
        </w:rPr>
        <w:t>Outcome-Based Education in Higher Learning: Philosophy, Design, and Impact, Kindle Edition, ASIN: B0FPCB5GHH. https://amzn.in/d/3oGmnue</w:t>
      </w:r>
    </w:p>
    <w:p>
      <w:pPr>
        <w:spacing w:line="276" w:lineRule="auto" w:after="120"/>
        <w:ind w:left="357" w:hanging="357"/>
      </w:pPr>
      <w:r>
        <w:rPr>
          <w:rFonts w:ascii="Cambria" w:hAnsi="Cambria" w:eastAsia="Cambria"/>
          <w:b w:val="0"/>
          <w:i w:val="0"/>
          <w:sz w:val="22"/>
        </w:rPr>
        <w:t>12.</w:t>
        <w:tab/>
      </w:r>
      <w:r>
        <w:rPr>
          <w:rFonts w:ascii="Cambria" w:hAnsi="Cambria" w:eastAsia="Cambria"/>
          <w:b w:val="0"/>
          <w:i w:val="0"/>
          <w:sz w:val="22"/>
        </w:rPr>
        <w:t>QS I-GAUGE: An Independent Rating Framework for Indian Higher Education, Kindle Edition, ASIN: B0FN4WBGLT. https://amzn.in/d/2mlYjez</w:t>
      </w:r>
    </w:p>
    <w:p>
      <w:pPr>
        <w:spacing w:line="276" w:lineRule="auto" w:after="120"/>
        <w:ind w:left="357" w:hanging="357"/>
      </w:pPr>
      <w:r>
        <w:rPr>
          <w:rFonts w:ascii="Cambria" w:hAnsi="Cambria" w:eastAsia="Cambria"/>
          <w:b w:val="0"/>
          <w:i w:val="0"/>
          <w:sz w:val="22"/>
        </w:rPr>
        <w:t>13.</w:t>
        <w:tab/>
      </w:r>
      <w:r>
        <w:rPr>
          <w:rFonts w:ascii="Cambria" w:hAnsi="Cambria" w:eastAsia="Cambria"/>
          <w:b w:val="0"/>
          <w:i w:val="0"/>
          <w:sz w:val="22"/>
        </w:rPr>
        <w:t>NBA Accreditation Process for Tier-1 Institutions – Criterion 1: Outcome-Based Curriculum: Vision, Mission, PEOs, Curriculum Structure, CO–PO–PSO Mapping, and Articulation Framework, Kindle Edition, ASIN: B0FPDCG13D. https://amzn.in/d/4fcc0jE</w:t>
      </w:r>
    </w:p>
    <w:p>
      <w:pPr>
        <w:spacing w:line="276" w:lineRule="auto" w:after="120"/>
        <w:ind w:left="357" w:hanging="357"/>
      </w:pPr>
      <w:r>
        <w:rPr>
          <w:rFonts w:ascii="Cambria" w:hAnsi="Cambria" w:eastAsia="Cambria"/>
          <w:b w:val="0"/>
          <w:i w:val="0"/>
          <w:sz w:val="22"/>
        </w:rPr>
        <w:t>14.</w:t>
        <w:tab/>
      </w:r>
      <w:r>
        <w:rPr>
          <w:rFonts w:ascii="Cambria" w:hAnsi="Cambria" w:eastAsia="Cambria"/>
          <w:b w:val="0"/>
          <w:i w:val="0"/>
          <w:sz w:val="22"/>
        </w:rPr>
        <w:t>NBA Accreditation Process for Tier-1 Institutions – Criterion 2: Outcome-Based Teaching–Learning (OBTL): A Framework of Systematic Processes, Evidence-Based Practices, and CQI in OBE Kindle Edition, ASIN: B0FPG4KFB1. https://amzn.in/d/g1bchNI</w:t>
      </w:r>
    </w:p>
    <w:p>
      <w:pPr>
        <w:spacing w:line="276" w:lineRule="auto" w:after="120"/>
        <w:ind w:left="357" w:hanging="357"/>
      </w:pPr>
      <w:r>
        <w:rPr>
          <w:rFonts w:ascii="Cambria" w:hAnsi="Cambria" w:eastAsia="Cambria"/>
          <w:b w:val="0"/>
          <w:i w:val="0"/>
          <w:sz w:val="22"/>
        </w:rPr>
        <w:t>15.</w:t>
        <w:tab/>
      </w:r>
      <w:r>
        <w:rPr>
          <w:rFonts w:ascii="Cambria" w:hAnsi="Cambria" w:eastAsia="Cambria"/>
          <w:b w:val="0"/>
          <w:i w:val="0"/>
          <w:sz w:val="22"/>
        </w:rPr>
        <w:t>Systematic and Transparent Feedback Mechanism in Higher Education Institutions: Ensuring Continuous Quality Improvement (CQI) and Strengthening NAAC/NBA Accreditation Kindle Edition, ASIN: B0FPGJ77RC. https://amzn.in/d/emeRiJ3</w:t>
      </w:r>
    </w:p>
    <w:p>
      <w:pPr>
        <w:spacing w:line="276" w:lineRule="auto" w:after="120"/>
        <w:ind w:left="357" w:hanging="357"/>
      </w:pPr>
      <w:r>
        <w:rPr>
          <w:rFonts w:ascii="Cambria" w:hAnsi="Cambria" w:eastAsia="Cambria"/>
          <w:b w:val="0"/>
          <w:i w:val="0"/>
          <w:sz w:val="22"/>
        </w:rPr>
        <w:t>16.</w:t>
        <w:tab/>
      </w:r>
      <w:r>
        <w:rPr>
          <w:rFonts w:ascii="Cambria" w:hAnsi="Cambria" w:eastAsia="Cambria"/>
          <w:b w:val="0"/>
          <w:i w:val="0"/>
          <w:sz w:val="22"/>
        </w:rPr>
        <w:t>Internal Quality Assurance Cell (IQAC): A Framework for Sustaining and Enhancing Quality in Higher Education Kindle Edition, ASIN: B0FPLRX4YF. https://amzn.in/d/8n5aQRb</w:t>
      </w:r>
    </w:p>
    <w:p>
      <w:pPr>
        <w:spacing w:line="276" w:lineRule="auto" w:after="120"/>
        <w:ind w:left="357" w:hanging="357"/>
      </w:pPr>
      <w:r>
        <w:rPr>
          <w:rFonts w:ascii="Cambria" w:hAnsi="Cambria" w:eastAsia="Cambria"/>
          <w:b w:val="0"/>
          <w:i w:val="0"/>
          <w:sz w:val="22"/>
        </w:rPr>
        <w:t>17.</w:t>
        <w:tab/>
      </w:r>
      <w:r>
        <w:rPr>
          <w:rFonts w:ascii="Cambria" w:hAnsi="Cambria" w:eastAsia="Cambria"/>
          <w:b w:val="0"/>
          <w:i w:val="0"/>
          <w:sz w:val="22"/>
        </w:rPr>
        <w:t>Comprehensive Guide for Teaching-Learning and Evaluation under NAAC Accreditation – Criterion 2 for Higher Education Institutions Kindle Edition, ASIN: B0FPRBZ2JH. https://amzn.in/d/37LtI4z</w:t>
      </w:r>
    </w:p>
    <w:p>
      <w:pPr>
        <w:spacing w:line="276" w:lineRule="auto" w:after="120"/>
        <w:ind w:left="357" w:hanging="357"/>
      </w:pPr>
      <w:r>
        <w:rPr>
          <w:rFonts w:ascii="Cambria" w:hAnsi="Cambria" w:eastAsia="Cambria"/>
          <w:b w:val="0"/>
          <w:i w:val="0"/>
          <w:sz w:val="22"/>
        </w:rPr>
        <w:t>18.</w:t>
        <w:tab/>
      </w:r>
      <w:r>
        <w:rPr>
          <w:rFonts w:ascii="Cambria" w:hAnsi="Cambria" w:eastAsia="Cambria"/>
          <w:b w:val="0"/>
          <w:i w:val="0"/>
          <w:sz w:val="22"/>
        </w:rPr>
        <w:t>Curricular Aspects under NAAC Accreditation – Criterion 1 for Higher Education Institutions: Ensuring Academic Flexibility, Curriculum Enrichment, and Alignment with NEP 2020 Kindle Edition, ASIN: B0FPR342MM. https://amzn.in/d/0S10khp</w:t>
      </w:r>
    </w:p>
    <w:p>
      <w:pPr>
        <w:spacing w:line="276" w:lineRule="auto" w:after="120"/>
        <w:ind w:left="357" w:hanging="357"/>
      </w:pPr>
      <w:r>
        <w:rPr>
          <w:rFonts w:ascii="Cambria" w:hAnsi="Cambria" w:eastAsia="Cambria"/>
          <w:b w:val="0"/>
          <w:i w:val="0"/>
          <w:sz w:val="22"/>
        </w:rPr>
        <w:t>19.</w:t>
        <w:tab/>
      </w:r>
      <w:r>
        <w:rPr>
          <w:rFonts w:ascii="Cambria" w:hAnsi="Cambria" w:eastAsia="Cambria"/>
          <w:b w:val="0"/>
          <w:i w:val="0"/>
          <w:sz w:val="22"/>
        </w:rPr>
        <w:t>https://github.com/tvrk1122-tech/NIRF_Formats</w:t>
      </w:r>
    </w:p>
    <w:p>
      <w:pPr>
        <w:spacing w:line="276" w:lineRule="auto" w:after="120"/>
        <w:ind w:left="357" w:hanging="357"/>
      </w:pPr>
      <w:r>
        <w:rPr>
          <w:rFonts w:ascii="Cambria" w:hAnsi="Cambria" w:eastAsia="Cambria"/>
          <w:b w:val="0"/>
          <w:i w:val="0"/>
          <w:sz w:val="22"/>
        </w:rPr>
        <w:t>20.</w:t>
        <w:tab/>
      </w:r>
      <w:r>
        <w:rPr>
          <w:rFonts w:ascii="Cambria" w:hAnsi="Cambria" w:eastAsia="Cambria"/>
          <w:b w:val="0"/>
          <w:i w:val="0"/>
          <w:sz w:val="22"/>
        </w:rPr>
        <w:t>https://www.nirfindia.org/Home/Documents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