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b/>
          <w:color w:val="1F3A5F"/>
          <w:sz w:val="52"/>
        </w:rPr>
        <w:t>Strategic Implementation of Best Practices in HEIs:</w:t>
      </w:r>
    </w:p>
    <w:p>
      <w:pPr>
        <w:spacing w:after="1200"/>
        <w:jc w:val="center"/>
      </w:pPr>
      <w:r>
        <w:rPr>
          <w:b/>
          <w:color w:val="1F3A5F"/>
          <w:sz w:val="36"/>
        </w:rPr>
        <w:t>Enhancing Quality, Innovation, and Impact</w:t>
      </w:r>
    </w:p>
    <w:p>
      <w:pPr>
        <w:spacing w:after="0"/>
        <w:jc w:val="center"/>
      </w:pPr>
      <w:r>
        <w:rPr>
          <w:b/>
          <w:sz w:val="26"/>
        </w:rPr>
        <w:t>Dr. V. Rama Krishna Tottempudi</w:t>
      </w:r>
    </w:p>
    <w:p>
      <w:pPr>
        <w:spacing w:after="360"/>
        <w:jc w:val="center"/>
      </w:pPr>
      <w:r>
        <w:rPr>
          <w:b/>
          <w:sz w:val="22"/>
        </w:rPr>
        <w:t>Principal, Sanketika Vidya Parishad Engineering College, Visakhapatnam.</w:t>
      </w:r>
    </w:p>
    <w:p>
      <w:pPr>
        <w:spacing w:after="0"/>
        <w:jc w:val="center"/>
      </w:pPr>
      <w:r>
        <w:rPr>
          <w:b/>
          <w:sz w:val="26"/>
        </w:rPr>
        <w:t>Dr. P.V.S.K.Phanidhar Varma</w:t>
      </w:r>
    </w:p>
    <w:p>
      <w:pPr>
        <w:spacing w:after="360"/>
        <w:jc w:val="center"/>
      </w:pPr>
      <w:r>
        <w:rPr>
          <w:b/>
          <w:sz w:val="22"/>
        </w:rPr>
        <w:t>Associate Professor, Sanketika Vidya Parishad Engineering College, Visakhapatnam.</w:t>
      </w:r>
    </w:p>
    <w:p>
      <w:pPr>
        <w:spacing w:after="0"/>
        <w:jc w:val="center"/>
      </w:pPr>
      <w:r>
        <w:rPr>
          <w:b/>
          <w:sz w:val="26"/>
        </w:rPr>
        <w:t>Sai Saran Tottempudi</w:t>
      </w:r>
    </w:p>
    <w:p>
      <w:pPr>
        <w:spacing w:after="360"/>
        <w:jc w:val="center"/>
      </w:pPr>
      <w:r>
        <w:rPr>
          <w:b/>
          <w:sz w:val="22"/>
        </w:rPr>
        <w:t>Lecturer, Sanketika Vidya Parishad Engineering College, Visakhapatnam.</w:t>
      </w:r>
    </w:p>
    <w:p>
      <w:r>
        <w:br w:type="page"/>
      </w:r>
    </w:p>
    <w:p>
      <w:pPr>
        <w:pStyle w:val="Heading1"/>
      </w:pPr>
      <w:r>
        <w:t>ACKNOWLEDGEMENTS</w:t>
      </w:r>
    </w:p>
    <w:p>
      <w:r>
        <w:rPr/>
        <w:t xml:space="preserve">We express our sincere gratitude to all the academicians, administrators, and quality assurance professionals whose insights and contributions have enriched the preparation of this document, </w:t>
      </w:r>
      <w:r>
        <w:rPr>
          <w:i/>
        </w:rPr>
        <w:t>“Strategic Implementation of Best Practices in HEIs: Enhancing Quality, Innovation, and Impact.”</w:t>
      </w:r>
      <w:r>
        <w:rPr/>
        <w:t xml:space="preserve"> This guide is the result of collaborative efforts aimed at empowering Higher Education Institutions to adopt and internalise effective strategies that promote academic excellence, institutional resilience, and societal relevance.</w:t>
      </w:r>
    </w:p>
    <w:p>
      <w:r>
        <w:rPr/>
        <w:t>We would like to thank, faculty leaders, and stakeholders from various departments for their valuable feedback, case inputs, and practical experiences that shaped the structure and content of this framework. Special thanks to the leadership teams whose vision and support continue to inspire the pursuit of quality and innovation in higher education.</w:t>
      </w:r>
    </w:p>
    <w:p>
      <w:r>
        <w:rPr/>
        <w:t xml:space="preserve">My heartfelt thanks to </w:t>
      </w:r>
      <w:r>
        <w:rPr>
          <w:b/>
        </w:rPr>
        <w:t>Dr. S. V. H. Rajendra</w:t>
      </w:r>
      <w:r>
        <w:rPr/>
        <w:t xml:space="preserve">, Secretary, AGTI, for his constant encouragement, and to </w:t>
      </w:r>
      <w:r>
        <w:rPr>
          <w:b/>
        </w:rPr>
        <w:t>Mr. S. Rahul Alwardas</w:t>
      </w:r>
      <w:r>
        <w:rPr/>
        <w:t>, Executive Director, AGTI, for providing the necessary facilities and support to bring this book to completion.</w:t>
      </w:r>
    </w:p>
    <w:p>
      <w:r>
        <w:rPr/>
        <w:t xml:space="preserve">In addition, I gratefully acknowledge the support of </w:t>
      </w:r>
      <w:r>
        <w:rPr>
          <w:b/>
        </w:rPr>
        <w:t>Mr. V. Siva Ram Prasad</w:t>
      </w:r>
      <w:r>
        <w:rPr/>
        <w:t xml:space="preserve">, </w:t>
      </w:r>
      <w:r>
        <w:rPr>
          <w:b/>
        </w:rPr>
        <w:t>Mr. A. Nageswara Rao</w:t>
      </w:r>
      <w:r>
        <w:rPr/>
        <w:t>, whose contributions have been invaluable.</w:t>
      </w:r>
    </w:p>
    <w:p>
      <w:r>
        <w:rPr/>
        <w:t xml:space="preserve">Most importantly, I Dr.V.Rama Krishna Tottempudi must thank my wife and best friend, </w:t>
      </w:r>
      <w:r>
        <w:rPr>
          <w:b/>
        </w:rPr>
        <w:t>Sailaja Tottempudi</w:t>
      </w:r>
      <w:r>
        <w:rPr/>
        <w:t>, for her unwavering support and strength through every phase of this journey.</w:t>
      </w:r>
    </w:p>
    <w:p>
      <w:r>
        <w:rPr/>
        <w:t xml:space="preserve">I Dr.P.V.S.K.Phanidhar Varma deeply indebted to my beloved wife </w:t>
      </w:r>
      <w:r>
        <w:rPr>
          <w:b/>
        </w:rPr>
        <w:t>P.T.S.Priya</w:t>
      </w:r>
      <w:r>
        <w:rPr/>
        <w:t xml:space="preserve"> for constant support throughout my life.</w:t>
      </w:r>
    </w:p>
    <w:p>
      <w:r>
        <w:rPr/>
        <w:t>Finally, I express my deep gratitude to my family and well-wishers for their continuous encouragement and moral support throughout this endeavor.</w:t>
      </w:r>
    </w:p>
    <w:p>
      <w:pPr>
        <w:spacing w:after="0"/>
        <w:jc w:val="right"/>
      </w:pPr>
      <w:r>
        <w:rPr>
          <w:b/>
        </w:rPr>
        <w:t>Dr. V. Rama Krishna Tottempudi</w:t>
      </w:r>
    </w:p>
    <w:p>
      <w:pPr>
        <w:spacing w:after="0"/>
        <w:jc w:val="right"/>
      </w:pPr>
      <w:r>
        <w:rPr>
          <w:b/>
        </w:rPr>
        <w:t>Dr. P.V.S.K.Phanidhar Varma</w:t>
      </w:r>
    </w:p>
    <w:p>
      <w:pPr>
        <w:spacing w:after="0"/>
        <w:jc w:val="right"/>
      </w:pPr>
      <w:r>
        <w:rPr>
          <w:b/>
        </w:rPr>
        <w:t>Sai Saran Tottempudi</w:t>
      </w:r>
    </w:p>
    <w:p/>
    <w:p>
      <w:pPr>
        <w:pStyle w:val="Heading1"/>
      </w:pPr>
      <w:r>
        <w:t>ABSTRACT</w:t>
      </w:r>
    </w:p>
    <w:p>
      <w:r>
        <w:rPr/>
        <w:t>This document presents a comprehensive and structured framework for identifying, implementing, and sustaining Best Practices in Higher Education Institutions (HEIs). Best Practices are defined as well-established strategies or interventions that consistently yield positive outcomes in academic, administrative, and societal dimensions of higher education. These practices are designed to enhance academic excellence, stimulate innovation, improve institutional performance, and contribute meaningfully to the wider community and national development.</w:t>
      </w:r>
    </w:p>
    <w:p>
      <w:r>
        <w:rPr/>
        <w:t>The document is organized around six core thematic areas: Teaching and Learning Excellence; Research and Innovation; Student Support and Progression; Governance and Leadership; Infrastructure and Learning Resources; and Community Engagement and Social Responsibility. Within each domain, the framework outlines a strategic pathway beginning with the identification and documentation of effective practices. This involves capturing key elements such as the practice title, its objectives, the institutional or contextual need it addresses, a description of the initiative, and evidence of success through qualitative and quantitative indicators.</w:t>
      </w:r>
    </w:p>
    <w:p>
      <w:r>
        <w:rPr/>
        <w:t>Following the documentation phase, the framework stresses detailed planning and design. This includes the formulation of clear objectives, the creation of implementation roadmaps and Standard Operating Procedures (SOPs), and the alignment of practices with institutional missions and regulatory guidelines. Active stakeholder participation is emphasized, involving faculty members, students, administrative personnel, alumni, and industry representatives to ensure the relevance and sustainability of the practices. Execution of practices involves pilot runs, resource allocation, capacity building, and periodic review for refinement.</w:t>
      </w:r>
    </w:p>
    <w:p>
      <w:r>
        <w:rPr/>
        <w:t>Monitoring, feedback, and review form a core pillar of the framework. The use of measurable indicators, stakeholder feedback, and regular assessments facilitates data-driven improvements. The document further highlights a structured cycle of evaluation and continuous improvement, leading to the institutionalization of best practices—making them an integral, routine part of the institution's operations. Eventually, practices should be internalized, becoming deeply embedded within the institutional culture, values, and behavior, thereby ensuring long-term sustainability and a transformative impact.</w:t>
      </w:r>
    </w:p>
    <w:p>
      <w:r>
        <w:rPr/>
        <w:t>The document also encourages the dissemination of successful practices both within and outside the institution to inspire quality enhancement across the higher education ecosystem. Benchmarking against national and international standards allows institutions to evaluate their performance, inform strategic decision-making, and remain globally competitive.</w:t>
      </w:r>
    </w:p>
    <w:p>
      <w:r>
        <w:rPr/>
        <w:t>Specific examples of best practices are detailed across functional areas. In Curricular Aspects, the focus is on designing a dynamic, inclusive, and interdisciplinary curriculum with inputs from industry and stakeholders. Innovative pedagogies such as blended learning, flipped classrooms, project-based learning, and holistic assessment models are encouraged, alongside value-based education and professional certifications. In Student Support and Progression, emphasis is placed on comprehensive student development through mentoring, academic advising, wellness services, scholarship programs, alumni relations, and global exposure opportunities.</w:t>
      </w:r>
    </w:p>
    <w:p>
      <w:r>
        <w:rPr/>
        <w:t>In terms of Infrastructure and Learning Resources, the framework underlines the importance of modern, accessible, and sustainable physical and digital infrastructure. This includes ICT-enabled classrooms, digital libraries, green campus initiatives, and student-friendly amenities. Under Research and Innovation, practices supporting faculty and student research through grants, interdisciplinary projects, industry linkages, incubators, and research publication are explored. Special focus is placed on fostering a research culture among teacher trainees and undergraduates.</w:t>
      </w:r>
    </w:p>
    <w:p>
      <w:r>
        <w:rPr/>
        <w:t>For Governance and Leadership, the framework recommends transparent, participatory, and data-driven administrative structures. Strategic planning, decentralized decision-making, and leadership development are identified as essential for institutional excellence. The document also outlines Quality Assurance (QA) mechanisms including the role of Internal Quality Assurance Cells (IQAC), systematic audits (academic, green, IT), Human Resource Management systems, and grievance redressal frameworks to ensure performance and satisfaction across all levels.</w:t>
      </w:r>
    </w:p>
    <w:p>
      <w:r>
        <w:rPr/>
        <w:t>In conclusion, this framework serves as a holistic guide for HEIs to embed quality, efficiency, and accountability in every dimension of their functioning. By internalizing and institutionalizing best practices, institutions can ensure the holistic development of students and faculty, maintain academic relevance, and respond effectively to global educational transformations.</w:t>
      </w:r>
    </w:p>
    <w:p>
      <w:r>
        <w:br w:type="page"/>
      </w:r>
    </w:p>
    <w:p>
      <w:pPr>
        <w:pStyle w:val="Heading1"/>
      </w:pPr>
      <w:r>
        <w:t>CONTENTS</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850"/>
        <w:gridCol w:w="7540"/>
        <w:gridCol w:w="1020"/>
      </w:tblGrid>
      <w:tr>
        <w:trPr>
          <w:tblHeader w:val="true"/>
        </w:trPr>
        <w:tc>
          <w:tcPr>
            <w:tcW w:type="dxa" w:w="850"/>
            <w:shd w:val="clear" w:color="auto" w:fill="1F3A5F"/>
          </w:tcPr>
          <w:p>
            <w:pPr>
              <w:spacing w:after="20" w:before="20" w:line="240" w:lineRule="auto"/>
              <w:jc w:val="center"/>
            </w:pPr>
            <w:r>
              <w:rPr>
                <w:b/>
                <w:color w:val="FFFFFF"/>
                <w:sz w:val="21"/>
              </w:rPr>
              <w:t>S. No</w:t>
            </w:r>
          </w:p>
        </w:tc>
        <w:tc>
          <w:tcPr>
            <w:tcW w:type="dxa" w:w="7540"/>
            <w:shd w:val="clear" w:color="auto" w:fill="1F3A5F"/>
          </w:tcPr>
          <w:p>
            <w:pPr>
              <w:spacing w:after="20" w:before="20" w:line="240" w:lineRule="auto"/>
              <w:jc w:val="left"/>
            </w:pPr>
            <w:r>
              <w:rPr>
                <w:b/>
                <w:color w:val="FFFFFF"/>
                <w:sz w:val="21"/>
              </w:rPr>
              <w:t>Content</w:t>
            </w:r>
          </w:p>
        </w:tc>
        <w:tc>
          <w:tcPr>
            <w:tcW w:type="dxa" w:w="1020"/>
            <w:shd w:val="clear" w:color="auto" w:fill="1F3A5F"/>
          </w:tcPr>
          <w:p>
            <w:pPr>
              <w:spacing w:after="20" w:before="20" w:line="240" w:lineRule="auto"/>
              <w:jc w:val="center"/>
            </w:pPr>
            <w:r>
              <w:rPr>
                <w:b/>
                <w:color w:val="FFFFFF"/>
                <w:sz w:val="21"/>
              </w:rPr>
              <w:t>Pg. No</w:t>
            </w:r>
          </w:p>
        </w:tc>
      </w:tr>
      <w:tr>
        <w:tc>
          <w:tcPr>
            <w:tcW w:type="dxa" w:w="850"/>
          </w:tcPr>
          <w:p>
            <w:pPr>
              <w:spacing w:after="20" w:before="20" w:line="240" w:lineRule="auto"/>
              <w:jc w:val="center"/>
            </w:pPr>
            <w:r>
              <w:rPr>
                <w:b/>
                <w:sz w:val="21"/>
              </w:rPr>
              <w:t>1</w:t>
            </w:r>
          </w:p>
        </w:tc>
        <w:tc>
          <w:tcPr>
            <w:tcW w:type="dxa" w:w="7540"/>
          </w:tcPr>
          <w:p>
            <w:pPr>
              <w:spacing w:after="20" w:before="20" w:line="240" w:lineRule="auto"/>
              <w:jc w:val="left"/>
            </w:pPr>
            <w:r>
              <w:rPr>
                <w:b/>
                <w:sz w:val="21"/>
              </w:rPr>
              <w:t>Identification of Best Practices in Higher Education Institutions (HEIs)</w:t>
            </w:r>
          </w:p>
        </w:tc>
        <w:tc>
          <w:tcPr>
            <w:tcW w:type="dxa" w:w="1020"/>
          </w:tcPr>
          <w:p>
            <w:pPr>
              <w:spacing w:after="20" w:before="20" w:line="240" w:lineRule="auto"/>
              <w:jc w:val="center"/>
            </w:pPr>
            <w:r>
              <w:rPr>
                <w:b/>
                <w:sz w:val="21"/>
              </w:rPr>
              <w:t>001</w:t>
            </w:r>
          </w:p>
        </w:tc>
      </w:tr>
      <w:tr>
        <w:tc>
          <w:tcPr>
            <w:tcW w:type="dxa" w:w="850"/>
            <w:shd w:val="clear" w:color="auto" w:fill="E8EEF5"/>
          </w:tcPr>
          <w:p>
            <w:pPr>
              <w:spacing w:after="20" w:before="20" w:line="240" w:lineRule="auto"/>
              <w:jc w:val="center"/>
            </w:pPr>
            <w:r>
              <w:rPr>
                <w:sz w:val="21"/>
              </w:rPr>
              <w:t>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001</w:t>
            </w:r>
          </w:p>
        </w:tc>
      </w:tr>
      <w:tr>
        <w:tc>
          <w:tcPr>
            <w:tcW w:type="dxa" w:w="850"/>
          </w:tcPr>
          <w:p>
            <w:pPr>
              <w:spacing w:after="20" w:before="20" w:line="240" w:lineRule="auto"/>
              <w:jc w:val="center"/>
            </w:pPr>
            <w:r>
              <w:rPr>
                <w:sz w:val="21"/>
              </w:rPr>
              <w:t>1.2</w:t>
            </w:r>
          </w:p>
        </w:tc>
        <w:tc>
          <w:tcPr>
            <w:tcW w:type="dxa" w:w="7540"/>
          </w:tcPr>
          <w:p>
            <w:pPr>
              <w:spacing w:after="20" w:before="20" w:line="240" w:lineRule="auto"/>
              <w:jc w:val="left"/>
            </w:pPr>
            <w:r>
              <w:rPr>
                <w:sz w:val="21"/>
              </w:rPr>
              <w:t>Teaching and Learning Excellence</w:t>
            </w:r>
          </w:p>
        </w:tc>
        <w:tc>
          <w:tcPr>
            <w:tcW w:type="dxa" w:w="1020"/>
          </w:tcPr>
          <w:p>
            <w:pPr>
              <w:spacing w:after="20" w:before="20" w:line="240" w:lineRule="auto"/>
              <w:jc w:val="center"/>
            </w:pPr>
            <w:r>
              <w:rPr>
                <w:sz w:val="21"/>
              </w:rPr>
              <w:t>001</w:t>
            </w:r>
          </w:p>
        </w:tc>
      </w:tr>
      <w:tr>
        <w:tc>
          <w:tcPr>
            <w:tcW w:type="dxa" w:w="850"/>
            <w:shd w:val="clear" w:color="auto" w:fill="E8EEF5"/>
          </w:tcPr>
          <w:p>
            <w:pPr>
              <w:spacing w:after="20" w:before="20" w:line="240" w:lineRule="auto"/>
              <w:jc w:val="center"/>
            </w:pPr>
            <w:r>
              <w:rPr>
                <w:sz w:val="21"/>
              </w:rPr>
              <w:t>1.3</w:t>
            </w:r>
          </w:p>
        </w:tc>
        <w:tc>
          <w:tcPr>
            <w:tcW w:type="dxa" w:w="7540"/>
            <w:shd w:val="clear" w:color="auto" w:fill="E8EEF5"/>
          </w:tcPr>
          <w:p>
            <w:pPr>
              <w:spacing w:after="20" w:before="20" w:line="240" w:lineRule="auto"/>
              <w:jc w:val="left"/>
            </w:pPr>
            <w:r>
              <w:rPr>
                <w:sz w:val="21"/>
              </w:rPr>
              <w:t>Research and Innovation</w:t>
            </w:r>
          </w:p>
        </w:tc>
        <w:tc>
          <w:tcPr>
            <w:tcW w:type="dxa" w:w="1020"/>
            <w:shd w:val="clear" w:color="auto" w:fill="E8EEF5"/>
          </w:tcPr>
          <w:p>
            <w:pPr>
              <w:spacing w:after="20" w:before="20" w:line="240" w:lineRule="auto"/>
              <w:jc w:val="center"/>
            </w:pPr>
            <w:r>
              <w:rPr>
                <w:sz w:val="21"/>
              </w:rPr>
              <w:t>001</w:t>
            </w:r>
          </w:p>
        </w:tc>
      </w:tr>
      <w:tr>
        <w:tc>
          <w:tcPr>
            <w:tcW w:type="dxa" w:w="850"/>
          </w:tcPr>
          <w:p>
            <w:pPr>
              <w:spacing w:after="20" w:before="20" w:line="240" w:lineRule="auto"/>
              <w:jc w:val="center"/>
            </w:pPr>
            <w:r>
              <w:rPr>
                <w:sz w:val="21"/>
              </w:rPr>
              <w:t>1.4</w:t>
            </w:r>
          </w:p>
        </w:tc>
        <w:tc>
          <w:tcPr>
            <w:tcW w:type="dxa" w:w="7540"/>
          </w:tcPr>
          <w:p>
            <w:pPr>
              <w:spacing w:after="20" w:before="20" w:line="240" w:lineRule="auto"/>
              <w:jc w:val="left"/>
            </w:pPr>
            <w:r>
              <w:rPr>
                <w:sz w:val="21"/>
              </w:rPr>
              <w:t>Student Support and Progression</w:t>
            </w:r>
          </w:p>
        </w:tc>
        <w:tc>
          <w:tcPr>
            <w:tcW w:type="dxa" w:w="1020"/>
          </w:tcPr>
          <w:p>
            <w:pPr>
              <w:spacing w:after="20" w:before="20" w:line="240" w:lineRule="auto"/>
              <w:jc w:val="center"/>
            </w:pPr>
            <w:r>
              <w:rPr>
                <w:sz w:val="21"/>
              </w:rPr>
              <w:t>002</w:t>
            </w:r>
          </w:p>
        </w:tc>
      </w:tr>
      <w:tr>
        <w:tc>
          <w:tcPr>
            <w:tcW w:type="dxa" w:w="850"/>
            <w:shd w:val="clear" w:color="auto" w:fill="E8EEF5"/>
          </w:tcPr>
          <w:p>
            <w:pPr>
              <w:spacing w:after="20" w:before="20" w:line="240" w:lineRule="auto"/>
              <w:jc w:val="center"/>
            </w:pPr>
            <w:r>
              <w:rPr>
                <w:sz w:val="21"/>
              </w:rPr>
              <w:t>1.5</w:t>
            </w:r>
          </w:p>
        </w:tc>
        <w:tc>
          <w:tcPr>
            <w:tcW w:type="dxa" w:w="7540"/>
            <w:shd w:val="clear" w:color="auto" w:fill="E8EEF5"/>
          </w:tcPr>
          <w:p>
            <w:pPr>
              <w:spacing w:after="20" w:before="20" w:line="240" w:lineRule="auto"/>
              <w:jc w:val="left"/>
            </w:pPr>
            <w:r>
              <w:rPr>
                <w:sz w:val="21"/>
              </w:rPr>
              <w:t>Governance and Leadership</w:t>
            </w:r>
          </w:p>
        </w:tc>
        <w:tc>
          <w:tcPr>
            <w:tcW w:type="dxa" w:w="1020"/>
            <w:shd w:val="clear" w:color="auto" w:fill="E8EEF5"/>
          </w:tcPr>
          <w:p>
            <w:pPr>
              <w:spacing w:after="20" w:before="20" w:line="240" w:lineRule="auto"/>
              <w:jc w:val="center"/>
            </w:pPr>
            <w:r>
              <w:rPr>
                <w:sz w:val="21"/>
              </w:rPr>
              <w:t>002</w:t>
            </w:r>
          </w:p>
        </w:tc>
      </w:tr>
      <w:tr>
        <w:tc>
          <w:tcPr>
            <w:tcW w:type="dxa" w:w="850"/>
          </w:tcPr>
          <w:p>
            <w:pPr>
              <w:spacing w:after="20" w:before="20" w:line="240" w:lineRule="auto"/>
              <w:jc w:val="center"/>
            </w:pPr>
            <w:r>
              <w:rPr>
                <w:sz w:val="21"/>
              </w:rPr>
              <w:t>1.6</w:t>
            </w:r>
          </w:p>
        </w:tc>
        <w:tc>
          <w:tcPr>
            <w:tcW w:type="dxa" w:w="7540"/>
          </w:tcPr>
          <w:p>
            <w:pPr>
              <w:spacing w:after="20" w:before="20" w:line="240" w:lineRule="auto"/>
              <w:jc w:val="left"/>
            </w:pPr>
            <w:r>
              <w:rPr>
                <w:sz w:val="21"/>
              </w:rPr>
              <w:t>Infrastructure and Learning Resources</w:t>
            </w:r>
          </w:p>
        </w:tc>
        <w:tc>
          <w:tcPr>
            <w:tcW w:type="dxa" w:w="1020"/>
          </w:tcPr>
          <w:p>
            <w:pPr>
              <w:spacing w:after="20" w:before="20" w:line="240" w:lineRule="auto"/>
              <w:jc w:val="center"/>
            </w:pPr>
            <w:r>
              <w:rPr>
                <w:sz w:val="21"/>
              </w:rPr>
              <w:t>002</w:t>
            </w:r>
          </w:p>
        </w:tc>
      </w:tr>
      <w:tr>
        <w:tc>
          <w:tcPr>
            <w:tcW w:type="dxa" w:w="850"/>
            <w:shd w:val="clear" w:color="auto" w:fill="E8EEF5"/>
          </w:tcPr>
          <w:p>
            <w:pPr>
              <w:spacing w:after="20" w:before="20" w:line="240" w:lineRule="auto"/>
              <w:jc w:val="center"/>
            </w:pPr>
            <w:r>
              <w:rPr>
                <w:sz w:val="21"/>
              </w:rPr>
              <w:t>1.7</w:t>
            </w:r>
          </w:p>
        </w:tc>
        <w:tc>
          <w:tcPr>
            <w:tcW w:type="dxa" w:w="7540"/>
            <w:shd w:val="clear" w:color="auto" w:fill="E8EEF5"/>
          </w:tcPr>
          <w:p>
            <w:pPr>
              <w:spacing w:after="20" w:before="20" w:line="240" w:lineRule="auto"/>
              <w:jc w:val="left"/>
            </w:pPr>
            <w:r>
              <w:rPr>
                <w:sz w:val="21"/>
              </w:rPr>
              <w:t>Internal Quality Assurance and Continuous Improvement</w:t>
            </w:r>
          </w:p>
        </w:tc>
        <w:tc>
          <w:tcPr>
            <w:tcW w:type="dxa" w:w="1020"/>
            <w:shd w:val="clear" w:color="auto" w:fill="E8EEF5"/>
          </w:tcPr>
          <w:p>
            <w:pPr>
              <w:spacing w:after="20" w:before="20" w:line="240" w:lineRule="auto"/>
              <w:jc w:val="center"/>
            </w:pPr>
            <w:r>
              <w:rPr>
                <w:sz w:val="21"/>
              </w:rPr>
              <w:t>003</w:t>
            </w:r>
          </w:p>
        </w:tc>
      </w:tr>
      <w:tr>
        <w:tc>
          <w:tcPr>
            <w:tcW w:type="dxa" w:w="850"/>
          </w:tcPr>
          <w:p>
            <w:pPr>
              <w:spacing w:after="20" w:before="20" w:line="240" w:lineRule="auto"/>
              <w:jc w:val="center"/>
            </w:pPr>
            <w:r>
              <w:rPr>
                <w:sz w:val="21"/>
              </w:rPr>
              <w:t>1.8</w:t>
            </w:r>
          </w:p>
        </w:tc>
        <w:tc>
          <w:tcPr>
            <w:tcW w:type="dxa" w:w="7540"/>
          </w:tcPr>
          <w:p>
            <w:pPr>
              <w:spacing w:after="20" w:before="20" w:line="240" w:lineRule="auto"/>
              <w:jc w:val="left"/>
            </w:pPr>
            <w:r>
              <w:rPr>
                <w:sz w:val="21"/>
              </w:rPr>
              <w:t>Community Engagement and Social Responsibility</w:t>
            </w:r>
          </w:p>
        </w:tc>
        <w:tc>
          <w:tcPr>
            <w:tcW w:type="dxa" w:w="1020"/>
          </w:tcPr>
          <w:p>
            <w:pPr>
              <w:spacing w:after="20" w:before="20" w:line="240" w:lineRule="auto"/>
              <w:jc w:val="center"/>
            </w:pPr>
            <w:r>
              <w:rPr>
                <w:sz w:val="21"/>
              </w:rPr>
              <w:t>003</w:t>
            </w:r>
          </w:p>
        </w:tc>
      </w:tr>
      <w:tr>
        <w:tc>
          <w:tcPr>
            <w:tcW w:type="dxa" w:w="850"/>
            <w:shd w:val="clear" w:color="auto" w:fill="E8EEF5"/>
          </w:tcPr>
          <w:p>
            <w:pPr>
              <w:spacing w:after="20" w:before="20" w:line="240" w:lineRule="auto"/>
              <w:jc w:val="center"/>
            </w:pPr>
            <w:r>
              <w:rPr>
                <w:sz w:val="21"/>
              </w:rPr>
              <w:t>1.9</w:t>
            </w:r>
          </w:p>
        </w:tc>
        <w:tc>
          <w:tcPr>
            <w:tcW w:type="dxa" w:w="7540"/>
            <w:shd w:val="clear" w:color="auto" w:fill="E8EEF5"/>
          </w:tcPr>
          <w:p>
            <w:pPr>
              <w:spacing w:after="20" w:before="20" w:line="240" w:lineRule="auto"/>
              <w:jc w:val="left"/>
            </w:pPr>
            <w:r>
              <w:rPr>
                <w:sz w:val="21"/>
              </w:rPr>
              <w:t>Documentation of Best Practices</w:t>
            </w:r>
          </w:p>
        </w:tc>
        <w:tc>
          <w:tcPr>
            <w:tcW w:type="dxa" w:w="1020"/>
            <w:shd w:val="clear" w:color="auto" w:fill="E8EEF5"/>
          </w:tcPr>
          <w:p>
            <w:pPr>
              <w:spacing w:after="20" w:before="20" w:line="240" w:lineRule="auto"/>
              <w:jc w:val="center"/>
            </w:pPr>
            <w:r>
              <w:rPr>
                <w:sz w:val="21"/>
              </w:rPr>
              <w:t>003</w:t>
            </w:r>
          </w:p>
        </w:tc>
      </w:tr>
      <w:tr>
        <w:tc>
          <w:tcPr>
            <w:tcW w:type="dxa" w:w="850"/>
          </w:tcPr>
          <w:p>
            <w:pPr>
              <w:spacing w:after="20" w:before="20" w:line="240" w:lineRule="auto"/>
              <w:jc w:val="center"/>
            </w:pPr>
            <w:r>
              <w:rPr>
                <w:sz w:val="21"/>
              </w:rPr>
              <w:t>1.10</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003</w:t>
            </w:r>
          </w:p>
        </w:tc>
      </w:tr>
      <w:tr>
        <w:tc>
          <w:tcPr>
            <w:tcW w:type="dxa" w:w="850"/>
            <w:shd w:val="clear" w:color="auto" w:fill="E8EEF5"/>
          </w:tcPr>
          <w:p>
            <w:pPr>
              <w:spacing w:after="20" w:before="20" w:line="240" w:lineRule="auto"/>
              <w:jc w:val="center"/>
            </w:pPr>
            <w:r>
              <w:rPr>
                <w:b/>
                <w:sz w:val="21"/>
              </w:rPr>
              <w:t>2</w:t>
            </w:r>
          </w:p>
        </w:tc>
        <w:tc>
          <w:tcPr>
            <w:tcW w:type="dxa" w:w="7540"/>
            <w:shd w:val="clear" w:color="auto" w:fill="E8EEF5"/>
          </w:tcPr>
          <w:p>
            <w:pPr>
              <w:spacing w:after="20" w:before="20" w:line="240" w:lineRule="auto"/>
              <w:jc w:val="left"/>
            </w:pPr>
            <w:r>
              <w:rPr>
                <w:b/>
                <w:sz w:val="21"/>
              </w:rPr>
              <w:t>Implementation of Best Practices in Higher Education Institutions (HEIs)</w:t>
            </w:r>
          </w:p>
        </w:tc>
        <w:tc>
          <w:tcPr>
            <w:tcW w:type="dxa" w:w="1020"/>
            <w:shd w:val="clear" w:color="auto" w:fill="E8EEF5"/>
          </w:tcPr>
          <w:p>
            <w:pPr>
              <w:spacing w:after="20" w:before="20" w:line="240" w:lineRule="auto"/>
              <w:jc w:val="center"/>
            </w:pPr>
            <w:r>
              <w:rPr>
                <w:b/>
                <w:sz w:val="21"/>
              </w:rPr>
              <w:t>005</w:t>
            </w:r>
          </w:p>
        </w:tc>
      </w:tr>
      <w:tr>
        <w:tc>
          <w:tcPr>
            <w:tcW w:type="dxa" w:w="850"/>
          </w:tcPr>
          <w:p>
            <w:pPr>
              <w:spacing w:after="20" w:before="20" w:line="240" w:lineRule="auto"/>
              <w:jc w:val="center"/>
            </w:pPr>
            <w:r>
              <w:rPr>
                <w:sz w:val="21"/>
              </w:rPr>
              <w:t>2.1</w:t>
            </w:r>
          </w:p>
        </w:tc>
        <w:tc>
          <w:tcPr>
            <w:tcW w:type="dxa" w:w="7540"/>
          </w:tcPr>
          <w:p>
            <w:pPr>
              <w:spacing w:after="20" w:before="20" w:line="240" w:lineRule="auto"/>
              <w:jc w:val="left"/>
            </w:pPr>
            <w:r>
              <w:rPr>
                <w:sz w:val="21"/>
              </w:rPr>
              <w:t>Identification of the Best Practice</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2.2</w:t>
            </w:r>
          </w:p>
        </w:tc>
        <w:tc>
          <w:tcPr>
            <w:tcW w:type="dxa" w:w="7540"/>
            <w:shd w:val="clear" w:color="auto" w:fill="E8EEF5"/>
          </w:tcPr>
          <w:p>
            <w:pPr>
              <w:spacing w:after="20" w:before="20" w:line="240" w:lineRule="auto"/>
              <w:jc w:val="left"/>
            </w:pPr>
            <w:r>
              <w:rPr>
                <w:sz w:val="21"/>
              </w:rPr>
              <w:t>Planning and Design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2.3</w:t>
            </w:r>
          </w:p>
        </w:tc>
        <w:tc>
          <w:tcPr>
            <w:tcW w:type="dxa" w:w="7540"/>
          </w:tcPr>
          <w:p>
            <w:pPr>
              <w:spacing w:after="20" w:before="20" w:line="240" w:lineRule="auto"/>
              <w:jc w:val="left"/>
            </w:pPr>
            <w:r>
              <w:rPr>
                <w:sz w:val="21"/>
              </w:rPr>
              <w:t>Stakeholder Involvement</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2.4</w:t>
            </w:r>
          </w:p>
        </w:tc>
        <w:tc>
          <w:tcPr>
            <w:tcW w:type="dxa" w:w="7540"/>
            <w:shd w:val="clear" w:color="auto" w:fill="E8EEF5"/>
          </w:tcPr>
          <w:p>
            <w:pPr>
              <w:spacing w:after="20" w:before="20" w:line="240" w:lineRule="auto"/>
              <w:jc w:val="left"/>
            </w:pPr>
            <w:r>
              <w:rPr>
                <w:sz w:val="21"/>
              </w:rPr>
              <w:t>Execution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2.5</w:t>
            </w:r>
          </w:p>
        </w:tc>
        <w:tc>
          <w:tcPr>
            <w:tcW w:type="dxa" w:w="7540"/>
          </w:tcPr>
          <w:p>
            <w:pPr>
              <w:spacing w:after="20" w:before="20" w:line="240" w:lineRule="auto"/>
              <w:jc w:val="left"/>
            </w:pPr>
            <w:r>
              <w:rPr>
                <w:sz w:val="21"/>
              </w:rPr>
              <w:t>Monitoring and Review</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2.6</w:t>
            </w:r>
          </w:p>
        </w:tc>
        <w:tc>
          <w:tcPr>
            <w:tcW w:type="dxa" w:w="7540"/>
            <w:shd w:val="clear" w:color="auto" w:fill="E8EEF5"/>
          </w:tcPr>
          <w:p>
            <w:pPr>
              <w:spacing w:after="20" w:before="20" w:line="240" w:lineRule="auto"/>
              <w:jc w:val="left"/>
            </w:pPr>
            <w:r>
              <w:rPr>
                <w:sz w:val="21"/>
              </w:rPr>
              <w:t>Documentation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2.7</w:t>
            </w:r>
          </w:p>
        </w:tc>
        <w:tc>
          <w:tcPr>
            <w:tcW w:type="dxa" w:w="7540"/>
          </w:tcPr>
          <w:p>
            <w:pPr>
              <w:spacing w:after="20" w:before="20" w:line="240" w:lineRule="auto"/>
              <w:jc w:val="left"/>
            </w:pPr>
            <w:r>
              <w:rPr>
                <w:sz w:val="21"/>
              </w:rPr>
              <w:t>Evaluation and Continuous Improvement</w:t>
            </w:r>
          </w:p>
        </w:tc>
        <w:tc>
          <w:tcPr>
            <w:tcW w:type="dxa" w:w="1020"/>
          </w:tcPr>
          <w:p>
            <w:pPr>
              <w:spacing w:after="20" w:before="20" w:line="240" w:lineRule="auto"/>
              <w:jc w:val="center"/>
            </w:pPr>
            <w:r>
              <w:rPr>
                <w:sz w:val="21"/>
              </w:rPr>
              <w:t>005</w:t>
            </w:r>
          </w:p>
        </w:tc>
      </w:tr>
      <w:tr>
        <w:tc>
          <w:tcPr>
            <w:tcW w:type="dxa" w:w="850"/>
            <w:shd w:val="clear" w:color="auto" w:fill="E8EEF5"/>
          </w:tcPr>
          <w:p>
            <w:pPr>
              <w:spacing w:after="20" w:before="20" w:line="240" w:lineRule="auto"/>
              <w:jc w:val="center"/>
            </w:pPr>
            <w:r>
              <w:rPr>
                <w:sz w:val="21"/>
              </w:rPr>
              <w:t>2.8</w:t>
            </w:r>
          </w:p>
        </w:tc>
        <w:tc>
          <w:tcPr>
            <w:tcW w:type="dxa" w:w="7540"/>
            <w:shd w:val="clear" w:color="auto" w:fill="E8EEF5"/>
          </w:tcPr>
          <w:p>
            <w:pPr>
              <w:spacing w:after="20" w:before="20" w:line="240" w:lineRule="auto"/>
              <w:jc w:val="left"/>
            </w:pPr>
            <w:r>
              <w:rPr>
                <w:sz w:val="21"/>
              </w:rPr>
              <w:t>Dissemination</w:t>
            </w:r>
          </w:p>
        </w:tc>
        <w:tc>
          <w:tcPr>
            <w:tcW w:type="dxa" w:w="1020"/>
            <w:shd w:val="clear" w:color="auto" w:fill="E8EEF5"/>
          </w:tcPr>
          <w:p>
            <w:pPr>
              <w:spacing w:after="20" w:before="20" w:line="240" w:lineRule="auto"/>
              <w:jc w:val="center"/>
            </w:pPr>
            <w:r>
              <w:rPr>
                <w:sz w:val="21"/>
              </w:rPr>
              <w:t>005</w:t>
            </w:r>
          </w:p>
        </w:tc>
      </w:tr>
      <w:tr>
        <w:tc>
          <w:tcPr>
            <w:tcW w:type="dxa" w:w="850"/>
          </w:tcPr>
          <w:p>
            <w:pPr>
              <w:spacing w:after="20" w:before="20" w:line="240" w:lineRule="auto"/>
              <w:jc w:val="center"/>
            </w:pPr>
            <w:r>
              <w:rPr>
                <w:sz w:val="21"/>
              </w:rPr>
              <w:t>2.9</w:t>
            </w:r>
          </w:p>
        </w:tc>
        <w:tc>
          <w:tcPr>
            <w:tcW w:type="dxa" w:w="7540"/>
          </w:tcPr>
          <w:p>
            <w:pPr>
              <w:spacing w:after="20" w:before="20" w:line="240" w:lineRule="auto"/>
              <w:jc w:val="left"/>
            </w:pPr>
            <w:r>
              <w:rPr>
                <w:sz w:val="21"/>
              </w:rPr>
              <w:t>Example: Implementation of Mentor-Mentee System (Best Practice)</w:t>
            </w:r>
          </w:p>
        </w:tc>
        <w:tc>
          <w:tcPr>
            <w:tcW w:type="dxa" w:w="1020"/>
          </w:tcPr>
          <w:p>
            <w:pPr>
              <w:spacing w:after="20" w:before="20" w:line="240" w:lineRule="auto"/>
              <w:jc w:val="center"/>
            </w:pPr>
            <w:r>
              <w:rPr>
                <w:sz w:val="21"/>
              </w:rPr>
              <w:t>006</w:t>
            </w:r>
          </w:p>
        </w:tc>
      </w:tr>
      <w:tr>
        <w:tc>
          <w:tcPr>
            <w:tcW w:type="dxa" w:w="850"/>
            <w:shd w:val="clear" w:color="auto" w:fill="E8EEF5"/>
          </w:tcPr>
          <w:p>
            <w:pPr>
              <w:spacing w:after="20" w:before="20" w:line="240" w:lineRule="auto"/>
              <w:jc w:val="center"/>
            </w:pPr>
            <w:r>
              <w:rPr>
                <w:b/>
                <w:sz w:val="21"/>
              </w:rPr>
              <w:t>3</w:t>
            </w:r>
          </w:p>
        </w:tc>
        <w:tc>
          <w:tcPr>
            <w:tcW w:type="dxa" w:w="7540"/>
            <w:shd w:val="clear" w:color="auto" w:fill="E8EEF5"/>
          </w:tcPr>
          <w:p>
            <w:pPr>
              <w:spacing w:after="20" w:before="20" w:line="240" w:lineRule="auto"/>
              <w:jc w:val="left"/>
            </w:pPr>
            <w:r>
              <w:rPr>
                <w:b/>
                <w:sz w:val="21"/>
              </w:rPr>
              <w:t>Institutionalization of Best Practices in Higher Education Institutions (HEIs)</w:t>
            </w:r>
          </w:p>
        </w:tc>
        <w:tc>
          <w:tcPr>
            <w:tcW w:type="dxa" w:w="1020"/>
            <w:shd w:val="clear" w:color="auto" w:fill="E8EEF5"/>
          </w:tcPr>
          <w:p>
            <w:pPr>
              <w:spacing w:after="20" w:before="20" w:line="240" w:lineRule="auto"/>
              <w:jc w:val="center"/>
            </w:pPr>
            <w:r>
              <w:rPr>
                <w:b/>
                <w:sz w:val="21"/>
              </w:rPr>
              <w:t>007</w:t>
            </w:r>
          </w:p>
        </w:tc>
      </w:tr>
      <w:tr>
        <w:tc>
          <w:tcPr>
            <w:tcW w:type="dxa" w:w="850"/>
          </w:tcPr>
          <w:p>
            <w:pPr>
              <w:spacing w:after="20" w:before="20" w:line="240" w:lineRule="auto"/>
              <w:jc w:val="center"/>
            </w:pPr>
            <w:r>
              <w:rPr>
                <w:sz w:val="21"/>
              </w:rPr>
              <w:t>3.1</w:t>
            </w:r>
          </w:p>
        </w:tc>
        <w:tc>
          <w:tcPr>
            <w:tcW w:type="dxa" w:w="7540"/>
          </w:tcPr>
          <w:p>
            <w:pPr>
              <w:spacing w:after="20" w:before="20" w:line="240" w:lineRule="auto"/>
              <w:jc w:val="left"/>
            </w:pPr>
            <w:r>
              <w:rPr>
                <w:sz w:val="21"/>
              </w:rPr>
              <w:t>Steps to Institutionalize Best Practices in HEIs</w:t>
            </w:r>
          </w:p>
        </w:tc>
        <w:tc>
          <w:tcPr>
            <w:tcW w:type="dxa" w:w="1020"/>
          </w:tcPr>
          <w:p>
            <w:pPr>
              <w:spacing w:after="20" w:before="20" w:line="240" w:lineRule="auto"/>
              <w:jc w:val="center"/>
            </w:pPr>
            <w:r>
              <w:rPr>
                <w:sz w:val="21"/>
              </w:rPr>
              <w:t>007</w:t>
            </w:r>
          </w:p>
        </w:tc>
      </w:tr>
      <w:tr>
        <w:tc>
          <w:tcPr>
            <w:tcW w:type="dxa" w:w="850"/>
            <w:shd w:val="clear" w:color="auto" w:fill="E8EEF5"/>
          </w:tcPr>
          <w:p>
            <w:pPr>
              <w:spacing w:after="20" w:before="20" w:line="240" w:lineRule="auto"/>
              <w:jc w:val="center"/>
            </w:pPr>
            <w:r>
              <w:rPr>
                <w:sz w:val="21"/>
              </w:rPr>
              <w:t>3.2</w:t>
            </w:r>
          </w:p>
        </w:tc>
        <w:tc>
          <w:tcPr>
            <w:tcW w:type="dxa" w:w="7540"/>
            <w:shd w:val="clear" w:color="auto" w:fill="E8EEF5"/>
          </w:tcPr>
          <w:p>
            <w:pPr>
              <w:spacing w:after="20" w:before="20" w:line="240" w:lineRule="auto"/>
              <w:jc w:val="left"/>
            </w:pPr>
            <w:r>
              <w:rPr>
                <w:sz w:val="21"/>
              </w:rPr>
              <w:t>Example of Institutionalized Best Practice</w:t>
            </w:r>
          </w:p>
        </w:tc>
        <w:tc>
          <w:tcPr>
            <w:tcW w:type="dxa" w:w="1020"/>
            <w:shd w:val="clear" w:color="auto" w:fill="E8EEF5"/>
          </w:tcPr>
          <w:p>
            <w:pPr>
              <w:spacing w:after="20" w:before="20" w:line="240" w:lineRule="auto"/>
              <w:jc w:val="center"/>
            </w:pPr>
            <w:r>
              <w:rPr>
                <w:sz w:val="21"/>
              </w:rPr>
              <w:t>008</w:t>
            </w:r>
          </w:p>
        </w:tc>
      </w:tr>
      <w:tr>
        <w:tc>
          <w:tcPr>
            <w:tcW w:type="dxa" w:w="850"/>
          </w:tcPr>
          <w:p>
            <w:pPr>
              <w:spacing w:after="20" w:before="20" w:line="240" w:lineRule="auto"/>
              <w:jc w:val="center"/>
            </w:pPr>
            <w:r>
              <w:rPr>
                <w:b/>
                <w:sz w:val="21"/>
              </w:rPr>
              <w:t>4</w:t>
            </w:r>
          </w:p>
        </w:tc>
        <w:tc>
          <w:tcPr>
            <w:tcW w:type="dxa" w:w="7540"/>
          </w:tcPr>
          <w:p>
            <w:pPr>
              <w:spacing w:after="20" w:before="20" w:line="240" w:lineRule="auto"/>
              <w:jc w:val="left"/>
            </w:pPr>
            <w:r>
              <w:rPr>
                <w:b/>
                <w:sz w:val="21"/>
              </w:rPr>
              <w:t>Internalization of Best Practices in Higher Education Institutions (HEIs)</w:t>
            </w:r>
          </w:p>
        </w:tc>
        <w:tc>
          <w:tcPr>
            <w:tcW w:type="dxa" w:w="1020"/>
          </w:tcPr>
          <w:p>
            <w:pPr>
              <w:spacing w:after="20" w:before="20" w:line="240" w:lineRule="auto"/>
              <w:jc w:val="center"/>
            </w:pPr>
            <w:r>
              <w:rPr>
                <w:b/>
                <w:sz w:val="21"/>
              </w:rPr>
              <w:t>009</w:t>
            </w:r>
          </w:p>
        </w:tc>
      </w:tr>
      <w:tr>
        <w:tc>
          <w:tcPr>
            <w:tcW w:type="dxa" w:w="850"/>
            <w:shd w:val="clear" w:color="auto" w:fill="E8EEF5"/>
          </w:tcPr>
          <w:p>
            <w:pPr>
              <w:spacing w:after="20" w:before="20" w:line="240" w:lineRule="auto"/>
              <w:jc w:val="center"/>
            </w:pPr>
            <w:r>
              <w:rPr>
                <w:sz w:val="21"/>
              </w:rPr>
              <w:t>4.1</w:t>
            </w:r>
          </w:p>
        </w:tc>
        <w:tc>
          <w:tcPr>
            <w:tcW w:type="dxa" w:w="7540"/>
            <w:shd w:val="clear" w:color="auto" w:fill="E8EEF5"/>
          </w:tcPr>
          <w:p>
            <w:pPr>
              <w:spacing w:after="20" w:before="20" w:line="240" w:lineRule="auto"/>
              <w:jc w:val="left"/>
            </w:pPr>
            <w:r>
              <w:rPr>
                <w:sz w:val="21"/>
              </w:rPr>
              <w:t>Characteristics of Internalized Best Practices</w:t>
            </w:r>
          </w:p>
        </w:tc>
        <w:tc>
          <w:tcPr>
            <w:tcW w:type="dxa" w:w="1020"/>
            <w:shd w:val="clear" w:color="auto" w:fill="E8EEF5"/>
          </w:tcPr>
          <w:p>
            <w:pPr>
              <w:spacing w:after="20" w:before="20" w:line="240" w:lineRule="auto"/>
              <w:jc w:val="center"/>
            </w:pPr>
            <w:r>
              <w:rPr>
                <w:sz w:val="21"/>
              </w:rPr>
              <w:t>009</w:t>
            </w:r>
          </w:p>
        </w:tc>
      </w:tr>
      <w:tr>
        <w:tc>
          <w:tcPr>
            <w:tcW w:type="dxa" w:w="850"/>
          </w:tcPr>
          <w:p>
            <w:pPr>
              <w:spacing w:after="20" w:before="20" w:line="240" w:lineRule="auto"/>
              <w:jc w:val="center"/>
            </w:pPr>
            <w:r>
              <w:rPr>
                <w:sz w:val="21"/>
              </w:rPr>
              <w:t>4.2</w:t>
            </w:r>
          </w:p>
        </w:tc>
        <w:tc>
          <w:tcPr>
            <w:tcW w:type="dxa" w:w="7540"/>
          </w:tcPr>
          <w:p>
            <w:pPr>
              <w:spacing w:after="20" w:before="20" w:line="240" w:lineRule="auto"/>
              <w:jc w:val="left"/>
            </w:pPr>
            <w:r>
              <w:rPr>
                <w:sz w:val="21"/>
              </w:rPr>
              <w:t>Process of Internalizing Best Practices</w:t>
            </w:r>
          </w:p>
        </w:tc>
        <w:tc>
          <w:tcPr>
            <w:tcW w:type="dxa" w:w="1020"/>
          </w:tcPr>
          <w:p>
            <w:pPr>
              <w:spacing w:after="20" w:before="20" w:line="240" w:lineRule="auto"/>
              <w:jc w:val="center"/>
            </w:pPr>
            <w:r>
              <w:rPr>
                <w:sz w:val="21"/>
              </w:rPr>
              <w:t>009</w:t>
            </w:r>
          </w:p>
        </w:tc>
      </w:tr>
      <w:tr>
        <w:tc>
          <w:tcPr>
            <w:tcW w:type="dxa" w:w="850"/>
            <w:shd w:val="clear" w:color="auto" w:fill="E8EEF5"/>
          </w:tcPr>
          <w:p>
            <w:pPr>
              <w:spacing w:after="20" w:before="20" w:line="240" w:lineRule="auto"/>
              <w:jc w:val="center"/>
            </w:pPr>
            <w:r>
              <w:rPr>
                <w:sz w:val="21"/>
              </w:rPr>
              <w:t>4.3</w:t>
            </w:r>
          </w:p>
        </w:tc>
        <w:tc>
          <w:tcPr>
            <w:tcW w:type="dxa" w:w="7540"/>
            <w:shd w:val="clear" w:color="auto" w:fill="E8EEF5"/>
          </w:tcPr>
          <w:p>
            <w:pPr>
              <w:spacing w:after="20" w:before="20" w:line="240" w:lineRule="auto"/>
              <w:jc w:val="left"/>
            </w:pPr>
            <w:r>
              <w:rPr>
                <w:sz w:val="21"/>
              </w:rPr>
              <w:t>Example: Internalizing Outcome-Based Education (OBE)</w:t>
            </w:r>
          </w:p>
        </w:tc>
        <w:tc>
          <w:tcPr>
            <w:tcW w:type="dxa" w:w="1020"/>
            <w:shd w:val="clear" w:color="auto" w:fill="E8EEF5"/>
          </w:tcPr>
          <w:p>
            <w:pPr>
              <w:spacing w:after="20" w:before="20" w:line="240" w:lineRule="auto"/>
              <w:jc w:val="center"/>
            </w:pPr>
            <w:r>
              <w:rPr>
                <w:sz w:val="21"/>
              </w:rPr>
              <w:t>009</w:t>
            </w:r>
          </w:p>
        </w:tc>
      </w:tr>
      <w:tr>
        <w:tc>
          <w:tcPr>
            <w:tcW w:type="dxa" w:w="850"/>
          </w:tcPr>
          <w:p>
            <w:pPr>
              <w:spacing w:after="20" w:before="20" w:line="240" w:lineRule="auto"/>
              <w:jc w:val="center"/>
            </w:pPr>
            <w:r>
              <w:rPr>
                <w:sz w:val="21"/>
              </w:rPr>
              <w:t>4.4</w:t>
            </w:r>
          </w:p>
        </w:tc>
        <w:tc>
          <w:tcPr>
            <w:tcW w:type="dxa" w:w="7540"/>
          </w:tcPr>
          <w:p>
            <w:pPr>
              <w:spacing w:after="20" w:before="20" w:line="240" w:lineRule="auto"/>
              <w:jc w:val="left"/>
            </w:pPr>
            <w:r>
              <w:rPr>
                <w:sz w:val="21"/>
              </w:rPr>
              <w:t>Indicators of Successful Internalization</w:t>
            </w:r>
          </w:p>
        </w:tc>
        <w:tc>
          <w:tcPr>
            <w:tcW w:type="dxa" w:w="1020"/>
          </w:tcPr>
          <w:p>
            <w:pPr>
              <w:spacing w:after="20" w:before="20" w:line="240" w:lineRule="auto"/>
              <w:jc w:val="center"/>
            </w:pPr>
            <w:r>
              <w:rPr>
                <w:sz w:val="21"/>
              </w:rPr>
              <w:t>010</w:t>
            </w:r>
          </w:p>
        </w:tc>
      </w:tr>
      <w:tr>
        <w:tc>
          <w:tcPr>
            <w:tcW w:type="dxa" w:w="850"/>
            <w:shd w:val="clear" w:color="auto" w:fill="E8EEF5"/>
          </w:tcPr>
          <w:p>
            <w:pPr>
              <w:spacing w:after="20" w:before="20" w:line="240" w:lineRule="auto"/>
              <w:jc w:val="center"/>
            </w:pPr>
            <w:r>
              <w:rPr>
                <w:b/>
                <w:sz w:val="21"/>
              </w:rPr>
              <w:t>5</w:t>
            </w:r>
          </w:p>
        </w:tc>
        <w:tc>
          <w:tcPr>
            <w:tcW w:type="dxa" w:w="7540"/>
            <w:shd w:val="clear" w:color="auto" w:fill="E8EEF5"/>
          </w:tcPr>
          <w:p>
            <w:pPr>
              <w:spacing w:after="20" w:before="20" w:line="240" w:lineRule="auto"/>
              <w:jc w:val="left"/>
            </w:pPr>
            <w:r>
              <w:rPr>
                <w:b/>
                <w:sz w:val="21"/>
              </w:rPr>
              <w:t>Dissemination of Best Practices in Higher Education Institutions (HEIs)</w:t>
            </w:r>
          </w:p>
        </w:tc>
        <w:tc>
          <w:tcPr>
            <w:tcW w:type="dxa" w:w="1020"/>
            <w:shd w:val="clear" w:color="auto" w:fill="E8EEF5"/>
          </w:tcPr>
          <w:p>
            <w:pPr>
              <w:spacing w:after="20" w:before="20" w:line="240" w:lineRule="auto"/>
              <w:jc w:val="center"/>
            </w:pPr>
            <w:r>
              <w:rPr>
                <w:b/>
                <w:sz w:val="21"/>
              </w:rPr>
              <w:t>011</w:t>
            </w:r>
          </w:p>
        </w:tc>
      </w:tr>
      <w:tr>
        <w:tc>
          <w:tcPr>
            <w:tcW w:type="dxa" w:w="850"/>
          </w:tcPr>
          <w:p>
            <w:pPr>
              <w:spacing w:after="20" w:before="20" w:line="240" w:lineRule="auto"/>
              <w:jc w:val="center"/>
            </w:pPr>
            <w:r>
              <w:rPr>
                <w:sz w:val="21"/>
              </w:rPr>
              <w:t>5.1</w:t>
            </w:r>
          </w:p>
        </w:tc>
        <w:tc>
          <w:tcPr>
            <w:tcW w:type="dxa" w:w="7540"/>
          </w:tcPr>
          <w:p>
            <w:pPr>
              <w:spacing w:after="20" w:before="20" w:line="240" w:lineRule="auto"/>
              <w:jc w:val="left"/>
            </w:pPr>
            <w:r>
              <w:rPr>
                <w:sz w:val="21"/>
              </w:rPr>
              <w:t>Objectives of Dissemination</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5.2</w:t>
            </w:r>
          </w:p>
        </w:tc>
        <w:tc>
          <w:tcPr>
            <w:tcW w:type="dxa" w:w="7540"/>
            <w:shd w:val="clear" w:color="auto" w:fill="E8EEF5"/>
          </w:tcPr>
          <w:p>
            <w:pPr>
              <w:spacing w:after="20" w:before="20" w:line="240" w:lineRule="auto"/>
              <w:jc w:val="left"/>
            </w:pPr>
            <w:r>
              <w:rPr>
                <w:sz w:val="21"/>
              </w:rPr>
              <w:t>Methods of Dissemination</w:t>
            </w:r>
          </w:p>
        </w:tc>
        <w:tc>
          <w:tcPr>
            <w:tcW w:type="dxa" w:w="1020"/>
            <w:shd w:val="clear" w:color="auto" w:fill="E8EEF5"/>
          </w:tcPr>
          <w:p>
            <w:pPr>
              <w:spacing w:after="20" w:before="20" w:line="240" w:lineRule="auto"/>
              <w:jc w:val="center"/>
            </w:pPr>
            <w:r>
              <w:rPr>
                <w:sz w:val="21"/>
              </w:rPr>
              <w:t>011</w:t>
            </w:r>
          </w:p>
        </w:tc>
      </w:tr>
      <w:tr>
        <w:tc>
          <w:tcPr>
            <w:tcW w:type="dxa" w:w="850"/>
          </w:tcPr>
          <w:p>
            <w:pPr>
              <w:spacing w:after="20" w:before="20" w:line="240" w:lineRule="auto"/>
              <w:jc w:val="center"/>
            </w:pPr>
            <w:r>
              <w:rPr>
                <w:sz w:val="21"/>
              </w:rPr>
              <w:t>5.3</w:t>
            </w:r>
          </w:p>
        </w:tc>
        <w:tc>
          <w:tcPr>
            <w:tcW w:type="dxa" w:w="7540"/>
          </w:tcPr>
          <w:p>
            <w:pPr>
              <w:spacing w:after="20" w:before="20" w:line="240" w:lineRule="auto"/>
              <w:jc w:val="left"/>
            </w:pPr>
            <w:r>
              <w:rPr>
                <w:sz w:val="21"/>
              </w:rPr>
              <w:t>External Dissemination</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5.4</w:t>
            </w:r>
          </w:p>
        </w:tc>
        <w:tc>
          <w:tcPr>
            <w:tcW w:type="dxa" w:w="7540"/>
            <w:shd w:val="clear" w:color="auto" w:fill="E8EEF5"/>
          </w:tcPr>
          <w:p>
            <w:pPr>
              <w:spacing w:after="20" w:before="20" w:line="240" w:lineRule="auto"/>
              <w:jc w:val="left"/>
            </w:pPr>
            <w:r>
              <w:rPr>
                <w:sz w:val="21"/>
              </w:rPr>
              <w:t>What to Include in Dissemination Materials</w:t>
            </w:r>
          </w:p>
        </w:tc>
        <w:tc>
          <w:tcPr>
            <w:tcW w:type="dxa" w:w="1020"/>
            <w:shd w:val="clear" w:color="auto" w:fill="E8EEF5"/>
          </w:tcPr>
          <w:p>
            <w:pPr>
              <w:spacing w:after="20" w:before="20" w:line="240" w:lineRule="auto"/>
              <w:jc w:val="center"/>
            </w:pPr>
            <w:r>
              <w:rPr>
                <w:sz w:val="21"/>
              </w:rPr>
              <w:t>011</w:t>
            </w:r>
          </w:p>
        </w:tc>
      </w:tr>
      <w:tr>
        <w:tc>
          <w:tcPr>
            <w:tcW w:type="dxa" w:w="850"/>
          </w:tcPr>
          <w:p>
            <w:pPr>
              <w:spacing w:after="20" w:before="20" w:line="240" w:lineRule="auto"/>
              <w:jc w:val="center"/>
            </w:pPr>
            <w:r>
              <w:rPr>
                <w:sz w:val="21"/>
              </w:rPr>
              <w:t>5.5</w:t>
            </w:r>
          </w:p>
        </w:tc>
        <w:tc>
          <w:tcPr>
            <w:tcW w:type="dxa" w:w="7540"/>
          </w:tcPr>
          <w:p>
            <w:pPr>
              <w:spacing w:after="20" w:before="20" w:line="240" w:lineRule="auto"/>
              <w:jc w:val="left"/>
            </w:pPr>
            <w:r>
              <w:rPr>
                <w:sz w:val="21"/>
              </w:rPr>
              <w:t>Example: Dissemination of a Best Practice – "Mentor-Mentee System"</w:t>
            </w:r>
          </w:p>
        </w:tc>
        <w:tc>
          <w:tcPr>
            <w:tcW w:type="dxa" w:w="1020"/>
          </w:tcPr>
          <w:p>
            <w:pPr>
              <w:spacing w:after="20" w:before="20" w:line="240" w:lineRule="auto"/>
              <w:jc w:val="center"/>
            </w:pPr>
            <w:r>
              <w:rPr>
                <w:sz w:val="21"/>
              </w:rPr>
              <w:t>011</w:t>
            </w:r>
          </w:p>
        </w:tc>
      </w:tr>
      <w:tr>
        <w:tc>
          <w:tcPr>
            <w:tcW w:type="dxa" w:w="850"/>
            <w:shd w:val="clear" w:color="auto" w:fill="E8EEF5"/>
          </w:tcPr>
          <w:p>
            <w:pPr>
              <w:spacing w:after="20" w:before="20" w:line="240" w:lineRule="auto"/>
              <w:jc w:val="center"/>
            </w:pPr>
            <w:r>
              <w:rPr>
                <w:sz w:val="21"/>
              </w:rPr>
              <w:t>5.6</w:t>
            </w:r>
          </w:p>
        </w:tc>
        <w:tc>
          <w:tcPr>
            <w:tcW w:type="dxa" w:w="7540"/>
            <w:shd w:val="clear" w:color="auto" w:fill="E8EEF5"/>
          </w:tcPr>
          <w:p>
            <w:pPr>
              <w:spacing w:after="20" w:before="20" w:line="240" w:lineRule="auto"/>
              <w:jc w:val="left"/>
            </w:pPr>
            <w:r>
              <w:rPr>
                <w:sz w:val="21"/>
              </w:rPr>
              <w:t>Tips for Effective Dissemination</w:t>
            </w:r>
          </w:p>
        </w:tc>
        <w:tc>
          <w:tcPr>
            <w:tcW w:type="dxa" w:w="1020"/>
            <w:shd w:val="clear" w:color="auto" w:fill="E8EEF5"/>
          </w:tcPr>
          <w:p>
            <w:pPr>
              <w:spacing w:after="20" w:before="20" w:line="240" w:lineRule="auto"/>
              <w:jc w:val="center"/>
            </w:pPr>
            <w:r>
              <w:rPr>
                <w:sz w:val="21"/>
              </w:rPr>
              <w:t>012</w:t>
            </w:r>
          </w:p>
        </w:tc>
      </w:tr>
      <w:tr>
        <w:tc>
          <w:tcPr>
            <w:tcW w:type="dxa" w:w="850"/>
          </w:tcPr>
          <w:p>
            <w:pPr>
              <w:spacing w:after="20" w:before="20" w:line="240" w:lineRule="auto"/>
              <w:jc w:val="center"/>
            </w:pPr>
            <w:r>
              <w:rPr>
                <w:b/>
                <w:sz w:val="21"/>
              </w:rPr>
              <w:t>6</w:t>
            </w:r>
          </w:p>
        </w:tc>
        <w:tc>
          <w:tcPr>
            <w:tcW w:type="dxa" w:w="7540"/>
          </w:tcPr>
          <w:p>
            <w:pPr>
              <w:spacing w:after="20" w:before="20" w:line="240" w:lineRule="auto"/>
              <w:jc w:val="left"/>
            </w:pPr>
            <w:r>
              <w:rPr>
                <w:b/>
                <w:sz w:val="21"/>
              </w:rPr>
              <w:t>Best Practices Benchmarking in Higher Education</w:t>
            </w:r>
          </w:p>
        </w:tc>
        <w:tc>
          <w:tcPr>
            <w:tcW w:type="dxa" w:w="1020"/>
          </w:tcPr>
          <w:p>
            <w:pPr>
              <w:spacing w:after="20" w:before="20" w:line="240" w:lineRule="auto"/>
              <w:jc w:val="center"/>
            </w:pPr>
            <w:r>
              <w:rPr>
                <w:b/>
                <w:sz w:val="21"/>
              </w:rPr>
              <w:t>013</w:t>
            </w:r>
          </w:p>
        </w:tc>
      </w:tr>
      <w:tr>
        <w:tc>
          <w:tcPr>
            <w:tcW w:type="dxa" w:w="850"/>
            <w:shd w:val="clear" w:color="auto" w:fill="E8EEF5"/>
          </w:tcPr>
          <w:p>
            <w:pPr>
              <w:spacing w:after="20" w:before="20" w:line="240" w:lineRule="auto"/>
              <w:jc w:val="center"/>
            </w:pPr>
            <w:r>
              <w:rPr>
                <w:sz w:val="21"/>
              </w:rPr>
              <w:t>6.1</w:t>
            </w:r>
          </w:p>
        </w:tc>
        <w:tc>
          <w:tcPr>
            <w:tcW w:type="dxa" w:w="7540"/>
            <w:shd w:val="clear" w:color="auto" w:fill="E8EEF5"/>
          </w:tcPr>
          <w:p>
            <w:pPr>
              <w:spacing w:after="20" w:before="20" w:line="240" w:lineRule="auto"/>
              <w:jc w:val="left"/>
            </w:pPr>
            <w:r>
              <w:rPr>
                <w:sz w:val="21"/>
              </w:rPr>
              <w:t>Define Clear Goals and Objectives</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6.2</w:t>
            </w:r>
          </w:p>
        </w:tc>
        <w:tc>
          <w:tcPr>
            <w:tcW w:type="dxa" w:w="7540"/>
          </w:tcPr>
          <w:p>
            <w:pPr>
              <w:spacing w:after="20" w:before="20" w:line="240" w:lineRule="auto"/>
              <w:jc w:val="left"/>
            </w:pPr>
            <w:r>
              <w:rPr>
                <w:sz w:val="21"/>
              </w:rPr>
              <w:t>Select Relevant Metrics</w:t>
            </w:r>
          </w:p>
        </w:tc>
        <w:tc>
          <w:tcPr>
            <w:tcW w:type="dxa" w:w="1020"/>
          </w:tcPr>
          <w:p>
            <w:pPr>
              <w:spacing w:after="20" w:before="20" w:line="240" w:lineRule="auto"/>
              <w:jc w:val="center"/>
            </w:pPr>
            <w:r>
              <w:rPr>
                <w:sz w:val="21"/>
              </w:rPr>
              <w:t>013</w:t>
            </w:r>
          </w:p>
        </w:tc>
      </w:tr>
      <w:tr>
        <w:tc>
          <w:tcPr>
            <w:tcW w:type="dxa" w:w="850"/>
            <w:shd w:val="clear" w:color="auto" w:fill="E8EEF5"/>
          </w:tcPr>
          <w:p>
            <w:pPr>
              <w:spacing w:after="20" w:before="20" w:line="240" w:lineRule="auto"/>
              <w:jc w:val="center"/>
            </w:pPr>
            <w:r>
              <w:rPr>
                <w:sz w:val="21"/>
              </w:rPr>
              <w:t>6.3</w:t>
            </w:r>
          </w:p>
        </w:tc>
        <w:tc>
          <w:tcPr>
            <w:tcW w:type="dxa" w:w="7540"/>
            <w:shd w:val="clear" w:color="auto" w:fill="E8EEF5"/>
          </w:tcPr>
          <w:p>
            <w:pPr>
              <w:spacing w:after="20" w:before="20" w:line="240" w:lineRule="auto"/>
              <w:jc w:val="left"/>
            </w:pPr>
            <w:r>
              <w:rPr>
                <w:sz w:val="21"/>
              </w:rPr>
              <w:t>Choose Comparators Carefully</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6.4</w:t>
            </w:r>
          </w:p>
        </w:tc>
        <w:tc>
          <w:tcPr>
            <w:tcW w:type="dxa" w:w="7540"/>
          </w:tcPr>
          <w:p>
            <w:pPr>
              <w:spacing w:after="20" w:before="20" w:line="240" w:lineRule="auto"/>
              <w:jc w:val="left"/>
            </w:pPr>
            <w:r>
              <w:rPr>
                <w:sz w:val="21"/>
              </w:rPr>
              <w:t>Data Collection and Analysis</w:t>
            </w:r>
          </w:p>
        </w:tc>
        <w:tc>
          <w:tcPr>
            <w:tcW w:type="dxa" w:w="1020"/>
          </w:tcPr>
          <w:p>
            <w:pPr>
              <w:spacing w:after="20" w:before="20" w:line="240" w:lineRule="auto"/>
              <w:jc w:val="center"/>
            </w:pPr>
            <w:r>
              <w:rPr>
                <w:sz w:val="21"/>
              </w:rPr>
              <w:t>013</w:t>
            </w:r>
          </w:p>
        </w:tc>
      </w:tr>
      <w:tr>
        <w:tc>
          <w:tcPr>
            <w:tcW w:type="dxa" w:w="850"/>
            <w:shd w:val="clear" w:color="auto" w:fill="E8EEF5"/>
          </w:tcPr>
          <w:p>
            <w:pPr>
              <w:spacing w:after="20" w:before="20" w:line="240" w:lineRule="auto"/>
              <w:jc w:val="center"/>
            </w:pPr>
            <w:r>
              <w:rPr>
                <w:sz w:val="21"/>
              </w:rPr>
              <w:t>6.5</w:t>
            </w:r>
          </w:p>
        </w:tc>
        <w:tc>
          <w:tcPr>
            <w:tcW w:type="dxa" w:w="7540"/>
            <w:shd w:val="clear" w:color="auto" w:fill="E8EEF5"/>
          </w:tcPr>
          <w:p>
            <w:pPr>
              <w:spacing w:after="20" w:before="20" w:line="240" w:lineRule="auto"/>
              <w:jc w:val="left"/>
            </w:pPr>
            <w:r>
              <w:rPr>
                <w:sz w:val="21"/>
              </w:rPr>
              <w:t>Engage Stakeholders</w:t>
            </w:r>
          </w:p>
        </w:tc>
        <w:tc>
          <w:tcPr>
            <w:tcW w:type="dxa" w:w="1020"/>
            <w:shd w:val="clear" w:color="auto" w:fill="E8EEF5"/>
          </w:tcPr>
          <w:p>
            <w:pPr>
              <w:spacing w:after="20" w:before="20" w:line="240" w:lineRule="auto"/>
              <w:jc w:val="center"/>
            </w:pPr>
            <w:r>
              <w:rPr>
                <w:sz w:val="21"/>
              </w:rPr>
              <w:t>013</w:t>
            </w:r>
          </w:p>
        </w:tc>
      </w:tr>
      <w:tr>
        <w:tc>
          <w:tcPr>
            <w:tcW w:type="dxa" w:w="850"/>
          </w:tcPr>
          <w:p>
            <w:pPr>
              <w:spacing w:after="20" w:before="20" w:line="240" w:lineRule="auto"/>
              <w:jc w:val="center"/>
            </w:pPr>
            <w:r>
              <w:rPr>
                <w:sz w:val="21"/>
              </w:rPr>
              <w:t>6.6</w:t>
            </w:r>
          </w:p>
        </w:tc>
        <w:tc>
          <w:tcPr>
            <w:tcW w:type="dxa" w:w="7540"/>
          </w:tcPr>
          <w:p>
            <w:pPr>
              <w:spacing w:after="20" w:before="20" w:line="240" w:lineRule="auto"/>
              <w:jc w:val="left"/>
            </w:pPr>
            <w:r>
              <w:rPr>
                <w:sz w:val="21"/>
              </w:rPr>
              <w:t>Implement a Continuous Feedback Loop</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sz w:val="21"/>
              </w:rPr>
              <w:t>6.7</w:t>
            </w:r>
          </w:p>
        </w:tc>
        <w:tc>
          <w:tcPr>
            <w:tcW w:type="dxa" w:w="7540"/>
            <w:shd w:val="clear" w:color="auto" w:fill="E8EEF5"/>
          </w:tcPr>
          <w:p>
            <w:pPr>
              <w:spacing w:after="20" w:before="20" w:line="240" w:lineRule="auto"/>
              <w:jc w:val="left"/>
            </w:pPr>
            <w:r>
              <w:rPr>
                <w:sz w:val="21"/>
              </w:rPr>
              <w:t>Focus on Data-Driven Decision Making</w:t>
            </w:r>
          </w:p>
        </w:tc>
        <w:tc>
          <w:tcPr>
            <w:tcW w:type="dxa" w:w="1020"/>
            <w:shd w:val="clear" w:color="auto" w:fill="E8EEF5"/>
          </w:tcPr>
          <w:p>
            <w:pPr>
              <w:spacing w:after="20" w:before="20" w:line="240" w:lineRule="auto"/>
              <w:jc w:val="center"/>
            </w:pPr>
            <w:r>
              <w:rPr>
                <w:sz w:val="21"/>
              </w:rPr>
              <w:t>014</w:t>
            </w:r>
          </w:p>
        </w:tc>
      </w:tr>
      <w:tr>
        <w:tc>
          <w:tcPr>
            <w:tcW w:type="dxa" w:w="850"/>
          </w:tcPr>
          <w:p>
            <w:pPr>
              <w:spacing w:after="20" w:before="20" w:line="240" w:lineRule="auto"/>
              <w:jc w:val="center"/>
            </w:pPr>
            <w:r>
              <w:rPr>
                <w:sz w:val="21"/>
              </w:rPr>
              <w:t>6.8</w:t>
            </w:r>
          </w:p>
        </w:tc>
        <w:tc>
          <w:tcPr>
            <w:tcW w:type="dxa" w:w="7540"/>
          </w:tcPr>
          <w:p>
            <w:pPr>
              <w:spacing w:after="20" w:before="20" w:line="240" w:lineRule="auto"/>
              <w:jc w:val="left"/>
            </w:pPr>
            <w:r>
              <w:rPr>
                <w:sz w:val="21"/>
              </w:rPr>
              <w:t>Integrate Benchmarking with Institutional Culture</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sz w:val="21"/>
              </w:rPr>
              <w:t>6.9</w:t>
            </w:r>
          </w:p>
        </w:tc>
        <w:tc>
          <w:tcPr>
            <w:tcW w:type="dxa" w:w="7540"/>
            <w:shd w:val="clear" w:color="auto" w:fill="E8EEF5"/>
          </w:tcPr>
          <w:p>
            <w:pPr>
              <w:spacing w:after="20" w:before="20" w:line="240" w:lineRule="auto"/>
              <w:jc w:val="left"/>
            </w:pPr>
            <w:r>
              <w:rPr>
                <w:sz w:val="21"/>
              </w:rPr>
              <w:t>Monitor Progress and Measure Outcomes</w:t>
            </w:r>
          </w:p>
        </w:tc>
        <w:tc>
          <w:tcPr>
            <w:tcW w:type="dxa" w:w="1020"/>
            <w:shd w:val="clear" w:color="auto" w:fill="E8EEF5"/>
          </w:tcPr>
          <w:p>
            <w:pPr>
              <w:spacing w:after="20" w:before="20" w:line="240" w:lineRule="auto"/>
              <w:jc w:val="center"/>
            </w:pPr>
            <w:r>
              <w:rPr>
                <w:sz w:val="21"/>
              </w:rPr>
              <w:t>014</w:t>
            </w:r>
          </w:p>
        </w:tc>
      </w:tr>
      <w:tr>
        <w:tc>
          <w:tcPr>
            <w:tcW w:type="dxa" w:w="850"/>
          </w:tcPr>
          <w:p>
            <w:pPr>
              <w:spacing w:after="20" w:before="20" w:line="240" w:lineRule="auto"/>
              <w:jc w:val="center"/>
            </w:pPr>
            <w:r>
              <w:rPr>
                <w:sz w:val="21"/>
              </w:rPr>
              <w:t>6.10</w:t>
            </w:r>
          </w:p>
        </w:tc>
        <w:tc>
          <w:tcPr>
            <w:tcW w:type="dxa" w:w="7540"/>
          </w:tcPr>
          <w:p>
            <w:pPr>
              <w:spacing w:after="20" w:before="20" w:line="240" w:lineRule="auto"/>
              <w:jc w:val="left"/>
            </w:pPr>
            <w:r>
              <w:rPr>
                <w:sz w:val="21"/>
              </w:rPr>
              <w:t>Ensure Transparency and Accountability</w:t>
            </w:r>
          </w:p>
        </w:tc>
        <w:tc>
          <w:tcPr>
            <w:tcW w:type="dxa" w:w="1020"/>
          </w:tcPr>
          <w:p>
            <w:pPr>
              <w:spacing w:after="20" w:before="20" w:line="240" w:lineRule="auto"/>
              <w:jc w:val="center"/>
            </w:pPr>
            <w:r>
              <w:rPr>
                <w:sz w:val="21"/>
              </w:rPr>
              <w:t>014</w:t>
            </w:r>
          </w:p>
        </w:tc>
      </w:tr>
      <w:tr>
        <w:tc>
          <w:tcPr>
            <w:tcW w:type="dxa" w:w="850"/>
            <w:shd w:val="clear" w:color="auto" w:fill="E8EEF5"/>
          </w:tcPr>
          <w:p>
            <w:pPr>
              <w:spacing w:after="20" w:before="20" w:line="240" w:lineRule="auto"/>
              <w:jc w:val="center"/>
            </w:pPr>
            <w:r>
              <w:rPr>
                <w:b/>
                <w:sz w:val="21"/>
              </w:rPr>
              <w:t>7</w:t>
            </w:r>
          </w:p>
        </w:tc>
        <w:tc>
          <w:tcPr>
            <w:tcW w:type="dxa" w:w="7540"/>
            <w:shd w:val="clear" w:color="auto" w:fill="E8EEF5"/>
          </w:tcPr>
          <w:p>
            <w:pPr>
              <w:spacing w:after="20" w:before="20" w:line="240" w:lineRule="auto"/>
              <w:jc w:val="left"/>
            </w:pPr>
            <w:r>
              <w:rPr>
                <w:b/>
                <w:sz w:val="21"/>
              </w:rPr>
              <w:t>Contributing to Best Practices Database</w:t>
            </w:r>
          </w:p>
        </w:tc>
        <w:tc>
          <w:tcPr>
            <w:tcW w:type="dxa" w:w="1020"/>
            <w:shd w:val="clear" w:color="auto" w:fill="E8EEF5"/>
          </w:tcPr>
          <w:p>
            <w:pPr>
              <w:spacing w:after="20" w:before="20" w:line="240" w:lineRule="auto"/>
              <w:jc w:val="center"/>
            </w:pPr>
            <w:r>
              <w:rPr>
                <w:b/>
                <w:sz w:val="21"/>
              </w:rPr>
              <w:t>015</w:t>
            </w:r>
          </w:p>
        </w:tc>
      </w:tr>
      <w:tr>
        <w:tc>
          <w:tcPr>
            <w:tcW w:type="dxa" w:w="850"/>
          </w:tcPr>
          <w:p>
            <w:pPr>
              <w:spacing w:after="20" w:before="20" w:line="240" w:lineRule="auto"/>
              <w:jc w:val="center"/>
            </w:pPr>
            <w:r>
              <w:rPr>
                <w:sz w:val="21"/>
              </w:rPr>
              <w:t>7.1</w:t>
            </w:r>
          </w:p>
        </w:tc>
        <w:tc>
          <w:tcPr>
            <w:tcW w:type="dxa" w:w="7540"/>
          </w:tcPr>
          <w:p>
            <w:pPr>
              <w:spacing w:after="20" w:before="20" w:line="240" w:lineRule="auto"/>
              <w:jc w:val="left"/>
            </w:pPr>
            <w:r>
              <w:rPr>
                <w:sz w:val="21"/>
              </w:rPr>
              <w:t>Key Considerations</w:t>
            </w:r>
          </w:p>
        </w:tc>
        <w:tc>
          <w:tcPr>
            <w:tcW w:type="dxa" w:w="1020"/>
          </w:tcPr>
          <w:p>
            <w:pPr>
              <w:spacing w:after="20" w:before="20" w:line="240" w:lineRule="auto"/>
              <w:jc w:val="center"/>
            </w:pPr>
            <w:r>
              <w:rPr>
                <w:sz w:val="21"/>
              </w:rPr>
              <w:t>015</w:t>
            </w:r>
          </w:p>
        </w:tc>
      </w:tr>
      <w:tr>
        <w:tc>
          <w:tcPr>
            <w:tcW w:type="dxa" w:w="850"/>
            <w:shd w:val="clear" w:color="auto" w:fill="E8EEF5"/>
          </w:tcPr>
          <w:p>
            <w:pPr>
              <w:spacing w:after="20" w:before="20" w:line="240" w:lineRule="auto"/>
              <w:jc w:val="center"/>
            </w:pPr>
            <w:r>
              <w:rPr>
                <w:sz w:val="21"/>
              </w:rPr>
              <w:t>7.2</w:t>
            </w:r>
          </w:p>
        </w:tc>
        <w:tc>
          <w:tcPr>
            <w:tcW w:type="dxa" w:w="7540"/>
            <w:shd w:val="clear" w:color="auto" w:fill="E8EEF5"/>
          </w:tcPr>
          <w:p>
            <w:pPr>
              <w:spacing w:after="20" w:before="20" w:line="240" w:lineRule="auto"/>
              <w:jc w:val="left"/>
            </w:pPr>
            <w:r>
              <w:rPr>
                <w:sz w:val="21"/>
              </w:rPr>
              <w:t>Historical Context of Best Practices Sharing in Higher Education</w:t>
            </w:r>
          </w:p>
        </w:tc>
        <w:tc>
          <w:tcPr>
            <w:tcW w:type="dxa" w:w="1020"/>
            <w:shd w:val="clear" w:color="auto" w:fill="E8EEF5"/>
          </w:tcPr>
          <w:p>
            <w:pPr>
              <w:spacing w:after="20" w:before="20" w:line="240" w:lineRule="auto"/>
              <w:jc w:val="center"/>
            </w:pPr>
            <w:r>
              <w:rPr>
                <w:sz w:val="21"/>
              </w:rPr>
              <w:t>016</w:t>
            </w:r>
          </w:p>
        </w:tc>
      </w:tr>
      <w:tr>
        <w:tc>
          <w:tcPr>
            <w:tcW w:type="dxa" w:w="850"/>
          </w:tcPr>
          <w:p>
            <w:pPr>
              <w:spacing w:after="20" w:before="20" w:line="240" w:lineRule="auto"/>
              <w:jc w:val="center"/>
            </w:pPr>
            <w:r>
              <w:rPr>
                <w:sz w:val="21"/>
              </w:rPr>
              <w:t>7.3</w:t>
            </w:r>
          </w:p>
        </w:tc>
        <w:tc>
          <w:tcPr>
            <w:tcW w:type="dxa" w:w="7540"/>
          </w:tcPr>
          <w:p>
            <w:pPr>
              <w:spacing w:after="20" w:before="20" w:line="240" w:lineRule="auto"/>
              <w:jc w:val="left"/>
            </w:pPr>
            <w:r>
              <w:rPr>
                <w:sz w:val="21"/>
              </w:rPr>
              <w:t>Benefits of Contributing to Best Practices Databases</w:t>
            </w:r>
          </w:p>
        </w:tc>
        <w:tc>
          <w:tcPr>
            <w:tcW w:type="dxa" w:w="1020"/>
          </w:tcPr>
          <w:p>
            <w:pPr>
              <w:spacing w:after="20" w:before="20" w:line="240" w:lineRule="auto"/>
              <w:jc w:val="center"/>
            </w:pPr>
            <w:r>
              <w:rPr>
                <w:sz w:val="21"/>
              </w:rPr>
              <w:t>016</w:t>
            </w:r>
          </w:p>
        </w:tc>
      </w:tr>
      <w:tr>
        <w:tc>
          <w:tcPr>
            <w:tcW w:type="dxa" w:w="850"/>
            <w:shd w:val="clear" w:color="auto" w:fill="E8EEF5"/>
          </w:tcPr>
          <w:p>
            <w:pPr>
              <w:spacing w:after="20" w:before="20" w:line="240" w:lineRule="auto"/>
              <w:jc w:val="center"/>
            </w:pPr>
            <w:r>
              <w:rPr>
                <w:b/>
                <w:sz w:val="21"/>
              </w:rPr>
              <w:t>8</w:t>
            </w:r>
          </w:p>
        </w:tc>
        <w:tc>
          <w:tcPr>
            <w:tcW w:type="dxa" w:w="7540"/>
            <w:shd w:val="clear" w:color="auto" w:fill="E8EEF5"/>
          </w:tcPr>
          <w:p>
            <w:pPr>
              <w:spacing w:after="20" w:before="20" w:line="240" w:lineRule="auto"/>
              <w:jc w:val="left"/>
            </w:pPr>
            <w:r>
              <w:rPr>
                <w:b/>
                <w:sz w:val="21"/>
              </w:rPr>
              <w:t>Best Practices in Curricular Aspects</w:t>
            </w:r>
          </w:p>
        </w:tc>
        <w:tc>
          <w:tcPr>
            <w:tcW w:type="dxa" w:w="1020"/>
            <w:shd w:val="clear" w:color="auto" w:fill="E8EEF5"/>
          </w:tcPr>
          <w:p>
            <w:pPr>
              <w:spacing w:after="20" w:before="20" w:line="240" w:lineRule="auto"/>
              <w:jc w:val="center"/>
            </w:pPr>
            <w:r>
              <w:rPr>
                <w:b/>
                <w:sz w:val="21"/>
              </w:rPr>
              <w:t>018</w:t>
            </w:r>
          </w:p>
        </w:tc>
      </w:tr>
      <w:tr>
        <w:tc>
          <w:tcPr>
            <w:tcW w:type="dxa" w:w="850"/>
          </w:tcPr>
          <w:p>
            <w:pPr>
              <w:spacing w:after="20" w:before="20" w:line="240" w:lineRule="auto"/>
              <w:jc w:val="center"/>
            </w:pPr>
            <w:r>
              <w:rPr>
                <w:sz w:val="21"/>
              </w:rPr>
              <w:t>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018</w:t>
            </w:r>
          </w:p>
        </w:tc>
      </w:tr>
      <w:tr>
        <w:tc>
          <w:tcPr>
            <w:tcW w:type="dxa" w:w="850"/>
            <w:shd w:val="clear" w:color="auto" w:fill="E8EEF5"/>
          </w:tcPr>
          <w:p>
            <w:pPr>
              <w:spacing w:after="20" w:before="20" w:line="240" w:lineRule="auto"/>
              <w:jc w:val="center"/>
            </w:pPr>
            <w:r>
              <w:rPr>
                <w:sz w:val="21"/>
              </w:rPr>
              <w:t>8.2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018</w:t>
            </w:r>
          </w:p>
        </w:tc>
      </w:tr>
      <w:tr>
        <w:tc>
          <w:tcPr>
            <w:tcW w:type="dxa" w:w="850"/>
          </w:tcPr>
          <w:p>
            <w:pPr>
              <w:spacing w:after="20" w:before="20" w:line="240" w:lineRule="auto"/>
              <w:jc w:val="center"/>
            </w:pPr>
            <w:r>
              <w:rPr>
                <w:sz w:val="21"/>
              </w:rPr>
              <w:t>8.3</w:t>
            </w:r>
          </w:p>
        </w:tc>
        <w:tc>
          <w:tcPr>
            <w:tcW w:type="dxa" w:w="7540"/>
          </w:tcPr>
          <w:p>
            <w:pPr>
              <w:spacing w:after="20" w:before="20" w:line="240" w:lineRule="auto"/>
              <w:jc w:val="left"/>
            </w:pPr>
            <w:r>
              <w:rPr>
                <w:sz w:val="21"/>
              </w:rPr>
              <w:t>Key Practices in Curricular Aspects</w:t>
            </w:r>
          </w:p>
        </w:tc>
        <w:tc>
          <w:tcPr>
            <w:tcW w:type="dxa" w:w="1020"/>
          </w:tcPr>
          <w:p>
            <w:pPr>
              <w:spacing w:after="20" w:before="20" w:line="240" w:lineRule="auto"/>
              <w:jc w:val="center"/>
            </w:pPr>
            <w:r>
              <w:rPr>
                <w:sz w:val="21"/>
              </w:rPr>
              <w:t>018</w:t>
            </w:r>
          </w:p>
        </w:tc>
      </w:tr>
      <w:tr>
        <w:tc>
          <w:tcPr>
            <w:tcW w:type="dxa" w:w="850"/>
            <w:shd w:val="clear" w:color="auto" w:fill="E8EEF5"/>
          </w:tcPr>
          <w:p>
            <w:pPr>
              <w:spacing w:after="20" w:before="20" w:line="240" w:lineRule="auto"/>
              <w:jc w:val="center"/>
            </w:pPr>
            <w:r>
              <w:rPr>
                <w:sz w:val="21"/>
              </w:rPr>
              <w:t>8.4</w:t>
            </w:r>
          </w:p>
        </w:tc>
        <w:tc>
          <w:tcPr>
            <w:tcW w:type="dxa" w:w="7540"/>
            <w:shd w:val="clear" w:color="auto" w:fill="E8EEF5"/>
          </w:tcPr>
          <w:p>
            <w:pPr>
              <w:spacing w:after="20" w:before="20" w:line="240" w:lineRule="auto"/>
              <w:jc w:val="left"/>
            </w:pPr>
            <w:r>
              <w:rPr>
                <w:sz w:val="21"/>
              </w:rPr>
              <w:t>Impact of Best Practices in Curricular Aspects</w:t>
            </w:r>
          </w:p>
        </w:tc>
        <w:tc>
          <w:tcPr>
            <w:tcW w:type="dxa" w:w="1020"/>
            <w:shd w:val="clear" w:color="auto" w:fill="E8EEF5"/>
          </w:tcPr>
          <w:p>
            <w:pPr>
              <w:spacing w:after="20" w:before="20" w:line="240" w:lineRule="auto"/>
              <w:jc w:val="center"/>
            </w:pPr>
            <w:r>
              <w:rPr>
                <w:sz w:val="21"/>
              </w:rPr>
              <w:t>020</w:t>
            </w:r>
          </w:p>
        </w:tc>
      </w:tr>
      <w:tr>
        <w:tc>
          <w:tcPr>
            <w:tcW w:type="dxa" w:w="850"/>
          </w:tcPr>
          <w:p>
            <w:pPr>
              <w:spacing w:after="20" w:before="20" w:line="240" w:lineRule="auto"/>
              <w:jc w:val="center"/>
            </w:pPr>
            <w:r>
              <w:rPr>
                <w:b/>
                <w:sz w:val="21"/>
              </w:rPr>
              <w:t>9</w:t>
            </w:r>
          </w:p>
        </w:tc>
        <w:tc>
          <w:tcPr>
            <w:tcW w:type="dxa" w:w="7540"/>
          </w:tcPr>
          <w:p>
            <w:pPr>
              <w:spacing w:after="20" w:before="20" w:line="240" w:lineRule="auto"/>
              <w:jc w:val="left"/>
            </w:pPr>
            <w:r>
              <w:rPr>
                <w:b/>
                <w:sz w:val="21"/>
              </w:rPr>
              <w:t>Curricular Aspects that Promote Excellence</w:t>
            </w:r>
          </w:p>
        </w:tc>
        <w:tc>
          <w:tcPr>
            <w:tcW w:type="dxa" w:w="1020"/>
          </w:tcPr>
          <w:p>
            <w:pPr>
              <w:spacing w:after="20" w:before="20" w:line="240" w:lineRule="auto"/>
              <w:jc w:val="center"/>
            </w:pPr>
            <w:r>
              <w:rPr>
                <w:b/>
                <w:sz w:val="21"/>
              </w:rPr>
              <w:t>022</w:t>
            </w:r>
          </w:p>
        </w:tc>
      </w:tr>
      <w:tr>
        <w:tc>
          <w:tcPr>
            <w:tcW w:type="dxa" w:w="850"/>
            <w:shd w:val="clear" w:color="auto" w:fill="E8EEF5"/>
          </w:tcPr>
          <w:p>
            <w:pPr>
              <w:spacing w:after="20" w:before="20" w:line="240" w:lineRule="auto"/>
              <w:jc w:val="center"/>
            </w:pPr>
            <w:r>
              <w:rPr>
                <w:sz w:val="21"/>
              </w:rPr>
              <w:t>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022</w:t>
            </w:r>
          </w:p>
        </w:tc>
      </w:tr>
      <w:tr>
        <w:tc>
          <w:tcPr>
            <w:tcW w:type="dxa" w:w="850"/>
          </w:tcPr>
          <w:p>
            <w:pPr>
              <w:spacing w:after="20" w:before="20" w:line="240" w:lineRule="auto"/>
              <w:jc w:val="center"/>
            </w:pPr>
            <w:r>
              <w:rPr>
                <w:sz w:val="21"/>
              </w:rPr>
              <w:t>9.2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022</w:t>
            </w:r>
          </w:p>
        </w:tc>
      </w:tr>
      <w:tr>
        <w:tc>
          <w:tcPr>
            <w:tcW w:type="dxa" w:w="850"/>
            <w:shd w:val="clear" w:color="auto" w:fill="E8EEF5"/>
          </w:tcPr>
          <w:p>
            <w:pPr>
              <w:spacing w:after="20" w:before="20" w:line="240" w:lineRule="auto"/>
              <w:jc w:val="center"/>
            </w:pPr>
            <w:r>
              <w:rPr>
                <w:sz w:val="21"/>
              </w:rPr>
              <w:t>9.3</w:t>
            </w:r>
          </w:p>
        </w:tc>
        <w:tc>
          <w:tcPr>
            <w:tcW w:type="dxa" w:w="7540"/>
            <w:shd w:val="clear" w:color="auto" w:fill="E8EEF5"/>
          </w:tcPr>
          <w:p>
            <w:pPr>
              <w:spacing w:after="20" w:before="20" w:line="240" w:lineRule="auto"/>
              <w:jc w:val="left"/>
            </w:pPr>
            <w:r>
              <w:rPr>
                <w:sz w:val="21"/>
              </w:rPr>
              <w:t>Key Curricular Aspects that Promote Excellence</w:t>
            </w:r>
          </w:p>
        </w:tc>
        <w:tc>
          <w:tcPr>
            <w:tcW w:type="dxa" w:w="1020"/>
            <w:shd w:val="clear" w:color="auto" w:fill="E8EEF5"/>
          </w:tcPr>
          <w:p>
            <w:pPr>
              <w:spacing w:after="20" w:before="20" w:line="240" w:lineRule="auto"/>
              <w:jc w:val="center"/>
            </w:pPr>
            <w:r>
              <w:rPr>
                <w:sz w:val="21"/>
              </w:rPr>
              <w:t>022</w:t>
            </w:r>
          </w:p>
        </w:tc>
      </w:tr>
      <w:tr>
        <w:tc>
          <w:tcPr>
            <w:tcW w:type="dxa" w:w="850"/>
          </w:tcPr>
          <w:p>
            <w:pPr>
              <w:spacing w:after="20" w:before="20" w:line="240" w:lineRule="auto"/>
              <w:jc w:val="center"/>
            </w:pPr>
            <w:r>
              <w:rPr>
                <w:sz w:val="21"/>
              </w:rPr>
              <w:t>9.4</w:t>
            </w:r>
          </w:p>
        </w:tc>
        <w:tc>
          <w:tcPr>
            <w:tcW w:type="dxa" w:w="7540"/>
          </w:tcPr>
          <w:p>
            <w:pPr>
              <w:spacing w:after="20" w:before="20" w:line="240" w:lineRule="auto"/>
              <w:jc w:val="left"/>
            </w:pPr>
            <w:r>
              <w:rPr>
                <w:sz w:val="21"/>
              </w:rPr>
              <w:t>Curricular Models that Promote Excellence</w:t>
            </w:r>
          </w:p>
        </w:tc>
        <w:tc>
          <w:tcPr>
            <w:tcW w:type="dxa" w:w="1020"/>
          </w:tcPr>
          <w:p>
            <w:pPr>
              <w:spacing w:after="20" w:before="20" w:line="240" w:lineRule="auto"/>
              <w:jc w:val="center"/>
            </w:pPr>
            <w:r>
              <w:rPr>
                <w:sz w:val="21"/>
              </w:rPr>
              <w:t>024</w:t>
            </w:r>
          </w:p>
        </w:tc>
      </w:tr>
      <w:tr>
        <w:tc>
          <w:tcPr>
            <w:tcW w:type="dxa" w:w="850"/>
            <w:shd w:val="clear" w:color="auto" w:fill="E8EEF5"/>
          </w:tcPr>
          <w:p>
            <w:pPr>
              <w:spacing w:after="20" w:before="20" w:line="240" w:lineRule="auto"/>
              <w:jc w:val="center"/>
            </w:pPr>
            <w:r>
              <w:rPr>
                <w:sz w:val="21"/>
              </w:rPr>
              <w:t>9.5</w:t>
            </w:r>
          </w:p>
        </w:tc>
        <w:tc>
          <w:tcPr>
            <w:tcW w:type="dxa" w:w="7540"/>
            <w:shd w:val="clear" w:color="auto" w:fill="E8EEF5"/>
          </w:tcPr>
          <w:p>
            <w:pPr>
              <w:spacing w:after="20" w:before="20" w:line="240" w:lineRule="auto"/>
              <w:jc w:val="left"/>
            </w:pPr>
            <w:r>
              <w:rPr>
                <w:sz w:val="21"/>
              </w:rPr>
              <w:t>Impact of Curricular Aspects that Promote Excellence</w:t>
            </w:r>
          </w:p>
        </w:tc>
        <w:tc>
          <w:tcPr>
            <w:tcW w:type="dxa" w:w="1020"/>
            <w:shd w:val="clear" w:color="auto" w:fill="E8EEF5"/>
          </w:tcPr>
          <w:p>
            <w:pPr>
              <w:spacing w:after="20" w:before="20" w:line="240" w:lineRule="auto"/>
              <w:jc w:val="center"/>
            </w:pPr>
            <w:r>
              <w:rPr>
                <w:sz w:val="21"/>
              </w:rPr>
              <w:t>025</w:t>
            </w:r>
          </w:p>
        </w:tc>
      </w:tr>
      <w:tr>
        <w:tc>
          <w:tcPr>
            <w:tcW w:type="dxa" w:w="850"/>
          </w:tcPr>
          <w:p>
            <w:pPr>
              <w:spacing w:after="20" w:before="20" w:line="240" w:lineRule="auto"/>
              <w:jc w:val="center"/>
            </w:pPr>
            <w:r>
              <w:rPr>
                <w:b/>
                <w:sz w:val="21"/>
              </w:rPr>
              <w:t>10</w:t>
            </w:r>
          </w:p>
        </w:tc>
        <w:tc>
          <w:tcPr>
            <w:tcW w:type="dxa" w:w="7540"/>
          </w:tcPr>
          <w:p>
            <w:pPr>
              <w:spacing w:after="20" w:before="20" w:line="240" w:lineRule="auto"/>
              <w:jc w:val="left"/>
            </w:pPr>
            <w:r>
              <w:rPr>
                <w:b/>
                <w:sz w:val="21"/>
              </w:rPr>
              <w:t>Curricular Aspects that Promote Value-Addition</w:t>
            </w:r>
          </w:p>
        </w:tc>
        <w:tc>
          <w:tcPr>
            <w:tcW w:type="dxa" w:w="1020"/>
          </w:tcPr>
          <w:p>
            <w:pPr>
              <w:spacing w:after="20" w:before="20" w:line="240" w:lineRule="auto"/>
              <w:jc w:val="center"/>
            </w:pPr>
            <w:r>
              <w:rPr>
                <w:b/>
                <w:sz w:val="21"/>
              </w:rPr>
              <w:t>027</w:t>
            </w:r>
          </w:p>
        </w:tc>
      </w:tr>
      <w:tr>
        <w:tc>
          <w:tcPr>
            <w:tcW w:type="dxa" w:w="850"/>
            <w:shd w:val="clear" w:color="auto" w:fill="E8EEF5"/>
          </w:tcPr>
          <w:p>
            <w:pPr>
              <w:spacing w:after="20" w:before="20" w:line="240" w:lineRule="auto"/>
              <w:jc w:val="center"/>
            </w:pPr>
            <w:r>
              <w:rPr>
                <w:sz w:val="21"/>
              </w:rPr>
              <w:t>10.1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027</w:t>
            </w:r>
          </w:p>
        </w:tc>
      </w:tr>
      <w:tr>
        <w:tc>
          <w:tcPr>
            <w:tcW w:type="dxa" w:w="850"/>
          </w:tcPr>
          <w:p>
            <w:pPr>
              <w:spacing w:after="20" w:before="20" w:line="240" w:lineRule="auto"/>
              <w:jc w:val="center"/>
            </w:pPr>
            <w:r>
              <w:rPr>
                <w:sz w:val="21"/>
              </w:rPr>
              <w:t>10.2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027</w:t>
            </w:r>
          </w:p>
        </w:tc>
      </w:tr>
      <w:tr>
        <w:tc>
          <w:tcPr>
            <w:tcW w:type="dxa" w:w="850"/>
            <w:shd w:val="clear" w:color="auto" w:fill="E8EEF5"/>
          </w:tcPr>
          <w:p>
            <w:pPr>
              <w:spacing w:after="20" w:before="20" w:line="240" w:lineRule="auto"/>
              <w:jc w:val="center"/>
            </w:pPr>
            <w:r>
              <w:rPr>
                <w:sz w:val="21"/>
              </w:rPr>
              <w:t>10.3</w:t>
            </w:r>
          </w:p>
        </w:tc>
        <w:tc>
          <w:tcPr>
            <w:tcW w:type="dxa" w:w="7540"/>
            <w:shd w:val="clear" w:color="auto" w:fill="E8EEF5"/>
          </w:tcPr>
          <w:p>
            <w:pPr>
              <w:spacing w:after="20" w:before="20" w:line="240" w:lineRule="auto"/>
              <w:jc w:val="left"/>
            </w:pPr>
            <w:r>
              <w:rPr>
                <w:sz w:val="21"/>
              </w:rPr>
              <w:t>Key Curricular Aspects that Promote Value-Addition</w:t>
            </w:r>
          </w:p>
        </w:tc>
        <w:tc>
          <w:tcPr>
            <w:tcW w:type="dxa" w:w="1020"/>
            <w:shd w:val="clear" w:color="auto" w:fill="E8EEF5"/>
          </w:tcPr>
          <w:p>
            <w:pPr>
              <w:spacing w:after="20" w:before="20" w:line="240" w:lineRule="auto"/>
              <w:jc w:val="center"/>
            </w:pPr>
            <w:r>
              <w:rPr>
                <w:sz w:val="21"/>
              </w:rPr>
              <w:t>027</w:t>
            </w:r>
          </w:p>
        </w:tc>
      </w:tr>
      <w:tr>
        <w:tc>
          <w:tcPr>
            <w:tcW w:type="dxa" w:w="850"/>
          </w:tcPr>
          <w:p>
            <w:pPr>
              <w:spacing w:after="20" w:before="20" w:line="240" w:lineRule="auto"/>
              <w:jc w:val="center"/>
            </w:pPr>
            <w:r>
              <w:rPr>
                <w:sz w:val="21"/>
              </w:rPr>
              <w:t>10.4</w:t>
            </w:r>
          </w:p>
        </w:tc>
        <w:tc>
          <w:tcPr>
            <w:tcW w:type="dxa" w:w="7540"/>
          </w:tcPr>
          <w:p>
            <w:pPr>
              <w:spacing w:after="20" w:before="20" w:line="240" w:lineRule="auto"/>
              <w:jc w:val="left"/>
            </w:pPr>
            <w:r>
              <w:rPr>
                <w:sz w:val="21"/>
              </w:rPr>
              <w:t>Full-time/Part-time Technical Courses</w:t>
            </w:r>
          </w:p>
        </w:tc>
        <w:tc>
          <w:tcPr>
            <w:tcW w:type="dxa" w:w="1020"/>
          </w:tcPr>
          <w:p>
            <w:pPr>
              <w:spacing w:after="20" w:before="20" w:line="240" w:lineRule="auto"/>
              <w:jc w:val="center"/>
            </w:pPr>
            <w:r>
              <w:rPr>
                <w:sz w:val="21"/>
              </w:rPr>
              <w:t>029</w:t>
            </w:r>
          </w:p>
        </w:tc>
      </w:tr>
      <w:tr>
        <w:tc>
          <w:tcPr>
            <w:tcW w:type="dxa" w:w="850"/>
            <w:shd w:val="clear" w:color="auto" w:fill="E8EEF5"/>
          </w:tcPr>
          <w:p>
            <w:pPr>
              <w:spacing w:after="20" w:before="20" w:line="240" w:lineRule="auto"/>
              <w:jc w:val="center"/>
            </w:pPr>
            <w:r>
              <w:rPr>
                <w:sz w:val="21"/>
              </w:rPr>
              <w:t>10.5</w:t>
            </w:r>
          </w:p>
        </w:tc>
        <w:tc>
          <w:tcPr>
            <w:tcW w:type="dxa" w:w="7540"/>
            <w:shd w:val="clear" w:color="auto" w:fill="E8EEF5"/>
          </w:tcPr>
          <w:p>
            <w:pPr>
              <w:spacing w:after="20" w:before="20" w:line="240" w:lineRule="auto"/>
              <w:jc w:val="left"/>
            </w:pPr>
            <w:r>
              <w:rPr>
                <w:sz w:val="21"/>
              </w:rPr>
              <w:t>Value Addition by Core-Diversification</w:t>
            </w:r>
          </w:p>
        </w:tc>
        <w:tc>
          <w:tcPr>
            <w:tcW w:type="dxa" w:w="1020"/>
            <w:shd w:val="clear" w:color="auto" w:fill="E8EEF5"/>
          </w:tcPr>
          <w:p>
            <w:pPr>
              <w:spacing w:after="20" w:before="20" w:line="240" w:lineRule="auto"/>
              <w:jc w:val="center"/>
            </w:pPr>
            <w:r>
              <w:rPr>
                <w:sz w:val="21"/>
              </w:rPr>
              <w:t>030</w:t>
            </w:r>
          </w:p>
        </w:tc>
      </w:tr>
      <w:tr>
        <w:tc>
          <w:tcPr>
            <w:tcW w:type="dxa" w:w="850"/>
          </w:tcPr>
          <w:p>
            <w:pPr>
              <w:spacing w:after="20" w:before="20" w:line="240" w:lineRule="auto"/>
              <w:jc w:val="center"/>
            </w:pPr>
            <w:r>
              <w:rPr>
                <w:sz w:val="21"/>
              </w:rPr>
              <w:t>10.6</w:t>
            </w:r>
          </w:p>
        </w:tc>
        <w:tc>
          <w:tcPr>
            <w:tcW w:type="dxa" w:w="7540"/>
          </w:tcPr>
          <w:p>
            <w:pPr>
              <w:spacing w:after="20" w:before="20" w:line="240" w:lineRule="auto"/>
              <w:jc w:val="left"/>
            </w:pPr>
            <w:r>
              <w:rPr>
                <w:sz w:val="21"/>
              </w:rPr>
              <w:t>Choice of Quasi-Professional/Professional Courses</w:t>
            </w:r>
          </w:p>
        </w:tc>
        <w:tc>
          <w:tcPr>
            <w:tcW w:type="dxa" w:w="1020"/>
          </w:tcPr>
          <w:p>
            <w:pPr>
              <w:spacing w:after="20" w:before="20" w:line="240" w:lineRule="auto"/>
              <w:jc w:val="center"/>
            </w:pPr>
            <w:r>
              <w:rPr>
                <w:sz w:val="21"/>
              </w:rPr>
              <w:t>030</w:t>
            </w:r>
          </w:p>
        </w:tc>
      </w:tr>
      <w:tr>
        <w:tc>
          <w:tcPr>
            <w:tcW w:type="dxa" w:w="850"/>
            <w:shd w:val="clear" w:color="auto" w:fill="E8EEF5"/>
          </w:tcPr>
          <w:p>
            <w:pPr>
              <w:spacing w:after="20" w:before="20" w:line="240" w:lineRule="auto"/>
              <w:jc w:val="center"/>
            </w:pPr>
            <w:r>
              <w:rPr>
                <w:sz w:val="21"/>
              </w:rPr>
              <w:t>10.7</w:t>
            </w:r>
          </w:p>
        </w:tc>
        <w:tc>
          <w:tcPr>
            <w:tcW w:type="dxa" w:w="7540"/>
            <w:shd w:val="clear" w:color="auto" w:fill="E8EEF5"/>
          </w:tcPr>
          <w:p>
            <w:pPr>
              <w:spacing w:after="20" w:before="20" w:line="240" w:lineRule="auto"/>
              <w:jc w:val="left"/>
            </w:pPr>
            <w:r>
              <w:rPr>
                <w:sz w:val="21"/>
              </w:rPr>
              <w:t>Inter-Disciplinary and Multi-Disciplinary Courses</w:t>
            </w:r>
          </w:p>
        </w:tc>
        <w:tc>
          <w:tcPr>
            <w:tcW w:type="dxa" w:w="1020"/>
            <w:shd w:val="clear" w:color="auto" w:fill="E8EEF5"/>
          </w:tcPr>
          <w:p>
            <w:pPr>
              <w:spacing w:after="20" w:before="20" w:line="240" w:lineRule="auto"/>
              <w:jc w:val="center"/>
            </w:pPr>
            <w:r>
              <w:rPr>
                <w:sz w:val="21"/>
              </w:rPr>
              <w:t>030</w:t>
            </w:r>
          </w:p>
        </w:tc>
      </w:tr>
      <w:tr>
        <w:tc>
          <w:tcPr>
            <w:tcW w:type="dxa" w:w="850"/>
          </w:tcPr>
          <w:p>
            <w:pPr>
              <w:spacing w:after="20" w:before="20" w:line="240" w:lineRule="auto"/>
              <w:jc w:val="center"/>
            </w:pPr>
            <w:r>
              <w:rPr>
                <w:sz w:val="21"/>
              </w:rPr>
              <w:t>10.8</w:t>
            </w:r>
          </w:p>
        </w:tc>
        <w:tc>
          <w:tcPr>
            <w:tcW w:type="dxa" w:w="7540"/>
          </w:tcPr>
          <w:p>
            <w:pPr>
              <w:spacing w:after="20" w:before="20" w:line="240" w:lineRule="auto"/>
              <w:jc w:val="left"/>
            </w:pPr>
            <w:r>
              <w:rPr>
                <w:sz w:val="21"/>
              </w:rPr>
              <w:t>Impact of Curricular Aspects that Promote Value-Addition</w:t>
            </w:r>
          </w:p>
        </w:tc>
        <w:tc>
          <w:tcPr>
            <w:tcW w:type="dxa" w:w="1020"/>
          </w:tcPr>
          <w:p>
            <w:pPr>
              <w:spacing w:after="20" w:before="20" w:line="240" w:lineRule="auto"/>
              <w:jc w:val="center"/>
            </w:pPr>
            <w:r>
              <w:rPr>
                <w:sz w:val="21"/>
              </w:rPr>
              <w:t>030</w:t>
            </w:r>
          </w:p>
        </w:tc>
      </w:tr>
      <w:tr>
        <w:tc>
          <w:tcPr>
            <w:tcW w:type="dxa" w:w="850"/>
            <w:shd w:val="clear" w:color="auto" w:fill="E8EEF5"/>
          </w:tcPr>
          <w:p>
            <w:pPr>
              <w:spacing w:after="20" w:before="20" w:line="240" w:lineRule="auto"/>
              <w:jc w:val="center"/>
            </w:pPr>
            <w:r>
              <w:rPr>
                <w:b/>
                <w:sz w:val="21"/>
              </w:rPr>
              <w:t>11</w:t>
            </w:r>
          </w:p>
        </w:tc>
        <w:tc>
          <w:tcPr>
            <w:tcW w:type="dxa" w:w="7540"/>
            <w:shd w:val="clear" w:color="auto" w:fill="E8EEF5"/>
          </w:tcPr>
          <w:p>
            <w:pPr>
              <w:spacing w:after="20" w:before="20" w:line="240" w:lineRule="auto"/>
              <w:jc w:val="left"/>
            </w:pPr>
            <w:r>
              <w:rPr>
                <w:b/>
                <w:sz w:val="21"/>
              </w:rPr>
              <w:t>Curricular Aspects that Promote Values</w:t>
            </w:r>
          </w:p>
        </w:tc>
        <w:tc>
          <w:tcPr>
            <w:tcW w:type="dxa" w:w="1020"/>
            <w:shd w:val="clear" w:color="auto" w:fill="E8EEF5"/>
          </w:tcPr>
          <w:p>
            <w:pPr>
              <w:spacing w:after="20" w:before="20" w:line="240" w:lineRule="auto"/>
              <w:jc w:val="center"/>
            </w:pPr>
            <w:r>
              <w:rPr>
                <w:b/>
                <w:sz w:val="21"/>
              </w:rPr>
              <w:t>032</w:t>
            </w:r>
          </w:p>
        </w:tc>
      </w:tr>
      <w:tr>
        <w:tc>
          <w:tcPr>
            <w:tcW w:type="dxa" w:w="850"/>
          </w:tcPr>
          <w:p>
            <w:pPr>
              <w:spacing w:after="20" w:before="20" w:line="240" w:lineRule="auto"/>
              <w:jc w:val="center"/>
            </w:pPr>
            <w:r>
              <w:rPr>
                <w:sz w:val="21"/>
              </w:rPr>
              <w:t>11.1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032</w:t>
            </w:r>
          </w:p>
        </w:tc>
      </w:tr>
      <w:tr>
        <w:tc>
          <w:tcPr>
            <w:tcW w:type="dxa" w:w="850"/>
            <w:shd w:val="clear" w:color="auto" w:fill="E8EEF5"/>
          </w:tcPr>
          <w:p>
            <w:pPr>
              <w:spacing w:after="20" w:before="20" w:line="240" w:lineRule="auto"/>
              <w:jc w:val="center"/>
            </w:pPr>
            <w:r>
              <w:rPr>
                <w:sz w:val="21"/>
              </w:rPr>
              <w:t>11.2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032</w:t>
            </w:r>
          </w:p>
        </w:tc>
      </w:tr>
      <w:tr>
        <w:tc>
          <w:tcPr>
            <w:tcW w:type="dxa" w:w="850"/>
          </w:tcPr>
          <w:p>
            <w:pPr>
              <w:spacing w:after="20" w:before="20" w:line="240" w:lineRule="auto"/>
              <w:jc w:val="center"/>
            </w:pPr>
            <w:r>
              <w:rPr>
                <w:sz w:val="21"/>
              </w:rPr>
              <w:t>11.3</w:t>
            </w:r>
          </w:p>
        </w:tc>
        <w:tc>
          <w:tcPr>
            <w:tcW w:type="dxa" w:w="7540"/>
          </w:tcPr>
          <w:p>
            <w:pPr>
              <w:spacing w:after="20" w:before="20" w:line="240" w:lineRule="auto"/>
              <w:jc w:val="left"/>
            </w:pPr>
            <w:r>
              <w:rPr>
                <w:sz w:val="21"/>
              </w:rPr>
              <w:t>Key Curricular Aspects that Promote Values</w:t>
            </w:r>
          </w:p>
        </w:tc>
        <w:tc>
          <w:tcPr>
            <w:tcW w:type="dxa" w:w="1020"/>
          </w:tcPr>
          <w:p>
            <w:pPr>
              <w:spacing w:after="20" w:before="20" w:line="240" w:lineRule="auto"/>
              <w:jc w:val="center"/>
            </w:pPr>
            <w:r>
              <w:rPr>
                <w:sz w:val="21"/>
              </w:rPr>
              <w:t>032</w:t>
            </w:r>
          </w:p>
        </w:tc>
      </w:tr>
      <w:tr>
        <w:tc>
          <w:tcPr>
            <w:tcW w:type="dxa" w:w="850"/>
            <w:shd w:val="clear" w:color="auto" w:fill="E8EEF5"/>
          </w:tcPr>
          <w:p>
            <w:pPr>
              <w:spacing w:after="20" w:before="20" w:line="240" w:lineRule="auto"/>
              <w:jc w:val="center"/>
            </w:pPr>
            <w:r>
              <w:rPr>
                <w:sz w:val="21"/>
              </w:rPr>
              <w:t>11.4</w:t>
            </w:r>
          </w:p>
        </w:tc>
        <w:tc>
          <w:tcPr>
            <w:tcW w:type="dxa" w:w="7540"/>
            <w:shd w:val="clear" w:color="auto" w:fill="E8EEF5"/>
          </w:tcPr>
          <w:p>
            <w:pPr>
              <w:spacing w:after="20" w:before="20" w:line="240" w:lineRule="auto"/>
              <w:jc w:val="left"/>
            </w:pPr>
            <w:r>
              <w:rPr>
                <w:sz w:val="21"/>
              </w:rPr>
              <w:t>Value Addition by Core-Diversification</w:t>
            </w:r>
          </w:p>
        </w:tc>
        <w:tc>
          <w:tcPr>
            <w:tcW w:type="dxa" w:w="1020"/>
            <w:shd w:val="clear" w:color="auto" w:fill="E8EEF5"/>
          </w:tcPr>
          <w:p>
            <w:pPr>
              <w:spacing w:after="20" w:before="20" w:line="240" w:lineRule="auto"/>
              <w:jc w:val="center"/>
            </w:pPr>
            <w:r>
              <w:rPr>
                <w:sz w:val="21"/>
              </w:rPr>
              <w:t>034</w:t>
            </w:r>
          </w:p>
        </w:tc>
      </w:tr>
      <w:tr>
        <w:tc>
          <w:tcPr>
            <w:tcW w:type="dxa" w:w="850"/>
          </w:tcPr>
          <w:p>
            <w:pPr>
              <w:spacing w:after="20" w:before="20" w:line="240" w:lineRule="auto"/>
              <w:jc w:val="center"/>
            </w:pPr>
            <w:r>
              <w:rPr>
                <w:sz w:val="21"/>
              </w:rPr>
              <w:t>11.5</w:t>
            </w:r>
          </w:p>
        </w:tc>
        <w:tc>
          <w:tcPr>
            <w:tcW w:type="dxa" w:w="7540"/>
          </w:tcPr>
          <w:p>
            <w:pPr>
              <w:spacing w:after="20" w:before="20" w:line="240" w:lineRule="auto"/>
              <w:jc w:val="left"/>
            </w:pPr>
            <w:r>
              <w:rPr>
                <w:sz w:val="21"/>
              </w:rPr>
              <w:t>Choice of Quasi-Professional/Professional Courses</w:t>
            </w:r>
          </w:p>
        </w:tc>
        <w:tc>
          <w:tcPr>
            <w:tcW w:type="dxa" w:w="1020"/>
          </w:tcPr>
          <w:p>
            <w:pPr>
              <w:spacing w:after="20" w:before="20" w:line="240" w:lineRule="auto"/>
              <w:jc w:val="center"/>
            </w:pPr>
            <w:r>
              <w:rPr>
                <w:sz w:val="21"/>
              </w:rPr>
              <w:t>035</w:t>
            </w:r>
          </w:p>
        </w:tc>
      </w:tr>
      <w:tr>
        <w:tc>
          <w:tcPr>
            <w:tcW w:type="dxa" w:w="850"/>
            <w:shd w:val="clear" w:color="auto" w:fill="E8EEF5"/>
          </w:tcPr>
          <w:p>
            <w:pPr>
              <w:spacing w:after="20" w:before="20" w:line="240" w:lineRule="auto"/>
              <w:jc w:val="center"/>
            </w:pPr>
            <w:r>
              <w:rPr>
                <w:sz w:val="21"/>
              </w:rPr>
              <w:t>11.6</w:t>
            </w:r>
          </w:p>
        </w:tc>
        <w:tc>
          <w:tcPr>
            <w:tcW w:type="dxa" w:w="7540"/>
            <w:shd w:val="clear" w:color="auto" w:fill="E8EEF5"/>
          </w:tcPr>
          <w:p>
            <w:pPr>
              <w:spacing w:after="20" w:before="20" w:line="240" w:lineRule="auto"/>
              <w:jc w:val="left"/>
            </w:pPr>
            <w:r>
              <w:rPr>
                <w:sz w:val="21"/>
              </w:rPr>
              <w:t>Inter-Disciplinary and Multi-Disciplinary Courses</w:t>
            </w:r>
          </w:p>
        </w:tc>
        <w:tc>
          <w:tcPr>
            <w:tcW w:type="dxa" w:w="1020"/>
            <w:shd w:val="clear" w:color="auto" w:fill="E8EEF5"/>
          </w:tcPr>
          <w:p>
            <w:pPr>
              <w:spacing w:after="20" w:before="20" w:line="240" w:lineRule="auto"/>
              <w:jc w:val="center"/>
            </w:pPr>
            <w:r>
              <w:rPr>
                <w:sz w:val="21"/>
              </w:rPr>
              <w:t>035</w:t>
            </w:r>
          </w:p>
        </w:tc>
      </w:tr>
      <w:tr>
        <w:tc>
          <w:tcPr>
            <w:tcW w:type="dxa" w:w="850"/>
          </w:tcPr>
          <w:p>
            <w:pPr>
              <w:spacing w:after="20" w:before="20" w:line="240" w:lineRule="auto"/>
              <w:jc w:val="center"/>
            </w:pPr>
            <w:r>
              <w:rPr>
                <w:sz w:val="21"/>
              </w:rPr>
              <w:t>11.7</w:t>
            </w:r>
          </w:p>
        </w:tc>
        <w:tc>
          <w:tcPr>
            <w:tcW w:type="dxa" w:w="7540"/>
          </w:tcPr>
          <w:p>
            <w:pPr>
              <w:spacing w:after="20" w:before="20" w:line="240" w:lineRule="auto"/>
              <w:jc w:val="left"/>
            </w:pPr>
            <w:r>
              <w:rPr>
                <w:sz w:val="21"/>
              </w:rPr>
              <w:t>Goal-Orientation and Process-Building</w:t>
            </w:r>
          </w:p>
        </w:tc>
        <w:tc>
          <w:tcPr>
            <w:tcW w:type="dxa" w:w="1020"/>
          </w:tcPr>
          <w:p>
            <w:pPr>
              <w:spacing w:after="20" w:before="20" w:line="240" w:lineRule="auto"/>
              <w:jc w:val="center"/>
            </w:pPr>
            <w:r>
              <w:rPr>
                <w:sz w:val="21"/>
              </w:rPr>
              <w:t>035</w:t>
            </w:r>
          </w:p>
        </w:tc>
      </w:tr>
      <w:tr>
        <w:tc>
          <w:tcPr>
            <w:tcW w:type="dxa" w:w="850"/>
            <w:shd w:val="clear" w:color="auto" w:fill="E8EEF5"/>
          </w:tcPr>
          <w:p>
            <w:pPr>
              <w:spacing w:after="20" w:before="20" w:line="240" w:lineRule="auto"/>
              <w:jc w:val="center"/>
            </w:pPr>
            <w:r>
              <w:rPr>
                <w:sz w:val="21"/>
              </w:rPr>
              <w:t>11.8</w:t>
            </w:r>
          </w:p>
        </w:tc>
        <w:tc>
          <w:tcPr>
            <w:tcW w:type="dxa" w:w="7540"/>
            <w:shd w:val="clear" w:color="auto" w:fill="E8EEF5"/>
          </w:tcPr>
          <w:p>
            <w:pPr>
              <w:spacing w:after="20" w:before="20" w:line="240" w:lineRule="auto"/>
              <w:jc w:val="left"/>
            </w:pPr>
            <w:r>
              <w:rPr>
                <w:sz w:val="21"/>
              </w:rPr>
              <w:t>Impact of Curricular Aspects that Promote Values</w:t>
            </w:r>
          </w:p>
        </w:tc>
        <w:tc>
          <w:tcPr>
            <w:tcW w:type="dxa" w:w="1020"/>
            <w:shd w:val="clear" w:color="auto" w:fill="E8EEF5"/>
          </w:tcPr>
          <w:p>
            <w:pPr>
              <w:spacing w:after="20" w:before="20" w:line="240" w:lineRule="auto"/>
              <w:jc w:val="center"/>
            </w:pPr>
            <w:r>
              <w:rPr>
                <w:sz w:val="21"/>
              </w:rPr>
              <w:t>036</w:t>
            </w:r>
          </w:p>
        </w:tc>
      </w:tr>
      <w:tr>
        <w:tc>
          <w:tcPr>
            <w:tcW w:type="dxa" w:w="850"/>
          </w:tcPr>
          <w:p>
            <w:pPr>
              <w:spacing w:after="20" w:before="20" w:line="240" w:lineRule="auto"/>
              <w:jc w:val="center"/>
            </w:pPr>
            <w:r>
              <w:rPr>
                <w:b/>
                <w:sz w:val="21"/>
              </w:rPr>
              <w:t>12</w:t>
            </w:r>
          </w:p>
        </w:tc>
        <w:tc>
          <w:tcPr>
            <w:tcW w:type="dxa" w:w="7540"/>
          </w:tcPr>
          <w:p>
            <w:pPr>
              <w:spacing w:after="20" w:before="20" w:line="240" w:lineRule="auto"/>
              <w:jc w:val="left"/>
            </w:pPr>
            <w:r>
              <w:rPr>
                <w:b/>
                <w:sz w:val="21"/>
              </w:rPr>
              <w:t>Curricular Aspects that Serve Contextual Criteria</w:t>
            </w:r>
          </w:p>
        </w:tc>
        <w:tc>
          <w:tcPr>
            <w:tcW w:type="dxa" w:w="1020"/>
          </w:tcPr>
          <w:p>
            <w:pPr>
              <w:spacing w:after="20" w:before="20" w:line="240" w:lineRule="auto"/>
              <w:jc w:val="center"/>
            </w:pPr>
            <w:r>
              <w:rPr>
                <w:b/>
                <w:sz w:val="21"/>
              </w:rPr>
              <w:t>037</w:t>
            </w:r>
          </w:p>
        </w:tc>
      </w:tr>
      <w:tr>
        <w:tc>
          <w:tcPr>
            <w:tcW w:type="dxa" w:w="850"/>
            <w:shd w:val="clear" w:color="auto" w:fill="E8EEF5"/>
          </w:tcPr>
          <w:p>
            <w:pPr>
              <w:spacing w:after="20" w:before="20" w:line="240" w:lineRule="auto"/>
              <w:jc w:val="center"/>
            </w:pPr>
            <w:r>
              <w:rPr>
                <w:sz w:val="21"/>
              </w:rPr>
              <w:t>12.1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037</w:t>
            </w:r>
          </w:p>
        </w:tc>
      </w:tr>
      <w:tr>
        <w:tc>
          <w:tcPr>
            <w:tcW w:type="dxa" w:w="850"/>
          </w:tcPr>
          <w:p>
            <w:pPr>
              <w:spacing w:after="20" w:before="20" w:line="240" w:lineRule="auto"/>
              <w:jc w:val="center"/>
            </w:pPr>
            <w:r>
              <w:rPr>
                <w:sz w:val="21"/>
              </w:rPr>
              <w:t>12.3</w:t>
            </w:r>
          </w:p>
        </w:tc>
        <w:tc>
          <w:tcPr>
            <w:tcW w:type="dxa" w:w="7540"/>
          </w:tcPr>
          <w:p>
            <w:pPr>
              <w:spacing w:after="20" w:before="20" w:line="240" w:lineRule="auto"/>
              <w:jc w:val="left"/>
            </w:pPr>
            <w:r>
              <w:rPr>
                <w:sz w:val="21"/>
              </w:rPr>
              <w:t>Key Curricular Aspects that Serve Contextual Criteria</w:t>
            </w:r>
          </w:p>
        </w:tc>
        <w:tc>
          <w:tcPr>
            <w:tcW w:type="dxa" w:w="1020"/>
          </w:tcPr>
          <w:p>
            <w:pPr>
              <w:spacing w:after="20" w:before="20" w:line="240" w:lineRule="auto"/>
              <w:jc w:val="center"/>
            </w:pPr>
            <w:r>
              <w:rPr>
                <w:sz w:val="21"/>
              </w:rPr>
              <w:t>037</w:t>
            </w:r>
          </w:p>
        </w:tc>
      </w:tr>
      <w:tr>
        <w:tc>
          <w:tcPr>
            <w:tcW w:type="dxa" w:w="850"/>
            <w:shd w:val="clear" w:color="auto" w:fill="E8EEF5"/>
          </w:tcPr>
          <w:p>
            <w:pPr>
              <w:spacing w:after="20" w:before="20" w:line="240" w:lineRule="auto"/>
              <w:jc w:val="center"/>
            </w:pPr>
            <w:r>
              <w:rPr>
                <w:sz w:val="21"/>
              </w:rPr>
              <w:t>12.4</w:t>
            </w:r>
          </w:p>
        </w:tc>
        <w:tc>
          <w:tcPr>
            <w:tcW w:type="dxa" w:w="7540"/>
            <w:shd w:val="clear" w:color="auto" w:fill="E8EEF5"/>
          </w:tcPr>
          <w:p>
            <w:pPr>
              <w:spacing w:after="20" w:before="20" w:line="240" w:lineRule="auto"/>
              <w:jc w:val="left"/>
            </w:pPr>
            <w:r>
              <w:rPr>
                <w:sz w:val="21"/>
              </w:rPr>
              <w:t>Impact of Curricular Aspects that Serve Contextual Criteria</w:t>
            </w:r>
          </w:p>
        </w:tc>
        <w:tc>
          <w:tcPr>
            <w:tcW w:type="dxa" w:w="1020"/>
            <w:shd w:val="clear" w:color="auto" w:fill="E8EEF5"/>
          </w:tcPr>
          <w:p>
            <w:pPr>
              <w:spacing w:after="20" w:before="20" w:line="240" w:lineRule="auto"/>
              <w:jc w:val="center"/>
            </w:pPr>
            <w:r>
              <w:rPr>
                <w:sz w:val="21"/>
              </w:rPr>
              <w:t>040</w:t>
            </w:r>
          </w:p>
        </w:tc>
      </w:tr>
      <w:tr>
        <w:tc>
          <w:tcPr>
            <w:tcW w:type="dxa" w:w="850"/>
          </w:tcPr>
          <w:p>
            <w:pPr>
              <w:spacing w:after="20" w:before="20" w:line="240" w:lineRule="auto"/>
              <w:jc w:val="center"/>
            </w:pPr>
            <w:r>
              <w:rPr>
                <w:b/>
                <w:sz w:val="21"/>
              </w:rPr>
              <w:t>13</w:t>
            </w:r>
          </w:p>
        </w:tc>
        <w:tc>
          <w:tcPr>
            <w:tcW w:type="dxa" w:w="7540"/>
          </w:tcPr>
          <w:p>
            <w:pPr>
              <w:spacing w:after="20" w:before="20" w:line="240" w:lineRule="auto"/>
              <w:jc w:val="left"/>
            </w:pPr>
            <w:r>
              <w:rPr>
                <w:b/>
                <w:sz w:val="21"/>
              </w:rPr>
              <w:t>Curriculum Design and Development (Interdisciplinary Approach)</w:t>
            </w:r>
          </w:p>
        </w:tc>
        <w:tc>
          <w:tcPr>
            <w:tcW w:type="dxa" w:w="1020"/>
          </w:tcPr>
          <w:p>
            <w:pPr>
              <w:spacing w:after="20" w:before="20" w:line="240" w:lineRule="auto"/>
              <w:jc w:val="center"/>
            </w:pPr>
            <w:r>
              <w:rPr>
                <w:b/>
                <w:sz w:val="21"/>
              </w:rPr>
              <w:t>042</w:t>
            </w:r>
          </w:p>
        </w:tc>
      </w:tr>
      <w:tr>
        <w:tc>
          <w:tcPr>
            <w:tcW w:type="dxa" w:w="850"/>
            <w:shd w:val="clear" w:color="auto" w:fill="E8EEF5"/>
          </w:tcPr>
          <w:p>
            <w:pPr>
              <w:spacing w:after="20" w:before="20" w:line="240" w:lineRule="auto"/>
              <w:jc w:val="center"/>
            </w:pPr>
            <w:r>
              <w:rPr>
                <w:sz w:val="21"/>
              </w:rPr>
              <w:t>13.1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042</w:t>
            </w:r>
          </w:p>
        </w:tc>
      </w:tr>
      <w:tr>
        <w:tc>
          <w:tcPr>
            <w:tcW w:type="dxa" w:w="850"/>
          </w:tcPr>
          <w:p>
            <w:pPr>
              <w:spacing w:after="20" w:before="20" w:line="240" w:lineRule="auto"/>
              <w:jc w:val="center"/>
            </w:pPr>
            <w:r>
              <w:rPr>
                <w:sz w:val="21"/>
              </w:rPr>
              <w:t>13.2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042</w:t>
            </w:r>
          </w:p>
        </w:tc>
      </w:tr>
      <w:tr>
        <w:tc>
          <w:tcPr>
            <w:tcW w:type="dxa" w:w="850"/>
            <w:shd w:val="clear" w:color="auto" w:fill="E8EEF5"/>
          </w:tcPr>
          <w:p>
            <w:pPr>
              <w:spacing w:after="20" w:before="20" w:line="240" w:lineRule="auto"/>
              <w:jc w:val="center"/>
            </w:pPr>
            <w:r>
              <w:rPr>
                <w:sz w:val="21"/>
              </w:rPr>
              <w:t>13.3</w:t>
            </w:r>
          </w:p>
        </w:tc>
        <w:tc>
          <w:tcPr>
            <w:tcW w:type="dxa" w:w="7540"/>
            <w:shd w:val="clear" w:color="auto" w:fill="E8EEF5"/>
          </w:tcPr>
          <w:p>
            <w:pPr>
              <w:spacing w:after="20" w:before="20" w:line="240" w:lineRule="auto"/>
              <w:jc w:val="left"/>
            </w:pPr>
            <w:r>
              <w:rPr>
                <w:sz w:val="21"/>
              </w:rPr>
              <w:t>Key Components of Interdisciplinary Curriculum Design and Development</w:t>
            </w:r>
          </w:p>
        </w:tc>
        <w:tc>
          <w:tcPr>
            <w:tcW w:type="dxa" w:w="1020"/>
            <w:shd w:val="clear" w:color="auto" w:fill="E8EEF5"/>
          </w:tcPr>
          <w:p>
            <w:pPr>
              <w:spacing w:after="20" w:before="20" w:line="240" w:lineRule="auto"/>
              <w:jc w:val="center"/>
            </w:pPr>
            <w:r>
              <w:rPr>
                <w:sz w:val="21"/>
              </w:rPr>
              <w:t>042</w:t>
            </w:r>
          </w:p>
        </w:tc>
      </w:tr>
      <w:tr>
        <w:tc>
          <w:tcPr>
            <w:tcW w:type="dxa" w:w="850"/>
          </w:tcPr>
          <w:p>
            <w:pPr>
              <w:spacing w:after="20" w:before="20" w:line="240" w:lineRule="auto"/>
              <w:jc w:val="center"/>
            </w:pPr>
            <w:r>
              <w:rPr>
                <w:sz w:val="21"/>
              </w:rPr>
              <w:t>13.4</w:t>
            </w:r>
          </w:p>
        </w:tc>
        <w:tc>
          <w:tcPr>
            <w:tcW w:type="dxa" w:w="7540"/>
          </w:tcPr>
          <w:p>
            <w:pPr>
              <w:spacing w:after="20" w:before="20" w:line="240" w:lineRule="auto"/>
              <w:jc w:val="left"/>
            </w:pPr>
            <w:r>
              <w:rPr>
                <w:sz w:val="21"/>
              </w:rPr>
              <w:t>Impact of the Interdisciplinary Approach</w:t>
            </w:r>
          </w:p>
        </w:tc>
        <w:tc>
          <w:tcPr>
            <w:tcW w:type="dxa" w:w="1020"/>
          </w:tcPr>
          <w:p>
            <w:pPr>
              <w:spacing w:after="20" w:before="20" w:line="240" w:lineRule="auto"/>
              <w:jc w:val="center"/>
            </w:pPr>
            <w:r>
              <w:rPr>
                <w:sz w:val="21"/>
              </w:rPr>
              <w:t>044</w:t>
            </w:r>
          </w:p>
        </w:tc>
      </w:tr>
      <w:tr>
        <w:tc>
          <w:tcPr>
            <w:tcW w:type="dxa" w:w="850"/>
            <w:shd w:val="clear" w:color="auto" w:fill="E8EEF5"/>
          </w:tcPr>
          <w:p>
            <w:pPr>
              <w:spacing w:after="20" w:before="20" w:line="240" w:lineRule="auto"/>
              <w:jc w:val="center"/>
            </w:pPr>
            <w:r>
              <w:rPr>
                <w:sz w:val="21"/>
              </w:rPr>
              <w:t>13.5</w:t>
            </w:r>
          </w:p>
        </w:tc>
        <w:tc>
          <w:tcPr>
            <w:tcW w:type="dxa" w:w="7540"/>
            <w:shd w:val="clear" w:color="auto" w:fill="E8EEF5"/>
          </w:tcPr>
          <w:p>
            <w:pPr>
              <w:spacing w:after="20" w:before="20" w:line="240" w:lineRule="auto"/>
              <w:jc w:val="left"/>
            </w:pPr>
            <w:r>
              <w:rPr>
                <w:sz w:val="21"/>
              </w:rPr>
              <w:t>Outcomes of an Interdisciplinary Approach in Curriculum Design and Development</w:t>
            </w:r>
          </w:p>
        </w:tc>
        <w:tc>
          <w:tcPr>
            <w:tcW w:type="dxa" w:w="1020"/>
            <w:shd w:val="clear" w:color="auto" w:fill="E8EEF5"/>
          </w:tcPr>
          <w:p>
            <w:pPr>
              <w:spacing w:after="20" w:before="20" w:line="240" w:lineRule="auto"/>
              <w:jc w:val="center"/>
            </w:pPr>
            <w:r>
              <w:rPr>
                <w:sz w:val="21"/>
              </w:rPr>
              <w:t>045</w:t>
            </w:r>
          </w:p>
        </w:tc>
      </w:tr>
      <w:tr>
        <w:tc>
          <w:tcPr>
            <w:tcW w:type="dxa" w:w="850"/>
          </w:tcPr>
          <w:p>
            <w:pPr>
              <w:spacing w:after="20" w:before="20" w:line="240" w:lineRule="auto"/>
              <w:jc w:val="center"/>
            </w:pPr>
            <w:r>
              <w:rPr>
                <w:sz w:val="21"/>
              </w:rPr>
              <w:t>13.6</w:t>
            </w:r>
          </w:p>
        </w:tc>
        <w:tc>
          <w:tcPr>
            <w:tcW w:type="dxa" w:w="7540"/>
          </w:tcPr>
          <w:p>
            <w:pPr>
              <w:spacing w:after="20" w:before="20" w:line="240" w:lineRule="auto"/>
              <w:jc w:val="left"/>
            </w:pPr>
            <w:r>
              <w:rPr>
                <w:sz w:val="21"/>
              </w:rPr>
              <w:t>Challenges and Solutions in Implementing Interdisciplinary Curriculum Design</w:t>
            </w:r>
          </w:p>
        </w:tc>
        <w:tc>
          <w:tcPr>
            <w:tcW w:type="dxa" w:w="1020"/>
          </w:tcPr>
          <w:p>
            <w:pPr>
              <w:spacing w:after="20" w:before="20" w:line="240" w:lineRule="auto"/>
              <w:jc w:val="center"/>
            </w:pPr>
            <w:r>
              <w:rPr>
                <w:sz w:val="21"/>
              </w:rPr>
              <w:t>046</w:t>
            </w:r>
          </w:p>
        </w:tc>
      </w:tr>
      <w:tr>
        <w:tc>
          <w:tcPr>
            <w:tcW w:type="dxa" w:w="850"/>
            <w:shd w:val="clear" w:color="auto" w:fill="E8EEF5"/>
          </w:tcPr>
          <w:p>
            <w:pPr>
              <w:spacing w:after="20" w:before="20" w:line="240" w:lineRule="auto"/>
              <w:jc w:val="center"/>
            </w:pPr>
            <w:r>
              <w:rPr>
                <w:sz w:val="21"/>
              </w:rPr>
              <w:t>13.7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046</w:t>
            </w:r>
          </w:p>
        </w:tc>
      </w:tr>
      <w:tr>
        <w:tc>
          <w:tcPr>
            <w:tcW w:type="dxa" w:w="850"/>
          </w:tcPr>
          <w:p>
            <w:pPr>
              <w:spacing w:after="20" w:before="20" w:line="240" w:lineRule="auto"/>
              <w:jc w:val="center"/>
            </w:pPr>
            <w:r>
              <w:rPr>
                <w:b/>
                <w:sz w:val="21"/>
              </w:rPr>
              <w:t>14</w:t>
            </w:r>
          </w:p>
        </w:tc>
        <w:tc>
          <w:tcPr>
            <w:tcW w:type="dxa" w:w="7540"/>
          </w:tcPr>
          <w:p>
            <w:pPr>
              <w:spacing w:after="20" w:before="20" w:line="240" w:lineRule="auto"/>
              <w:jc w:val="left"/>
            </w:pPr>
            <w:r>
              <w:rPr>
                <w:b/>
                <w:sz w:val="21"/>
              </w:rPr>
              <w:t>Curriculum Design and Development (Periodic Review)</w:t>
            </w:r>
          </w:p>
        </w:tc>
        <w:tc>
          <w:tcPr>
            <w:tcW w:type="dxa" w:w="1020"/>
          </w:tcPr>
          <w:p>
            <w:pPr>
              <w:spacing w:after="20" w:before="20" w:line="240" w:lineRule="auto"/>
              <w:jc w:val="center"/>
            </w:pPr>
            <w:r>
              <w:rPr>
                <w:b/>
                <w:sz w:val="21"/>
              </w:rPr>
              <w:t>047</w:t>
            </w:r>
          </w:p>
        </w:tc>
      </w:tr>
      <w:tr>
        <w:tc>
          <w:tcPr>
            <w:tcW w:type="dxa" w:w="850"/>
            <w:shd w:val="clear" w:color="auto" w:fill="E8EEF5"/>
          </w:tcPr>
          <w:p>
            <w:pPr>
              <w:spacing w:after="20" w:before="20" w:line="240" w:lineRule="auto"/>
              <w:jc w:val="center"/>
            </w:pPr>
            <w:r>
              <w:rPr>
                <w:sz w:val="21"/>
              </w:rPr>
              <w:t>14.1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047</w:t>
            </w:r>
          </w:p>
        </w:tc>
      </w:tr>
      <w:tr>
        <w:tc>
          <w:tcPr>
            <w:tcW w:type="dxa" w:w="850"/>
          </w:tcPr>
          <w:p>
            <w:pPr>
              <w:spacing w:after="20" w:before="20" w:line="240" w:lineRule="auto"/>
              <w:jc w:val="center"/>
            </w:pPr>
            <w:r>
              <w:rPr>
                <w:sz w:val="21"/>
              </w:rPr>
              <w:t>14.2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047</w:t>
            </w:r>
          </w:p>
        </w:tc>
      </w:tr>
      <w:tr>
        <w:tc>
          <w:tcPr>
            <w:tcW w:type="dxa" w:w="850"/>
            <w:shd w:val="clear" w:color="auto" w:fill="E8EEF5"/>
          </w:tcPr>
          <w:p>
            <w:pPr>
              <w:spacing w:after="20" w:before="20" w:line="240" w:lineRule="auto"/>
              <w:jc w:val="center"/>
            </w:pPr>
            <w:r>
              <w:rPr>
                <w:sz w:val="21"/>
              </w:rPr>
              <w:t>14.3</w:t>
            </w:r>
          </w:p>
        </w:tc>
        <w:tc>
          <w:tcPr>
            <w:tcW w:type="dxa" w:w="7540"/>
            <w:shd w:val="clear" w:color="auto" w:fill="E8EEF5"/>
          </w:tcPr>
          <w:p>
            <w:pPr>
              <w:spacing w:after="20" w:before="20" w:line="240" w:lineRule="auto"/>
              <w:jc w:val="left"/>
            </w:pPr>
            <w:r>
              <w:rPr>
                <w:sz w:val="21"/>
              </w:rPr>
              <w:t>Key Components of Periodic Curriculum Review</w:t>
            </w:r>
          </w:p>
        </w:tc>
        <w:tc>
          <w:tcPr>
            <w:tcW w:type="dxa" w:w="1020"/>
            <w:shd w:val="clear" w:color="auto" w:fill="E8EEF5"/>
          </w:tcPr>
          <w:p>
            <w:pPr>
              <w:spacing w:after="20" w:before="20" w:line="240" w:lineRule="auto"/>
              <w:jc w:val="center"/>
            </w:pPr>
            <w:r>
              <w:rPr>
                <w:sz w:val="21"/>
              </w:rPr>
              <w:t>047</w:t>
            </w:r>
          </w:p>
        </w:tc>
      </w:tr>
      <w:tr>
        <w:tc>
          <w:tcPr>
            <w:tcW w:type="dxa" w:w="850"/>
          </w:tcPr>
          <w:p>
            <w:pPr>
              <w:spacing w:after="20" w:before="20" w:line="240" w:lineRule="auto"/>
              <w:jc w:val="center"/>
            </w:pPr>
            <w:r>
              <w:rPr>
                <w:sz w:val="21"/>
              </w:rPr>
              <w:t>14.4</w:t>
            </w:r>
          </w:p>
        </w:tc>
        <w:tc>
          <w:tcPr>
            <w:tcW w:type="dxa" w:w="7540"/>
          </w:tcPr>
          <w:p>
            <w:pPr>
              <w:spacing w:after="20" w:before="20" w:line="240" w:lineRule="auto"/>
              <w:jc w:val="left"/>
            </w:pPr>
            <w:r>
              <w:rPr>
                <w:sz w:val="21"/>
              </w:rPr>
              <w:t>Impact of Periodic Review</w:t>
            </w:r>
          </w:p>
        </w:tc>
        <w:tc>
          <w:tcPr>
            <w:tcW w:type="dxa" w:w="1020"/>
          </w:tcPr>
          <w:p>
            <w:pPr>
              <w:spacing w:after="20" w:before="20" w:line="240" w:lineRule="auto"/>
              <w:jc w:val="center"/>
            </w:pPr>
            <w:r>
              <w:rPr>
                <w:sz w:val="21"/>
              </w:rPr>
              <w:t>049</w:t>
            </w:r>
          </w:p>
        </w:tc>
      </w:tr>
      <w:tr>
        <w:tc>
          <w:tcPr>
            <w:tcW w:type="dxa" w:w="850"/>
            <w:shd w:val="clear" w:color="auto" w:fill="E8EEF5"/>
          </w:tcPr>
          <w:p>
            <w:pPr>
              <w:spacing w:after="20" w:before="20" w:line="240" w:lineRule="auto"/>
              <w:jc w:val="center"/>
            </w:pPr>
            <w:r>
              <w:rPr>
                <w:sz w:val="21"/>
              </w:rPr>
              <w:t>14.5</w:t>
            </w:r>
          </w:p>
        </w:tc>
        <w:tc>
          <w:tcPr>
            <w:tcW w:type="dxa" w:w="7540"/>
            <w:shd w:val="clear" w:color="auto" w:fill="E8EEF5"/>
          </w:tcPr>
          <w:p>
            <w:pPr>
              <w:spacing w:after="20" w:before="20" w:line="240" w:lineRule="auto"/>
              <w:jc w:val="left"/>
            </w:pPr>
            <w:r>
              <w:rPr>
                <w:sz w:val="21"/>
              </w:rPr>
              <w:t>Outcomes of Periodic Curriculum Review</w:t>
            </w:r>
          </w:p>
        </w:tc>
        <w:tc>
          <w:tcPr>
            <w:tcW w:type="dxa" w:w="1020"/>
            <w:shd w:val="clear" w:color="auto" w:fill="E8EEF5"/>
          </w:tcPr>
          <w:p>
            <w:pPr>
              <w:spacing w:after="20" w:before="20" w:line="240" w:lineRule="auto"/>
              <w:jc w:val="center"/>
            </w:pPr>
            <w:r>
              <w:rPr>
                <w:sz w:val="21"/>
              </w:rPr>
              <w:t>050</w:t>
            </w:r>
          </w:p>
        </w:tc>
      </w:tr>
      <w:tr>
        <w:tc>
          <w:tcPr>
            <w:tcW w:type="dxa" w:w="850"/>
          </w:tcPr>
          <w:p>
            <w:pPr>
              <w:spacing w:after="20" w:before="20" w:line="240" w:lineRule="auto"/>
              <w:jc w:val="center"/>
            </w:pPr>
            <w:r>
              <w:rPr>
                <w:sz w:val="21"/>
              </w:rPr>
              <w:t>14.6</w:t>
            </w:r>
          </w:p>
        </w:tc>
        <w:tc>
          <w:tcPr>
            <w:tcW w:type="dxa" w:w="7540"/>
          </w:tcPr>
          <w:p>
            <w:pPr>
              <w:spacing w:after="20" w:before="20" w:line="240" w:lineRule="auto"/>
              <w:jc w:val="left"/>
            </w:pPr>
            <w:r>
              <w:rPr>
                <w:sz w:val="21"/>
              </w:rPr>
              <w:t>Challenges and Solutions in Periodic Curriculum Review</w:t>
            </w:r>
          </w:p>
        </w:tc>
        <w:tc>
          <w:tcPr>
            <w:tcW w:type="dxa" w:w="1020"/>
          </w:tcPr>
          <w:p>
            <w:pPr>
              <w:spacing w:after="20" w:before="20" w:line="240" w:lineRule="auto"/>
              <w:jc w:val="center"/>
            </w:pPr>
            <w:r>
              <w:rPr>
                <w:sz w:val="21"/>
              </w:rPr>
              <w:t>051</w:t>
            </w:r>
          </w:p>
        </w:tc>
      </w:tr>
      <w:tr>
        <w:tc>
          <w:tcPr>
            <w:tcW w:type="dxa" w:w="850"/>
            <w:shd w:val="clear" w:color="auto" w:fill="E8EEF5"/>
          </w:tcPr>
          <w:p>
            <w:pPr>
              <w:spacing w:after="20" w:before="20" w:line="240" w:lineRule="auto"/>
              <w:jc w:val="center"/>
            </w:pPr>
            <w:r>
              <w:rPr>
                <w:sz w:val="21"/>
              </w:rPr>
              <w:t>14.7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051</w:t>
            </w:r>
          </w:p>
        </w:tc>
      </w:tr>
      <w:tr>
        <w:tc>
          <w:tcPr>
            <w:tcW w:type="dxa" w:w="850"/>
          </w:tcPr>
          <w:p>
            <w:pPr>
              <w:spacing w:after="20" w:before="20" w:line="240" w:lineRule="auto"/>
              <w:jc w:val="center"/>
            </w:pPr>
            <w:r>
              <w:rPr>
                <w:b/>
                <w:sz w:val="21"/>
              </w:rPr>
              <w:t>15</w:t>
            </w:r>
          </w:p>
        </w:tc>
        <w:tc>
          <w:tcPr>
            <w:tcW w:type="dxa" w:w="7540"/>
          </w:tcPr>
          <w:p>
            <w:pPr>
              <w:spacing w:after="20" w:before="20" w:line="240" w:lineRule="auto"/>
              <w:jc w:val="left"/>
            </w:pPr>
            <w:r>
              <w:rPr>
                <w:b/>
                <w:sz w:val="21"/>
              </w:rPr>
              <w:t>Curriculum Design and Development (Feedback Mechanism)</w:t>
            </w:r>
          </w:p>
        </w:tc>
        <w:tc>
          <w:tcPr>
            <w:tcW w:type="dxa" w:w="1020"/>
          </w:tcPr>
          <w:p>
            <w:pPr>
              <w:spacing w:after="20" w:before="20" w:line="240" w:lineRule="auto"/>
              <w:jc w:val="center"/>
            </w:pPr>
            <w:r>
              <w:rPr>
                <w:b/>
                <w:sz w:val="21"/>
              </w:rPr>
              <w:t>052</w:t>
            </w:r>
          </w:p>
        </w:tc>
      </w:tr>
      <w:tr>
        <w:tc>
          <w:tcPr>
            <w:tcW w:type="dxa" w:w="850"/>
            <w:shd w:val="clear" w:color="auto" w:fill="E8EEF5"/>
          </w:tcPr>
          <w:p>
            <w:pPr>
              <w:spacing w:after="20" w:before="20" w:line="240" w:lineRule="auto"/>
              <w:jc w:val="center"/>
            </w:pPr>
            <w:r>
              <w:rPr>
                <w:sz w:val="21"/>
              </w:rPr>
              <w:t>15.1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052</w:t>
            </w:r>
          </w:p>
        </w:tc>
      </w:tr>
      <w:tr>
        <w:tc>
          <w:tcPr>
            <w:tcW w:type="dxa" w:w="850"/>
          </w:tcPr>
          <w:p>
            <w:pPr>
              <w:spacing w:after="20" w:before="20" w:line="240" w:lineRule="auto"/>
              <w:jc w:val="center"/>
            </w:pPr>
            <w:r>
              <w:rPr>
                <w:sz w:val="21"/>
              </w:rPr>
              <w:t>15.2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052</w:t>
            </w:r>
          </w:p>
        </w:tc>
      </w:tr>
      <w:tr>
        <w:tc>
          <w:tcPr>
            <w:tcW w:type="dxa" w:w="850"/>
            <w:shd w:val="clear" w:color="auto" w:fill="E8EEF5"/>
          </w:tcPr>
          <w:p>
            <w:pPr>
              <w:spacing w:after="20" w:before="20" w:line="240" w:lineRule="auto"/>
              <w:jc w:val="center"/>
            </w:pPr>
            <w:r>
              <w:rPr>
                <w:sz w:val="21"/>
              </w:rPr>
              <w:t>15.3</w:t>
            </w:r>
          </w:p>
        </w:tc>
        <w:tc>
          <w:tcPr>
            <w:tcW w:type="dxa" w:w="7540"/>
            <w:shd w:val="clear" w:color="auto" w:fill="E8EEF5"/>
          </w:tcPr>
          <w:p>
            <w:pPr>
              <w:spacing w:after="20" w:before="20" w:line="240" w:lineRule="auto"/>
              <w:jc w:val="left"/>
            </w:pPr>
            <w:r>
              <w:rPr>
                <w:sz w:val="21"/>
              </w:rPr>
              <w:t>Key Components of a Feedback Mechanism in Curriculum Design and Development</w:t>
            </w:r>
          </w:p>
        </w:tc>
        <w:tc>
          <w:tcPr>
            <w:tcW w:type="dxa" w:w="1020"/>
            <w:shd w:val="clear" w:color="auto" w:fill="E8EEF5"/>
          </w:tcPr>
          <w:p>
            <w:pPr>
              <w:spacing w:after="20" w:before="20" w:line="240" w:lineRule="auto"/>
              <w:jc w:val="center"/>
            </w:pPr>
            <w:r>
              <w:rPr>
                <w:sz w:val="21"/>
              </w:rPr>
              <w:t>052</w:t>
            </w:r>
          </w:p>
        </w:tc>
      </w:tr>
      <w:tr>
        <w:tc>
          <w:tcPr>
            <w:tcW w:type="dxa" w:w="850"/>
          </w:tcPr>
          <w:p>
            <w:pPr>
              <w:spacing w:after="20" w:before="20" w:line="240" w:lineRule="auto"/>
              <w:jc w:val="center"/>
            </w:pPr>
            <w:r>
              <w:rPr>
                <w:sz w:val="21"/>
              </w:rPr>
              <w:t>15.4</w:t>
            </w:r>
          </w:p>
        </w:tc>
        <w:tc>
          <w:tcPr>
            <w:tcW w:type="dxa" w:w="7540"/>
          </w:tcPr>
          <w:p>
            <w:pPr>
              <w:spacing w:after="20" w:before="20" w:line="240" w:lineRule="auto"/>
              <w:jc w:val="left"/>
            </w:pPr>
            <w:r>
              <w:rPr>
                <w:sz w:val="21"/>
              </w:rPr>
              <w:t>Impact of Feedback Mechanism</w:t>
            </w:r>
          </w:p>
        </w:tc>
        <w:tc>
          <w:tcPr>
            <w:tcW w:type="dxa" w:w="1020"/>
          </w:tcPr>
          <w:p>
            <w:pPr>
              <w:spacing w:after="20" w:before="20" w:line="240" w:lineRule="auto"/>
              <w:jc w:val="center"/>
            </w:pPr>
            <w:r>
              <w:rPr>
                <w:sz w:val="21"/>
              </w:rPr>
              <w:t>054</w:t>
            </w:r>
          </w:p>
        </w:tc>
      </w:tr>
      <w:tr>
        <w:tc>
          <w:tcPr>
            <w:tcW w:type="dxa" w:w="850"/>
            <w:shd w:val="clear" w:color="auto" w:fill="E8EEF5"/>
          </w:tcPr>
          <w:p>
            <w:pPr>
              <w:spacing w:after="20" w:before="20" w:line="240" w:lineRule="auto"/>
              <w:jc w:val="center"/>
            </w:pPr>
            <w:r>
              <w:rPr>
                <w:sz w:val="21"/>
              </w:rPr>
              <w:t>15.5</w:t>
            </w:r>
          </w:p>
        </w:tc>
        <w:tc>
          <w:tcPr>
            <w:tcW w:type="dxa" w:w="7540"/>
            <w:shd w:val="clear" w:color="auto" w:fill="E8EEF5"/>
          </w:tcPr>
          <w:p>
            <w:pPr>
              <w:spacing w:after="20" w:before="20" w:line="240" w:lineRule="auto"/>
              <w:jc w:val="left"/>
            </w:pPr>
            <w:r>
              <w:rPr>
                <w:sz w:val="21"/>
              </w:rPr>
              <w:t>Outcomes of Implementing an Effective Feedback Mechanism</w:t>
            </w:r>
          </w:p>
        </w:tc>
        <w:tc>
          <w:tcPr>
            <w:tcW w:type="dxa" w:w="1020"/>
            <w:shd w:val="clear" w:color="auto" w:fill="E8EEF5"/>
          </w:tcPr>
          <w:p>
            <w:pPr>
              <w:spacing w:after="20" w:before="20" w:line="240" w:lineRule="auto"/>
              <w:jc w:val="center"/>
            </w:pPr>
            <w:r>
              <w:rPr>
                <w:sz w:val="21"/>
              </w:rPr>
              <w:t>055</w:t>
            </w:r>
          </w:p>
        </w:tc>
      </w:tr>
      <w:tr>
        <w:tc>
          <w:tcPr>
            <w:tcW w:type="dxa" w:w="850"/>
          </w:tcPr>
          <w:p>
            <w:pPr>
              <w:spacing w:after="20" w:before="20" w:line="240" w:lineRule="auto"/>
              <w:jc w:val="center"/>
            </w:pPr>
            <w:r>
              <w:rPr>
                <w:sz w:val="21"/>
              </w:rPr>
              <w:t>15.6</w:t>
            </w:r>
          </w:p>
        </w:tc>
        <w:tc>
          <w:tcPr>
            <w:tcW w:type="dxa" w:w="7540"/>
          </w:tcPr>
          <w:p>
            <w:pPr>
              <w:spacing w:after="20" w:before="20" w:line="240" w:lineRule="auto"/>
              <w:jc w:val="left"/>
            </w:pPr>
            <w:r>
              <w:rPr>
                <w:sz w:val="21"/>
              </w:rPr>
              <w:t>Challenges and Solutions in Implementing a Feedback Mechanism</w:t>
            </w:r>
          </w:p>
        </w:tc>
        <w:tc>
          <w:tcPr>
            <w:tcW w:type="dxa" w:w="1020"/>
          </w:tcPr>
          <w:p>
            <w:pPr>
              <w:spacing w:after="20" w:before="20" w:line="240" w:lineRule="auto"/>
              <w:jc w:val="center"/>
            </w:pPr>
            <w:r>
              <w:rPr>
                <w:sz w:val="21"/>
              </w:rPr>
              <w:t>055</w:t>
            </w:r>
          </w:p>
        </w:tc>
      </w:tr>
      <w:tr>
        <w:tc>
          <w:tcPr>
            <w:tcW w:type="dxa" w:w="850"/>
            <w:shd w:val="clear" w:color="auto" w:fill="E8EEF5"/>
          </w:tcPr>
          <w:p>
            <w:pPr>
              <w:spacing w:after="20" w:before="20" w:line="240" w:lineRule="auto"/>
              <w:jc w:val="center"/>
            </w:pPr>
            <w:r>
              <w:rPr>
                <w:sz w:val="21"/>
              </w:rPr>
              <w:t>15.7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056</w:t>
            </w:r>
          </w:p>
        </w:tc>
      </w:tr>
      <w:tr>
        <w:tc>
          <w:tcPr>
            <w:tcW w:type="dxa" w:w="850"/>
          </w:tcPr>
          <w:p>
            <w:pPr>
              <w:spacing w:after="20" w:before="20" w:line="240" w:lineRule="auto"/>
              <w:jc w:val="center"/>
            </w:pPr>
            <w:r>
              <w:rPr>
                <w:b/>
                <w:sz w:val="21"/>
              </w:rPr>
              <w:t>16</w:t>
            </w:r>
          </w:p>
        </w:tc>
        <w:tc>
          <w:tcPr>
            <w:tcW w:type="dxa" w:w="7540"/>
          </w:tcPr>
          <w:p>
            <w:pPr>
              <w:spacing w:after="20" w:before="20" w:line="240" w:lineRule="auto"/>
              <w:jc w:val="left"/>
            </w:pPr>
            <w:r>
              <w:rPr>
                <w:b/>
                <w:sz w:val="21"/>
              </w:rPr>
              <w:t>Field Project for Field Practicum in Social Work</w:t>
            </w:r>
          </w:p>
        </w:tc>
        <w:tc>
          <w:tcPr>
            <w:tcW w:type="dxa" w:w="1020"/>
          </w:tcPr>
          <w:p>
            <w:pPr>
              <w:spacing w:after="20" w:before="20" w:line="240" w:lineRule="auto"/>
              <w:jc w:val="center"/>
            </w:pPr>
            <w:r>
              <w:rPr>
                <w:b/>
                <w:sz w:val="21"/>
              </w:rPr>
              <w:t>057</w:t>
            </w:r>
          </w:p>
        </w:tc>
      </w:tr>
      <w:tr>
        <w:tc>
          <w:tcPr>
            <w:tcW w:type="dxa" w:w="850"/>
            <w:shd w:val="clear" w:color="auto" w:fill="E8EEF5"/>
          </w:tcPr>
          <w:p>
            <w:pPr>
              <w:spacing w:after="20" w:before="20" w:line="240" w:lineRule="auto"/>
              <w:jc w:val="center"/>
            </w:pPr>
            <w:r>
              <w:rPr>
                <w:sz w:val="21"/>
              </w:rPr>
              <w:t>16.1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057</w:t>
            </w:r>
          </w:p>
        </w:tc>
      </w:tr>
      <w:tr>
        <w:tc>
          <w:tcPr>
            <w:tcW w:type="dxa" w:w="850"/>
          </w:tcPr>
          <w:p>
            <w:pPr>
              <w:spacing w:after="20" w:before="20" w:line="240" w:lineRule="auto"/>
              <w:jc w:val="center"/>
            </w:pPr>
            <w:r>
              <w:rPr>
                <w:sz w:val="21"/>
              </w:rPr>
              <w:t>16.2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057</w:t>
            </w:r>
          </w:p>
        </w:tc>
      </w:tr>
      <w:tr>
        <w:tc>
          <w:tcPr>
            <w:tcW w:type="dxa" w:w="850"/>
            <w:shd w:val="clear" w:color="auto" w:fill="E8EEF5"/>
          </w:tcPr>
          <w:p>
            <w:pPr>
              <w:spacing w:after="20" w:before="20" w:line="240" w:lineRule="auto"/>
              <w:jc w:val="center"/>
            </w:pPr>
            <w:r>
              <w:rPr>
                <w:sz w:val="21"/>
              </w:rPr>
              <w:t>16.3</w:t>
            </w:r>
          </w:p>
        </w:tc>
        <w:tc>
          <w:tcPr>
            <w:tcW w:type="dxa" w:w="7540"/>
            <w:shd w:val="clear" w:color="auto" w:fill="E8EEF5"/>
          </w:tcPr>
          <w:p>
            <w:pPr>
              <w:spacing w:after="20" w:before="20" w:line="240" w:lineRule="auto"/>
              <w:jc w:val="left"/>
            </w:pPr>
            <w:r>
              <w:rPr>
                <w:sz w:val="21"/>
              </w:rPr>
              <w:t>Key Components of the Field Project in Social Work</w:t>
            </w:r>
          </w:p>
        </w:tc>
        <w:tc>
          <w:tcPr>
            <w:tcW w:type="dxa" w:w="1020"/>
            <w:shd w:val="clear" w:color="auto" w:fill="E8EEF5"/>
          </w:tcPr>
          <w:p>
            <w:pPr>
              <w:spacing w:after="20" w:before="20" w:line="240" w:lineRule="auto"/>
              <w:jc w:val="center"/>
            </w:pPr>
            <w:r>
              <w:rPr>
                <w:sz w:val="21"/>
              </w:rPr>
              <w:t>057</w:t>
            </w:r>
          </w:p>
        </w:tc>
      </w:tr>
      <w:tr>
        <w:tc>
          <w:tcPr>
            <w:tcW w:type="dxa" w:w="850"/>
          </w:tcPr>
          <w:p>
            <w:pPr>
              <w:spacing w:after="20" w:before="20" w:line="240" w:lineRule="auto"/>
              <w:jc w:val="center"/>
            </w:pPr>
            <w:r>
              <w:rPr>
                <w:sz w:val="21"/>
              </w:rPr>
              <w:t>16.4</w:t>
            </w:r>
          </w:p>
        </w:tc>
        <w:tc>
          <w:tcPr>
            <w:tcW w:type="dxa" w:w="7540"/>
          </w:tcPr>
          <w:p>
            <w:pPr>
              <w:spacing w:after="20" w:before="20" w:line="240" w:lineRule="auto"/>
              <w:jc w:val="left"/>
            </w:pPr>
            <w:r>
              <w:rPr>
                <w:sz w:val="21"/>
              </w:rPr>
              <w:t>Field Project Design and Structure</w:t>
            </w:r>
          </w:p>
        </w:tc>
        <w:tc>
          <w:tcPr>
            <w:tcW w:type="dxa" w:w="1020"/>
          </w:tcPr>
          <w:p>
            <w:pPr>
              <w:spacing w:after="20" w:before="20" w:line="240" w:lineRule="auto"/>
              <w:jc w:val="center"/>
            </w:pPr>
            <w:r>
              <w:rPr>
                <w:sz w:val="21"/>
              </w:rPr>
              <w:t>059</w:t>
            </w:r>
          </w:p>
        </w:tc>
      </w:tr>
      <w:tr>
        <w:tc>
          <w:tcPr>
            <w:tcW w:type="dxa" w:w="850"/>
            <w:shd w:val="clear" w:color="auto" w:fill="E8EEF5"/>
          </w:tcPr>
          <w:p>
            <w:pPr>
              <w:spacing w:after="20" w:before="20" w:line="240" w:lineRule="auto"/>
              <w:jc w:val="center"/>
            </w:pPr>
            <w:r>
              <w:rPr>
                <w:sz w:val="21"/>
              </w:rPr>
              <w:t>16.5</w:t>
            </w:r>
          </w:p>
        </w:tc>
        <w:tc>
          <w:tcPr>
            <w:tcW w:type="dxa" w:w="7540"/>
            <w:shd w:val="clear" w:color="auto" w:fill="E8EEF5"/>
          </w:tcPr>
          <w:p>
            <w:pPr>
              <w:spacing w:after="20" w:before="20" w:line="240" w:lineRule="auto"/>
              <w:jc w:val="left"/>
            </w:pPr>
            <w:r>
              <w:rPr>
                <w:sz w:val="21"/>
              </w:rPr>
              <w:t>Impact of the Field Practicum in Social Work</w:t>
            </w:r>
          </w:p>
        </w:tc>
        <w:tc>
          <w:tcPr>
            <w:tcW w:type="dxa" w:w="1020"/>
            <w:shd w:val="clear" w:color="auto" w:fill="E8EEF5"/>
          </w:tcPr>
          <w:p>
            <w:pPr>
              <w:spacing w:after="20" w:before="20" w:line="240" w:lineRule="auto"/>
              <w:jc w:val="center"/>
            </w:pPr>
            <w:r>
              <w:rPr>
                <w:sz w:val="21"/>
              </w:rPr>
              <w:t>059</w:t>
            </w:r>
          </w:p>
        </w:tc>
      </w:tr>
      <w:tr>
        <w:tc>
          <w:tcPr>
            <w:tcW w:type="dxa" w:w="850"/>
          </w:tcPr>
          <w:p>
            <w:pPr>
              <w:spacing w:after="20" w:before="20" w:line="240" w:lineRule="auto"/>
              <w:jc w:val="center"/>
            </w:pPr>
            <w:r>
              <w:rPr>
                <w:sz w:val="21"/>
              </w:rPr>
              <w:t>16.6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060</w:t>
            </w:r>
          </w:p>
        </w:tc>
      </w:tr>
      <w:tr>
        <w:tc>
          <w:tcPr>
            <w:tcW w:type="dxa" w:w="850"/>
            <w:shd w:val="clear" w:color="auto" w:fill="E8EEF5"/>
          </w:tcPr>
          <w:p>
            <w:pPr>
              <w:spacing w:after="20" w:before="20" w:line="240" w:lineRule="auto"/>
              <w:jc w:val="center"/>
            </w:pPr>
            <w:r>
              <w:rPr>
                <w:b/>
                <w:sz w:val="21"/>
              </w:rPr>
              <w:t>17</w:t>
            </w:r>
          </w:p>
        </w:tc>
        <w:tc>
          <w:tcPr>
            <w:tcW w:type="dxa" w:w="7540"/>
            <w:shd w:val="clear" w:color="auto" w:fill="E8EEF5"/>
          </w:tcPr>
          <w:p>
            <w:pPr>
              <w:spacing w:after="20" w:before="20" w:line="240" w:lineRule="auto"/>
              <w:jc w:val="left"/>
            </w:pPr>
            <w:r>
              <w:rPr>
                <w:b/>
                <w:sz w:val="21"/>
              </w:rPr>
              <w:t>Curricular Internalization of Values</w:t>
            </w:r>
          </w:p>
        </w:tc>
        <w:tc>
          <w:tcPr>
            <w:tcW w:type="dxa" w:w="1020"/>
            <w:shd w:val="clear" w:color="auto" w:fill="E8EEF5"/>
          </w:tcPr>
          <w:p>
            <w:pPr>
              <w:spacing w:after="20" w:before="20" w:line="240" w:lineRule="auto"/>
              <w:jc w:val="center"/>
            </w:pPr>
            <w:r>
              <w:rPr>
                <w:b/>
                <w:sz w:val="21"/>
              </w:rPr>
              <w:t>061</w:t>
            </w:r>
          </w:p>
        </w:tc>
      </w:tr>
      <w:tr>
        <w:tc>
          <w:tcPr>
            <w:tcW w:type="dxa" w:w="850"/>
          </w:tcPr>
          <w:p>
            <w:pPr>
              <w:spacing w:after="20" w:before="20" w:line="240" w:lineRule="auto"/>
              <w:jc w:val="center"/>
            </w:pPr>
            <w:r>
              <w:rPr>
                <w:sz w:val="21"/>
              </w:rPr>
              <w:t>17.1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061</w:t>
            </w:r>
          </w:p>
        </w:tc>
      </w:tr>
      <w:tr>
        <w:tc>
          <w:tcPr>
            <w:tcW w:type="dxa" w:w="850"/>
            <w:shd w:val="clear" w:color="auto" w:fill="E8EEF5"/>
          </w:tcPr>
          <w:p>
            <w:pPr>
              <w:spacing w:after="20" w:before="20" w:line="240" w:lineRule="auto"/>
              <w:jc w:val="center"/>
            </w:pPr>
            <w:r>
              <w:rPr>
                <w:sz w:val="21"/>
              </w:rPr>
              <w:t>17.2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061</w:t>
            </w:r>
          </w:p>
        </w:tc>
      </w:tr>
      <w:tr>
        <w:tc>
          <w:tcPr>
            <w:tcW w:type="dxa" w:w="850"/>
          </w:tcPr>
          <w:p>
            <w:pPr>
              <w:spacing w:after="20" w:before="20" w:line="240" w:lineRule="auto"/>
              <w:jc w:val="center"/>
            </w:pPr>
            <w:r>
              <w:rPr>
                <w:sz w:val="21"/>
              </w:rPr>
              <w:t>17.3</w:t>
            </w:r>
          </w:p>
        </w:tc>
        <w:tc>
          <w:tcPr>
            <w:tcW w:type="dxa" w:w="7540"/>
          </w:tcPr>
          <w:p>
            <w:pPr>
              <w:spacing w:after="20" w:before="20" w:line="240" w:lineRule="auto"/>
              <w:jc w:val="left"/>
            </w:pPr>
            <w:r>
              <w:rPr>
                <w:sz w:val="21"/>
              </w:rPr>
              <w:t>Key Components of Curricular Internalization of Values</w:t>
            </w:r>
          </w:p>
        </w:tc>
        <w:tc>
          <w:tcPr>
            <w:tcW w:type="dxa" w:w="1020"/>
          </w:tcPr>
          <w:p>
            <w:pPr>
              <w:spacing w:after="20" w:before="20" w:line="240" w:lineRule="auto"/>
              <w:jc w:val="center"/>
            </w:pPr>
            <w:r>
              <w:rPr>
                <w:sz w:val="21"/>
              </w:rPr>
              <w:t>061</w:t>
            </w:r>
          </w:p>
        </w:tc>
      </w:tr>
      <w:tr>
        <w:tc>
          <w:tcPr>
            <w:tcW w:type="dxa" w:w="850"/>
            <w:shd w:val="clear" w:color="auto" w:fill="E8EEF5"/>
          </w:tcPr>
          <w:p>
            <w:pPr>
              <w:spacing w:after="20" w:before="20" w:line="240" w:lineRule="auto"/>
              <w:jc w:val="center"/>
            </w:pPr>
            <w:r>
              <w:rPr>
                <w:sz w:val="21"/>
              </w:rPr>
              <w:t>17.4</w:t>
            </w:r>
          </w:p>
        </w:tc>
        <w:tc>
          <w:tcPr>
            <w:tcW w:type="dxa" w:w="7540"/>
            <w:shd w:val="clear" w:color="auto" w:fill="E8EEF5"/>
          </w:tcPr>
          <w:p>
            <w:pPr>
              <w:spacing w:after="20" w:before="20" w:line="240" w:lineRule="auto"/>
              <w:jc w:val="left"/>
            </w:pPr>
            <w:r>
              <w:rPr>
                <w:sz w:val="21"/>
              </w:rPr>
              <w:t>Impact of Curricular Internalization of Values</w:t>
            </w:r>
          </w:p>
        </w:tc>
        <w:tc>
          <w:tcPr>
            <w:tcW w:type="dxa" w:w="1020"/>
            <w:shd w:val="clear" w:color="auto" w:fill="E8EEF5"/>
          </w:tcPr>
          <w:p>
            <w:pPr>
              <w:spacing w:after="20" w:before="20" w:line="240" w:lineRule="auto"/>
              <w:jc w:val="center"/>
            </w:pPr>
            <w:r>
              <w:rPr>
                <w:sz w:val="21"/>
              </w:rPr>
              <w:t>063</w:t>
            </w:r>
          </w:p>
        </w:tc>
      </w:tr>
      <w:tr>
        <w:tc>
          <w:tcPr>
            <w:tcW w:type="dxa" w:w="850"/>
          </w:tcPr>
          <w:p>
            <w:pPr>
              <w:spacing w:after="20" w:before="20" w:line="240" w:lineRule="auto"/>
              <w:jc w:val="center"/>
            </w:pPr>
            <w:r>
              <w:rPr>
                <w:sz w:val="21"/>
              </w:rPr>
              <w:t>17.5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064</w:t>
            </w:r>
          </w:p>
        </w:tc>
      </w:tr>
      <w:tr>
        <w:tc>
          <w:tcPr>
            <w:tcW w:type="dxa" w:w="850"/>
            <w:shd w:val="clear" w:color="auto" w:fill="E8EEF5"/>
          </w:tcPr>
          <w:p>
            <w:pPr>
              <w:spacing w:after="20" w:before="20" w:line="240" w:lineRule="auto"/>
              <w:jc w:val="center"/>
            </w:pPr>
            <w:r>
              <w:rPr>
                <w:b/>
                <w:sz w:val="21"/>
              </w:rPr>
              <w:t>18</w:t>
            </w:r>
          </w:p>
        </w:tc>
        <w:tc>
          <w:tcPr>
            <w:tcW w:type="dxa" w:w="7540"/>
            <w:shd w:val="clear" w:color="auto" w:fill="E8EEF5"/>
          </w:tcPr>
          <w:p>
            <w:pPr>
              <w:spacing w:after="20" w:before="20" w:line="240" w:lineRule="auto"/>
              <w:jc w:val="left"/>
            </w:pPr>
            <w:r>
              <w:rPr>
                <w:b/>
                <w:sz w:val="21"/>
              </w:rPr>
              <w:t>Credit Based Honours Programme</w:t>
            </w:r>
          </w:p>
        </w:tc>
        <w:tc>
          <w:tcPr>
            <w:tcW w:type="dxa" w:w="1020"/>
            <w:shd w:val="clear" w:color="auto" w:fill="E8EEF5"/>
          </w:tcPr>
          <w:p>
            <w:pPr>
              <w:spacing w:after="20" w:before="20" w:line="240" w:lineRule="auto"/>
              <w:jc w:val="center"/>
            </w:pPr>
            <w:r>
              <w:rPr>
                <w:b/>
                <w:sz w:val="21"/>
              </w:rPr>
              <w:t>065</w:t>
            </w:r>
          </w:p>
        </w:tc>
      </w:tr>
      <w:tr>
        <w:tc>
          <w:tcPr>
            <w:tcW w:type="dxa" w:w="850"/>
          </w:tcPr>
          <w:p>
            <w:pPr>
              <w:spacing w:after="20" w:before="20" w:line="240" w:lineRule="auto"/>
              <w:jc w:val="center"/>
            </w:pPr>
            <w:r>
              <w:rPr>
                <w:sz w:val="21"/>
              </w:rPr>
              <w:t>18.1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065</w:t>
            </w:r>
          </w:p>
        </w:tc>
      </w:tr>
      <w:tr>
        <w:tc>
          <w:tcPr>
            <w:tcW w:type="dxa" w:w="850"/>
            <w:shd w:val="clear" w:color="auto" w:fill="E8EEF5"/>
          </w:tcPr>
          <w:p>
            <w:pPr>
              <w:spacing w:after="20" w:before="20" w:line="240" w:lineRule="auto"/>
              <w:jc w:val="center"/>
            </w:pPr>
            <w:r>
              <w:rPr>
                <w:sz w:val="21"/>
              </w:rPr>
              <w:t>18.3</w:t>
            </w:r>
          </w:p>
        </w:tc>
        <w:tc>
          <w:tcPr>
            <w:tcW w:type="dxa" w:w="7540"/>
            <w:shd w:val="clear" w:color="auto" w:fill="E8EEF5"/>
          </w:tcPr>
          <w:p>
            <w:pPr>
              <w:spacing w:after="20" w:before="20" w:line="240" w:lineRule="auto"/>
              <w:jc w:val="left"/>
            </w:pPr>
            <w:r>
              <w:rPr>
                <w:sz w:val="21"/>
              </w:rPr>
              <w:t>Key Components of the Credit-Based Honours Programme</w:t>
            </w:r>
          </w:p>
        </w:tc>
        <w:tc>
          <w:tcPr>
            <w:tcW w:type="dxa" w:w="1020"/>
            <w:shd w:val="clear" w:color="auto" w:fill="E8EEF5"/>
          </w:tcPr>
          <w:p>
            <w:pPr>
              <w:spacing w:after="20" w:before="20" w:line="240" w:lineRule="auto"/>
              <w:jc w:val="center"/>
            </w:pPr>
            <w:r>
              <w:rPr>
                <w:sz w:val="21"/>
              </w:rPr>
              <w:t>065</w:t>
            </w:r>
          </w:p>
        </w:tc>
      </w:tr>
      <w:tr>
        <w:tc>
          <w:tcPr>
            <w:tcW w:type="dxa" w:w="850"/>
          </w:tcPr>
          <w:p>
            <w:pPr>
              <w:spacing w:after="20" w:before="20" w:line="240" w:lineRule="auto"/>
              <w:jc w:val="center"/>
            </w:pPr>
            <w:r>
              <w:rPr>
                <w:sz w:val="21"/>
              </w:rPr>
              <w:t>18.4</w:t>
            </w:r>
          </w:p>
        </w:tc>
        <w:tc>
          <w:tcPr>
            <w:tcW w:type="dxa" w:w="7540"/>
          </w:tcPr>
          <w:p>
            <w:pPr>
              <w:spacing w:after="20" w:before="20" w:line="240" w:lineRule="auto"/>
              <w:jc w:val="left"/>
            </w:pPr>
            <w:r>
              <w:rPr>
                <w:sz w:val="21"/>
              </w:rPr>
              <w:t>Impact of the Credit-Based Honours Programme</w:t>
            </w:r>
          </w:p>
        </w:tc>
        <w:tc>
          <w:tcPr>
            <w:tcW w:type="dxa" w:w="1020"/>
          </w:tcPr>
          <w:p>
            <w:pPr>
              <w:spacing w:after="20" w:before="20" w:line="240" w:lineRule="auto"/>
              <w:jc w:val="center"/>
            </w:pPr>
            <w:r>
              <w:rPr>
                <w:sz w:val="21"/>
              </w:rPr>
              <w:t>067</w:t>
            </w:r>
          </w:p>
        </w:tc>
      </w:tr>
      <w:tr>
        <w:tc>
          <w:tcPr>
            <w:tcW w:type="dxa" w:w="850"/>
            <w:shd w:val="clear" w:color="auto" w:fill="E8EEF5"/>
          </w:tcPr>
          <w:p>
            <w:pPr>
              <w:spacing w:after="20" w:before="20" w:line="240" w:lineRule="auto"/>
              <w:jc w:val="center"/>
            </w:pPr>
            <w:r>
              <w:rPr>
                <w:sz w:val="21"/>
              </w:rPr>
              <w:t>18.5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068</w:t>
            </w:r>
          </w:p>
        </w:tc>
      </w:tr>
      <w:tr>
        <w:tc>
          <w:tcPr>
            <w:tcW w:type="dxa" w:w="850"/>
          </w:tcPr>
          <w:p>
            <w:pPr>
              <w:spacing w:after="20" w:before="20" w:line="240" w:lineRule="auto"/>
              <w:jc w:val="center"/>
            </w:pPr>
            <w:r>
              <w:rPr>
                <w:b/>
                <w:sz w:val="21"/>
              </w:rPr>
              <w:t>19</w:t>
            </w:r>
          </w:p>
        </w:tc>
        <w:tc>
          <w:tcPr>
            <w:tcW w:type="dxa" w:w="7540"/>
          </w:tcPr>
          <w:p>
            <w:pPr>
              <w:spacing w:after="20" w:before="20" w:line="240" w:lineRule="auto"/>
              <w:jc w:val="left"/>
            </w:pPr>
            <w:r>
              <w:rPr>
                <w:b/>
                <w:sz w:val="21"/>
              </w:rPr>
              <w:t>Industrial Presence on Campus vis-a-vis Academic Presence in Industry</w:t>
            </w:r>
          </w:p>
        </w:tc>
        <w:tc>
          <w:tcPr>
            <w:tcW w:type="dxa" w:w="1020"/>
          </w:tcPr>
          <w:p>
            <w:pPr>
              <w:spacing w:after="20" w:before="20" w:line="240" w:lineRule="auto"/>
              <w:jc w:val="center"/>
            </w:pPr>
            <w:r>
              <w:rPr>
                <w:b/>
                <w:sz w:val="21"/>
              </w:rPr>
              <w:t>069</w:t>
            </w:r>
          </w:p>
        </w:tc>
      </w:tr>
      <w:tr>
        <w:tc>
          <w:tcPr>
            <w:tcW w:type="dxa" w:w="850"/>
            <w:shd w:val="clear" w:color="auto" w:fill="E8EEF5"/>
          </w:tcPr>
          <w:p>
            <w:pPr>
              <w:spacing w:after="20" w:before="20" w:line="240" w:lineRule="auto"/>
              <w:jc w:val="center"/>
            </w:pPr>
            <w:r>
              <w:rPr>
                <w:sz w:val="21"/>
              </w:rPr>
              <w:t>19.1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069</w:t>
            </w:r>
          </w:p>
        </w:tc>
      </w:tr>
      <w:tr>
        <w:tc>
          <w:tcPr>
            <w:tcW w:type="dxa" w:w="850"/>
          </w:tcPr>
          <w:p>
            <w:pPr>
              <w:spacing w:after="20" w:before="20" w:line="240" w:lineRule="auto"/>
              <w:jc w:val="center"/>
            </w:pPr>
            <w:r>
              <w:rPr>
                <w:sz w:val="21"/>
              </w:rPr>
              <w:t>19.2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069</w:t>
            </w:r>
          </w:p>
        </w:tc>
      </w:tr>
      <w:tr>
        <w:tc>
          <w:tcPr>
            <w:tcW w:type="dxa" w:w="850"/>
            <w:shd w:val="clear" w:color="auto" w:fill="E8EEF5"/>
          </w:tcPr>
          <w:p>
            <w:pPr>
              <w:spacing w:after="20" w:before="20" w:line="240" w:lineRule="auto"/>
              <w:jc w:val="center"/>
            </w:pPr>
            <w:r>
              <w:rPr>
                <w:sz w:val="21"/>
              </w:rPr>
              <w:t>19.3</w:t>
            </w:r>
          </w:p>
        </w:tc>
        <w:tc>
          <w:tcPr>
            <w:tcW w:type="dxa" w:w="7540"/>
            <w:shd w:val="clear" w:color="auto" w:fill="E8EEF5"/>
          </w:tcPr>
          <w:p>
            <w:pPr>
              <w:spacing w:after="20" w:before="20" w:line="240" w:lineRule="auto"/>
              <w:jc w:val="left"/>
            </w:pPr>
            <w:r>
              <w:rPr>
                <w:sz w:val="21"/>
              </w:rPr>
              <w:t>Key Components of Industrial Presence on Campus and Academic Presence in Industry</w:t>
            </w:r>
          </w:p>
        </w:tc>
        <w:tc>
          <w:tcPr>
            <w:tcW w:type="dxa" w:w="1020"/>
            <w:shd w:val="clear" w:color="auto" w:fill="E8EEF5"/>
          </w:tcPr>
          <w:p>
            <w:pPr>
              <w:spacing w:after="20" w:before="20" w:line="240" w:lineRule="auto"/>
              <w:jc w:val="center"/>
            </w:pPr>
            <w:r>
              <w:rPr>
                <w:sz w:val="21"/>
              </w:rPr>
              <w:t>069</w:t>
            </w:r>
          </w:p>
        </w:tc>
      </w:tr>
      <w:tr>
        <w:tc>
          <w:tcPr>
            <w:tcW w:type="dxa" w:w="850"/>
          </w:tcPr>
          <w:p>
            <w:pPr>
              <w:spacing w:after="20" w:before="20" w:line="240" w:lineRule="auto"/>
              <w:jc w:val="center"/>
            </w:pPr>
            <w:r>
              <w:rPr>
                <w:sz w:val="21"/>
              </w:rPr>
              <w:t>19.4</w:t>
            </w:r>
          </w:p>
        </w:tc>
        <w:tc>
          <w:tcPr>
            <w:tcW w:type="dxa" w:w="7540"/>
          </w:tcPr>
          <w:p>
            <w:pPr>
              <w:spacing w:after="20" w:before="20" w:line="240" w:lineRule="auto"/>
              <w:jc w:val="left"/>
            </w:pPr>
            <w:r>
              <w:rPr>
                <w:sz w:val="21"/>
              </w:rPr>
              <w:t>Benefits of Industrial Presence on Campus and Academic Presence in Industry</w:t>
            </w:r>
          </w:p>
        </w:tc>
        <w:tc>
          <w:tcPr>
            <w:tcW w:type="dxa" w:w="1020"/>
          </w:tcPr>
          <w:p>
            <w:pPr>
              <w:spacing w:after="20" w:before="20" w:line="240" w:lineRule="auto"/>
              <w:jc w:val="center"/>
            </w:pPr>
            <w:r>
              <w:rPr>
                <w:sz w:val="21"/>
              </w:rPr>
              <w:t>071</w:t>
            </w:r>
          </w:p>
        </w:tc>
      </w:tr>
      <w:tr>
        <w:tc>
          <w:tcPr>
            <w:tcW w:type="dxa" w:w="850"/>
            <w:shd w:val="clear" w:color="auto" w:fill="E8EEF5"/>
          </w:tcPr>
          <w:p>
            <w:pPr>
              <w:spacing w:after="20" w:before="20" w:line="240" w:lineRule="auto"/>
              <w:jc w:val="center"/>
            </w:pPr>
            <w:r>
              <w:rPr>
                <w:sz w:val="21"/>
              </w:rPr>
              <w:t>19.5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072</w:t>
            </w:r>
          </w:p>
        </w:tc>
      </w:tr>
      <w:tr>
        <w:tc>
          <w:tcPr>
            <w:tcW w:type="dxa" w:w="850"/>
          </w:tcPr>
          <w:p>
            <w:pPr>
              <w:spacing w:after="20" w:before="20" w:line="240" w:lineRule="auto"/>
              <w:jc w:val="center"/>
            </w:pPr>
            <w:r>
              <w:rPr>
                <w:sz w:val="21"/>
              </w:rPr>
              <w:t>19.6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072</w:t>
            </w:r>
          </w:p>
        </w:tc>
      </w:tr>
      <w:tr>
        <w:tc>
          <w:tcPr>
            <w:tcW w:type="dxa" w:w="850"/>
            <w:shd w:val="clear" w:color="auto" w:fill="E8EEF5"/>
          </w:tcPr>
          <w:p>
            <w:pPr>
              <w:spacing w:after="20" w:before="20" w:line="240" w:lineRule="auto"/>
              <w:jc w:val="center"/>
            </w:pPr>
            <w:r>
              <w:rPr>
                <w:b/>
                <w:sz w:val="21"/>
              </w:rPr>
              <w:t>20</w:t>
            </w:r>
          </w:p>
        </w:tc>
        <w:tc>
          <w:tcPr>
            <w:tcW w:type="dxa" w:w="7540"/>
            <w:shd w:val="clear" w:color="auto" w:fill="E8EEF5"/>
          </w:tcPr>
          <w:p>
            <w:pPr>
              <w:spacing w:after="20" w:before="20" w:line="240" w:lineRule="auto"/>
              <w:jc w:val="left"/>
            </w:pPr>
            <w:r>
              <w:rPr>
                <w:b/>
                <w:sz w:val="21"/>
              </w:rPr>
              <w:t>Semester-in-India Programme for Overseas Students</w:t>
            </w:r>
          </w:p>
        </w:tc>
        <w:tc>
          <w:tcPr>
            <w:tcW w:type="dxa" w:w="1020"/>
            <w:shd w:val="clear" w:color="auto" w:fill="E8EEF5"/>
          </w:tcPr>
          <w:p>
            <w:pPr>
              <w:spacing w:after="20" w:before="20" w:line="240" w:lineRule="auto"/>
              <w:jc w:val="center"/>
            </w:pPr>
            <w:r>
              <w:rPr>
                <w:b/>
                <w:sz w:val="21"/>
              </w:rPr>
              <w:t>073</w:t>
            </w:r>
          </w:p>
        </w:tc>
      </w:tr>
      <w:tr>
        <w:tc>
          <w:tcPr>
            <w:tcW w:type="dxa" w:w="850"/>
          </w:tcPr>
          <w:p>
            <w:pPr>
              <w:spacing w:after="20" w:before="20" w:line="240" w:lineRule="auto"/>
              <w:jc w:val="center"/>
            </w:pPr>
            <w:r>
              <w:rPr>
                <w:sz w:val="21"/>
              </w:rPr>
              <w:t>20.1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073</w:t>
            </w:r>
          </w:p>
        </w:tc>
      </w:tr>
      <w:tr>
        <w:tc>
          <w:tcPr>
            <w:tcW w:type="dxa" w:w="850"/>
            <w:shd w:val="clear" w:color="auto" w:fill="E8EEF5"/>
          </w:tcPr>
          <w:p>
            <w:pPr>
              <w:spacing w:after="20" w:before="20" w:line="240" w:lineRule="auto"/>
              <w:jc w:val="center"/>
            </w:pPr>
            <w:r>
              <w:rPr>
                <w:sz w:val="21"/>
              </w:rPr>
              <w:t>20.2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073</w:t>
            </w:r>
          </w:p>
        </w:tc>
      </w:tr>
      <w:tr>
        <w:tc>
          <w:tcPr>
            <w:tcW w:type="dxa" w:w="850"/>
          </w:tcPr>
          <w:p>
            <w:pPr>
              <w:spacing w:after="20" w:before="20" w:line="240" w:lineRule="auto"/>
              <w:jc w:val="center"/>
            </w:pPr>
            <w:r>
              <w:rPr>
                <w:sz w:val="21"/>
              </w:rPr>
              <w:t>20.3</w:t>
            </w:r>
          </w:p>
        </w:tc>
        <w:tc>
          <w:tcPr>
            <w:tcW w:type="dxa" w:w="7540"/>
          </w:tcPr>
          <w:p>
            <w:pPr>
              <w:spacing w:after="20" w:before="20" w:line="240" w:lineRule="auto"/>
              <w:jc w:val="left"/>
            </w:pPr>
            <w:r>
              <w:rPr>
                <w:sz w:val="21"/>
              </w:rPr>
              <w:t>Key Components of the Semester-in-India Programme for Overseas Students</w:t>
            </w:r>
          </w:p>
        </w:tc>
        <w:tc>
          <w:tcPr>
            <w:tcW w:type="dxa" w:w="1020"/>
          </w:tcPr>
          <w:p>
            <w:pPr>
              <w:spacing w:after="20" w:before="20" w:line="240" w:lineRule="auto"/>
              <w:jc w:val="center"/>
            </w:pPr>
            <w:r>
              <w:rPr>
                <w:sz w:val="21"/>
              </w:rPr>
              <w:t>073</w:t>
            </w:r>
          </w:p>
        </w:tc>
      </w:tr>
      <w:tr>
        <w:tc>
          <w:tcPr>
            <w:tcW w:type="dxa" w:w="850"/>
            <w:shd w:val="clear" w:color="auto" w:fill="E8EEF5"/>
          </w:tcPr>
          <w:p>
            <w:pPr>
              <w:spacing w:after="20" w:before="20" w:line="240" w:lineRule="auto"/>
              <w:jc w:val="center"/>
            </w:pPr>
            <w:r>
              <w:rPr>
                <w:sz w:val="21"/>
              </w:rPr>
              <w:t>20.4</w:t>
            </w:r>
          </w:p>
        </w:tc>
        <w:tc>
          <w:tcPr>
            <w:tcW w:type="dxa" w:w="7540"/>
            <w:shd w:val="clear" w:color="auto" w:fill="E8EEF5"/>
          </w:tcPr>
          <w:p>
            <w:pPr>
              <w:spacing w:after="20" w:before="20" w:line="240" w:lineRule="auto"/>
              <w:jc w:val="left"/>
            </w:pPr>
            <w:r>
              <w:rPr>
                <w:sz w:val="21"/>
              </w:rPr>
              <w:t>Benefits of the Semester-in-India Programme for Overseas Students</w:t>
            </w:r>
          </w:p>
        </w:tc>
        <w:tc>
          <w:tcPr>
            <w:tcW w:type="dxa" w:w="1020"/>
            <w:shd w:val="clear" w:color="auto" w:fill="E8EEF5"/>
          </w:tcPr>
          <w:p>
            <w:pPr>
              <w:spacing w:after="20" w:before="20" w:line="240" w:lineRule="auto"/>
              <w:jc w:val="center"/>
            </w:pPr>
            <w:r>
              <w:rPr>
                <w:sz w:val="21"/>
              </w:rPr>
              <w:t>075</w:t>
            </w:r>
          </w:p>
        </w:tc>
      </w:tr>
      <w:tr>
        <w:tc>
          <w:tcPr>
            <w:tcW w:type="dxa" w:w="850"/>
          </w:tcPr>
          <w:p>
            <w:pPr>
              <w:spacing w:after="20" w:before="20" w:line="240" w:lineRule="auto"/>
              <w:jc w:val="center"/>
            </w:pPr>
            <w:r>
              <w:rPr>
                <w:sz w:val="21"/>
              </w:rPr>
              <w:t>20.5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076</w:t>
            </w:r>
          </w:p>
        </w:tc>
      </w:tr>
      <w:tr>
        <w:tc>
          <w:tcPr>
            <w:tcW w:type="dxa" w:w="850"/>
            <w:shd w:val="clear" w:color="auto" w:fill="E8EEF5"/>
          </w:tcPr>
          <w:p>
            <w:pPr>
              <w:spacing w:after="20" w:before="20" w:line="240" w:lineRule="auto"/>
              <w:jc w:val="center"/>
            </w:pPr>
            <w:r>
              <w:rPr>
                <w:b/>
                <w:sz w:val="21"/>
              </w:rPr>
              <w:t>21</w:t>
            </w:r>
          </w:p>
        </w:tc>
        <w:tc>
          <w:tcPr>
            <w:tcW w:type="dxa" w:w="7540"/>
            <w:shd w:val="clear" w:color="auto" w:fill="E8EEF5"/>
          </w:tcPr>
          <w:p>
            <w:pPr>
              <w:spacing w:after="20" w:before="20" w:line="240" w:lineRule="auto"/>
              <w:jc w:val="left"/>
            </w:pPr>
            <w:r>
              <w:rPr>
                <w:b/>
                <w:sz w:val="21"/>
              </w:rPr>
              <w:t>Curricular Restructuring</w:t>
            </w:r>
          </w:p>
        </w:tc>
        <w:tc>
          <w:tcPr>
            <w:tcW w:type="dxa" w:w="1020"/>
            <w:shd w:val="clear" w:color="auto" w:fill="E8EEF5"/>
          </w:tcPr>
          <w:p>
            <w:pPr>
              <w:spacing w:after="20" w:before="20" w:line="240" w:lineRule="auto"/>
              <w:jc w:val="center"/>
            </w:pPr>
            <w:r>
              <w:rPr>
                <w:b/>
                <w:sz w:val="21"/>
              </w:rPr>
              <w:t>077</w:t>
            </w:r>
          </w:p>
        </w:tc>
      </w:tr>
      <w:tr>
        <w:tc>
          <w:tcPr>
            <w:tcW w:type="dxa" w:w="850"/>
          </w:tcPr>
          <w:p>
            <w:pPr>
              <w:spacing w:after="20" w:before="20" w:line="240" w:lineRule="auto"/>
              <w:jc w:val="center"/>
            </w:pPr>
            <w:r>
              <w:rPr>
                <w:sz w:val="21"/>
              </w:rPr>
              <w:t>21.1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077</w:t>
            </w:r>
          </w:p>
        </w:tc>
      </w:tr>
      <w:tr>
        <w:tc>
          <w:tcPr>
            <w:tcW w:type="dxa" w:w="850"/>
            <w:shd w:val="clear" w:color="auto" w:fill="E8EEF5"/>
          </w:tcPr>
          <w:p>
            <w:pPr>
              <w:spacing w:after="20" w:before="20" w:line="240" w:lineRule="auto"/>
              <w:jc w:val="center"/>
            </w:pPr>
            <w:r>
              <w:rPr>
                <w:sz w:val="21"/>
              </w:rPr>
              <w:t>21.2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077</w:t>
            </w:r>
          </w:p>
        </w:tc>
      </w:tr>
      <w:tr>
        <w:tc>
          <w:tcPr>
            <w:tcW w:type="dxa" w:w="850"/>
          </w:tcPr>
          <w:p>
            <w:pPr>
              <w:spacing w:after="20" w:before="20" w:line="240" w:lineRule="auto"/>
              <w:jc w:val="center"/>
            </w:pPr>
            <w:r>
              <w:rPr>
                <w:sz w:val="21"/>
              </w:rPr>
              <w:t>21.3</w:t>
            </w:r>
          </w:p>
        </w:tc>
        <w:tc>
          <w:tcPr>
            <w:tcW w:type="dxa" w:w="7540"/>
          </w:tcPr>
          <w:p>
            <w:pPr>
              <w:spacing w:after="20" w:before="20" w:line="240" w:lineRule="auto"/>
              <w:jc w:val="left"/>
            </w:pPr>
            <w:r>
              <w:rPr>
                <w:sz w:val="21"/>
              </w:rPr>
              <w:t>Key Components of Curricular Restructuring</w:t>
            </w:r>
          </w:p>
        </w:tc>
        <w:tc>
          <w:tcPr>
            <w:tcW w:type="dxa" w:w="1020"/>
          </w:tcPr>
          <w:p>
            <w:pPr>
              <w:spacing w:after="20" w:before="20" w:line="240" w:lineRule="auto"/>
              <w:jc w:val="center"/>
            </w:pPr>
            <w:r>
              <w:rPr>
                <w:sz w:val="21"/>
              </w:rPr>
              <w:t>077</w:t>
            </w:r>
          </w:p>
        </w:tc>
      </w:tr>
      <w:tr>
        <w:tc>
          <w:tcPr>
            <w:tcW w:type="dxa" w:w="850"/>
            <w:shd w:val="clear" w:color="auto" w:fill="E8EEF5"/>
          </w:tcPr>
          <w:p>
            <w:pPr>
              <w:spacing w:after="20" w:before="20" w:line="240" w:lineRule="auto"/>
              <w:jc w:val="center"/>
            </w:pPr>
            <w:r>
              <w:rPr>
                <w:sz w:val="21"/>
              </w:rPr>
              <w:t>21.4</w:t>
            </w:r>
          </w:p>
        </w:tc>
        <w:tc>
          <w:tcPr>
            <w:tcW w:type="dxa" w:w="7540"/>
            <w:shd w:val="clear" w:color="auto" w:fill="E8EEF5"/>
          </w:tcPr>
          <w:p>
            <w:pPr>
              <w:spacing w:after="20" w:before="20" w:line="240" w:lineRule="auto"/>
              <w:jc w:val="left"/>
            </w:pPr>
            <w:r>
              <w:rPr>
                <w:sz w:val="21"/>
              </w:rPr>
              <w:t>Benefits of Curricular Restructuring</w:t>
            </w:r>
          </w:p>
        </w:tc>
        <w:tc>
          <w:tcPr>
            <w:tcW w:type="dxa" w:w="1020"/>
            <w:shd w:val="clear" w:color="auto" w:fill="E8EEF5"/>
          </w:tcPr>
          <w:p>
            <w:pPr>
              <w:spacing w:after="20" w:before="20" w:line="240" w:lineRule="auto"/>
              <w:jc w:val="center"/>
            </w:pPr>
            <w:r>
              <w:rPr>
                <w:sz w:val="21"/>
              </w:rPr>
              <w:t>079</w:t>
            </w:r>
          </w:p>
        </w:tc>
      </w:tr>
      <w:tr>
        <w:tc>
          <w:tcPr>
            <w:tcW w:type="dxa" w:w="850"/>
          </w:tcPr>
          <w:p>
            <w:pPr>
              <w:spacing w:after="20" w:before="20" w:line="240" w:lineRule="auto"/>
              <w:jc w:val="center"/>
            </w:pPr>
            <w:r>
              <w:rPr>
                <w:sz w:val="21"/>
              </w:rPr>
              <w:t>21.5</w:t>
            </w:r>
          </w:p>
        </w:tc>
        <w:tc>
          <w:tcPr>
            <w:tcW w:type="dxa" w:w="7540"/>
          </w:tcPr>
          <w:p>
            <w:pPr>
              <w:spacing w:after="20" w:before="20" w:line="240" w:lineRule="auto"/>
              <w:jc w:val="left"/>
            </w:pPr>
            <w:r>
              <w:rPr>
                <w:sz w:val="21"/>
              </w:rPr>
              <w:t>Challenges in Curricular Restructuring and Solutions</w:t>
            </w:r>
          </w:p>
        </w:tc>
        <w:tc>
          <w:tcPr>
            <w:tcW w:type="dxa" w:w="1020"/>
          </w:tcPr>
          <w:p>
            <w:pPr>
              <w:spacing w:after="20" w:before="20" w:line="240" w:lineRule="auto"/>
              <w:jc w:val="center"/>
            </w:pPr>
            <w:r>
              <w:rPr>
                <w:sz w:val="21"/>
              </w:rPr>
              <w:t>080</w:t>
            </w:r>
          </w:p>
        </w:tc>
      </w:tr>
      <w:tr>
        <w:tc>
          <w:tcPr>
            <w:tcW w:type="dxa" w:w="850"/>
            <w:shd w:val="clear" w:color="auto" w:fill="E8EEF5"/>
          </w:tcPr>
          <w:p>
            <w:pPr>
              <w:spacing w:after="20" w:before="20" w:line="240" w:lineRule="auto"/>
              <w:jc w:val="center"/>
            </w:pPr>
            <w:r>
              <w:rPr>
                <w:sz w:val="21"/>
              </w:rPr>
              <w:t>21.6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080</w:t>
            </w:r>
          </w:p>
        </w:tc>
      </w:tr>
      <w:tr>
        <w:tc>
          <w:tcPr>
            <w:tcW w:type="dxa" w:w="850"/>
          </w:tcPr>
          <w:p>
            <w:pPr>
              <w:spacing w:after="20" w:before="20" w:line="240" w:lineRule="auto"/>
              <w:jc w:val="center"/>
            </w:pPr>
            <w:r>
              <w:rPr>
                <w:b/>
                <w:sz w:val="21"/>
              </w:rPr>
              <w:t>22</w:t>
            </w:r>
          </w:p>
        </w:tc>
        <w:tc>
          <w:tcPr>
            <w:tcW w:type="dxa" w:w="7540"/>
          </w:tcPr>
          <w:p>
            <w:pPr>
              <w:spacing w:after="20" w:before="20" w:line="240" w:lineRule="auto"/>
              <w:jc w:val="left"/>
            </w:pPr>
            <w:r>
              <w:rPr>
                <w:b/>
                <w:sz w:val="21"/>
              </w:rPr>
              <w:t>Regrouping of Courses to Provide New Subject Combinations</w:t>
            </w:r>
          </w:p>
        </w:tc>
        <w:tc>
          <w:tcPr>
            <w:tcW w:type="dxa" w:w="1020"/>
          </w:tcPr>
          <w:p>
            <w:pPr>
              <w:spacing w:after="20" w:before="20" w:line="240" w:lineRule="auto"/>
              <w:jc w:val="center"/>
            </w:pPr>
            <w:r>
              <w:rPr>
                <w:b/>
                <w:sz w:val="21"/>
              </w:rPr>
              <w:t>081</w:t>
            </w:r>
          </w:p>
        </w:tc>
      </w:tr>
      <w:tr>
        <w:tc>
          <w:tcPr>
            <w:tcW w:type="dxa" w:w="850"/>
            <w:shd w:val="clear" w:color="auto" w:fill="E8EEF5"/>
          </w:tcPr>
          <w:p>
            <w:pPr>
              <w:spacing w:after="20" w:before="20" w:line="240" w:lineRule="auto"/>
              <w:jc w:val="center"/>
            </w:pPr>
            <w:r>
              <w:rPr>
                <w:sz w:val="21"/>
              </w:rPr>
              <w:t>22.1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081</w:t>
            </w:r>
          </w:p>
        </w:tc>
      </w:tr>
      <w:tr>
        <w:tc>
          <w:tcPr>
            <w:tcW w:type="dxa" w:w="850"/>
          </w:tcPr>
          <w:p>
            <w:pPr>
              <w:spacing w:after="20" w:before="20" w:line="240" w:lineRule="auto"/>
              <w:jc w:val="center"/>
            </w:pPr>
            <w:r>
              <w:rPr>
                <w:sz w:val="21"/>
              </w:rPr>
              <w:t>22.2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081</w:t>
            </w:r>
          </w:p>
        </w:tc>
      </w:tr>
      <w:tr>
        <w:tc>
          <w:tcPr>
            <w:tcW w:type="dxa" w:w="850"/>
            <w:shd w:val="clear" w:color="auto" w:fill="E8EEF5"/>
          </w:tcPr>
          <w:p>
            <w:pPr>
              <w:spacing w:after="20" w:before="20" w:line="240" w:lineRule="auto"/>
              <w:jc w:val="center"/>
            </w:pPr>
            <w:r>
              <w:rPr>
                <w:sz w:val="21"/>
              </w:rPr>
              <w:t>22.3</w:t>
            </w:r>
          </w:p>
        </w:tc>
        <w:tc>
          <w:tcPr>
            <w:tcW w:type="dxa" w:w="7540"/>
            <w:shd w:val="clear" w:color="auto" w:fill="E8EEF5"/>
          </w:tcPr>
          <w:p>
            <w:pPr>
              <w:spacing w:after="20" w:before="20" w:line="240" w:lineRule="auto"/>
              <w:jc w:val="left"/>
            </w:pPr>
            <w:r>
              <w:rPr>
                <w:sz w:val="21"/>
              </w:rPr>
              <w:t>Key Components of Regrouping Courses to Provide New Subject Combinations</w:t>
            </w:r>
          </w:p>
        </w:tc>
        <w:tc>
          <w:tcPr>
            <w:tcW w:type="dxa" w:w="1020"/>
            <w:shd w:val="clear" w:color="auto" w:fill="E8EEF5"/>
          </w:tcPr>
          <w:p>
            <w:pPr>
              <w:spacing w:after="20" w:before="20" w:line="240" w:lineRule="auto"/>
              <w:jc w:val="center"/>
            </w:pPr>
            <w:r>
              <w:rPr>
                <w:sz w:val="21"/>
              </w:rPr>
              <w:t>081</w:t>
            </w:r>
          </w:p>
        </w:tc>
      </w:tr>
      <w:tr>
        <w:tc>
          <w:tcPr>
            <w:tcW w:type="dxa" w:w="850"/>
          </w:tcPr>
          <w:p>
            <w:pPr>
              <w:spacing w:after="20" w:before="20" w:line="240" w:lineRule="auto"/>
              <w:jc w:val="center"/>
            </w:pPr>
            <w:r>
              <w:rPr>
                <w:sz w:val="21"/>
              </w:rPr>
              <w:t>22.4</w:t>
            </w:r>
          </w:p>
        </w:tc>
        <w:tc>
          <w:tcPr>
            <w:tcW w:type="dxa" w:w="7540"/>
          </w:tcPr>
          <w:p>
            <w:pPr>
              <w:spacing w:after="20" w:before="20" w:line="240" w:lineRule="auto"/>
              <w:jc w:val="left"/>
            </w:pPr>
            <w:r>
              <w:rPr>
                <w:sz w:val="21"/>
              </w:rPr>
              <w:t>Benefits of Regrouping Courses to Provide New Subject Combinations</w:t>
            </w:r>
          </w:p>
        </w:tc>
        <w:tc>
          <w:tcPr>
            <w:tcW w:type="dxa" w:w="1020"/>
          </w:tcPr>
          <w:p>
            <w:pPr>
              <w:spacing w:after="20" w:before="20" w:line="240" w:lineRule="auto"/>
              <w:jc w:val="center"/>
            </w:pPr>
            <w:r>
              <w:rPr>
                <w:sz w:val="21"/>
              </w:rPr>
              <w:t>083</w:t>
            </w:r>
          </w:p>
        </w:tc>
      </w:tr>
      <w:tr>
        <w:tc>
          <w:tcPr>
            <w:tcW w:type="dxa" w:w="850"/>
            <w:shd w:val="clear" w:color="auto" w:fill="E8EEF5"/>
          </w:tcPr>
          <w:p>
            <w:pPr>
              <w:spacing w:after="20" w:before="20" w:line="240" w:lineRule="auto"/>
              <w:jc w:val="center"/>
            </w:pPr>
            <w:r>
              <w:rPr>
                <w:sz w:val="21"/>
              </w:rPr>
              <w:t>22.5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084</w:t>
            </w:r>
          </w:p>
        </w:tc>
      </w:tr>
      <w:tr>
        <w:tc>
          <w:tcPr>
            <w:tcW w:type="dxa" w:w="850"/>
          </w:tcPr>
          <w:p>
            <w:pPr>
              <w:spacing w:after="20" w:before="20" w:line="240" w:lineRule="auto"/>
              <w:jc w:val="center"/>
            </w:pPr>
            <w:r>
              <w:rPr>
                <w:sz w:val="21"/>
              </w:rPr>
              <w:t>22.6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084</w:t>
            </w:r>
          </w:p>
        </w:tc>
      </w:tr>
      <w:tr>
        <w:tc>
          <w:tcPr>
            <w:tcW w:type="dxa" w:w="850"/>
            <w:shd w:val="clear" w:color="auto" w:fill="E8EEF5"/>
          </w:tcPr>
          <w:p>
            <w:pPr>
              <w:spacing w:after="20" w:before="20" w:line="240" w:lineRule="auto"/>
              <w:jc w:val="center"/>
            </w:pPr>
            <w:r>
              <w:rPr>
                <w:b/>
                <w:sz w:val="21"/>
              </w:rPr>
              <w:t>23</w:t>
            </w:r>
          </w:p>
        </w:tc>
        <w:tc>
          <w:tcPr>
            <w:tcW w:type="dxa" w:w="7540"/>
            <w:shd w:val="clear" w:color="auto" w:fill="E8EEF5"/>
          </w:tcPr>
          <w:p>
            <w:pPr>
              <w:spacing w:after="20" w:before="20" w:line="240" w:lineRule="auto"/>
              <w:jc w:val="left"/>
            </w:pPr>
            <w:r>
              <w:rPr>
                <w:b/>
                <w:sz w:val="21"/>
              </w:rPr>
              <w:t>Best Practices in Organization and Management</w:t>
            </w:r>
          </w:p>
        </w:tc>
        <w:tc>
          <w:tcPr>
            <w:tcW w:type="dxa" w:w="1020"/>
            <w:shd w:val="clear" w:color="auto" w:fill="E8EEF5"/>
          </w:tcPr>
          <w:p>
            <w:pPr>
              <w:spacing w:after="20" w:before="20" w:line="240" w:lineRule="auto"/>
              <w:jc w:val="center"/>
            </w:pPr>
            <w:r>
              <w:rPr>
                <w:b/>
                <w:sz w:val="21"/>
              </w:rPr>
              <w:t>085</w:t>
            </w:r>
          </w:p>
        </w:tc>
      </w:tr>
      <w:tr>
        <w:tc>
          <w:tcPr>
            <w:tcW w:type="dxa" w:w="850"/>
          </w:tcPr>
          <w:p>
            <w:pPr>
              <w:spacing w:after="20" w:before="20" w:line="240" w:lineRule="auto"/>
              <w:jc w:val="center"/>
            </w:pPr>
            <w:r>
              <w:rPr>
                <w:sz w:val="21"/>
              </w:rPr>
              <w:t>23.1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085</w:t>
            </w:r>
          </w:p>
        </w:tc>
      </w:tr>
      <w:tr>
        <w:tc>
          <w:tcPr>
            <w:tcW w:type="dxa" w:w="850"/>
            <w:shd w:val="clear" w:color="auto" w:fill="E8EEF5"/>
          </w:tcPr>
          <w:p>
            <w:pPr>
              <w:spacing w:after="20" w:before="20" w:line="240" w:lineRule="auto"/>
              <w:jc w:val="center"/>
            </w:pPr>
            <w:r>
              <w:rPr>
                <w:sz w:val="21"/>
              </w:rPr>
              <w:t>23.2</w:t>
            </w:r>
          </w:p>
        </w:tc>
        <w:tc>
          <w:tcPr>
            <w:tcW w:type="dxa" w:w="7540"/>
            <w:shd w:val="clear" w:color="auto" w:fill="E8EEF5"/>
          </w:tcPr>
          <w:p>
            <w:pPr>
              <w:spacing w:after="20" w:before="20" w:line="240" w:lineRule="auto"/>
              <w:jc w:val="left"/>
            </w:pPr>
            <w:r>
              <w:rPr>
                <w:sz w:val="21"/>
              </w:rPr>
              <w:t>Key Components of Best Practices in Organization and Management</w:t>
            </w:r>
          </w:p>
        </w:tc>
        <w:tc>
          <w:tcPr>
            <w:tcW w:type="dxa" w:w="1020"/>
            <w:shd w:val="clear" w:color="auto" w:fill="E8EEF5"/>
          </w:tcPr>
          <w:p>
            <w:pPr>
              <w:spacing w:after="20" w:before="20" w:line="240" w:lineRule="auto"/>
              <w:jc w:val="center"/>
            </w:pPr>
            <w:r>
              <w:rPr>
                <w:sz w:val="21"/>
              </w:rPr>
              <w:t>085</w:t>
            </w:r>
          </w:p>
        </w:tc>
      </w:tr>
      <w:tr>
        <w:tc>
          <w:tcPr>
            <w:tcW w:type="dxa" w:w="850"/>
          </w:tcPr>
          <w:p>
            <w:pPr>
              <w:spacing w:after="20" w:before="20" w:line="240" w:lineRule="auto"/>
              <w:jc w:val="center"/>
            </w:pPr>
            <w:r>
              <w:rPr>
                <w:sz w:val="21"/>
              </w:rPr>
              <w:t>23.3</w:t>
            </w:r>
          </w:p>
        </w:tc>
        <w:tc>
          <w:tcPr>
            <w:tcW w:type="dxa" w:w="7540"/>
          </w:tcPr>
          <w:p>
            <w:pPr>
              <w:spacing w:after="20" w:before="20" w:line="240" w:lineRule="auto"/>
              <w:jc w:val="left"/>
            </w:pPr>
            <w:r>
              <w:rPr>
                <w:sz w:val="21"/>
              </w:rPr>
              <w:t>Benefits of Best Practices in Organization and Management</w:t>
            </w:r>
          </w:p>
        </w:tc>
        <w:tc>
          <w:tcPr>
            <w:tcW w:type="dxa" w:w="1020"/>
          </w:tcPr>
          <w:p>
            <w:pPr>
              <w:spacing w:after="20" w:before="20" w:line="240" w:lineRule="auto"/>
              <w:jc w:val="center"/>
            </w:pPr>
            <w:r>
              <w:rPr>
                <w:sz w:val="21"/>
              </w:rPr>
              <w:t>087</w:t>
            </w:r>
          </w:p>
        </w:tc>
      </w:tr>
      <w:tr>
        <w:tc>
          <w:tcPr>
            <w:tcW w:type="dxa" w:w="850"/>
            <w:shd w:val="clear" w:color="auto" w:fill="E8EEF5"/>
          </w:tcPr>
          <w:p>
            <w:pPr>
              <w:spacing w:after="20" w:before="20" w:line="240" w:lineRule="auto"/>
              <w:jc w:val="center"/>
            </w:pPr>
            <w:r>
              <w:rPr>
                <w:sz w:val="21"/>
              </w:rPr>
              <w:t>23.4</w:t>
            </w:r>
          </w:p>
        </w:tc>
        <w:tc>
          <w:tcPr>
            <w:tcW w:type="dxa" w:w="7540"/>
            <w:shd w:val="clear" w:color="auto" w:fill="E8EEF5"/>
          </w:tcPr>
          <w:p>
            <w:pPr>
              <w:spacing w:after="20" w:before="20" w:line="240" w:lineRule="auto"/>
              <w:jc w:val="left"/>
            </w:pPr>
            <w:r>
              <w:rPr>
                <w:sz w:val="21"/>
              </w:rPr>
              <w:t>Challenges and Solutions in Implementing Best Practices in Organization and Management</w:t>
            </w:r>
          </w:p>
        </w:tc>
        <w:tc>
          <w:tcPr>
            <w:tcW w:type="dxa" w:w="1020"/>
            <w:shd w:val="clear" w:color="auto" w:fill="E8EEF5"/>
          </w:tcPr>
          <w:p>
            <w:pPr>
              <w:spacing w:after="20" w:before="20" w:line="240" w:lineRule="auto"/>
              <w:jc w:val="center"/>
            </w:pPr>
            <w:r>
              <w:rPr>
                <w:sz w:val="21"/>
              </w:rPr>
              <w:t>088</w:t>
            </w:r>
          </w:p>
        </w:tc>
      </w:tr>
      <w:tr>
        <w:tc>
          <w:tcPr>
            <w:tcW w:type="dxa" w:w="850"/>
          </w:tcPr>
          <w:p>
            <w:pPr>
              <w:spacing w:after="20" w:before="20" w:line="240" w:lineRule="auto"/>
              <w:jc w:val="center"/>
            </w:pPr>
            <w:r>
              <w:rPr>
                <w:sz w:val="21"/>
              </w:rPr>
              <w:t>23.5</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088</w:t>
            </w:r>
          </w:p>
        </w:tc>
      </w:tr>
      <w:tr>
        <w:tc>
          <w:tcPr>
            <w:tcW w:type="dxa" w:w="850"/>
            <w:shd w:val="clear" w:color="auto" w:fill="E8EEF5"/>
          </w:tcPr>
          <w:p>
            <w:pPr>
              <w:spacing w:after="20" w:before="20" w:line="240" w:lineRule="auto"/>
              <w:jc w:val="center"/>
            </w:pPr>
            <w:r>
              <w:rPr>
                <w:b/>
                <w:sz w:val="21"/>
              </w:rPr>
              <w:t>24</w:t>
            </w:r>
          </w:p>
        </w:tc>
        <w:tc>
          <w:tcPr>
            <w:tcW w:type="dxa" w:w="7540"/>
            <w:shd w:val="clear" w:color="auto" w:fill="E8EEF5"/>
          </w:tcPr>
          <w:p>
            <w:pPr>
              <w:spacing w:after="20" w:before="20" w:line="240" w:lineRule="auto"/>
              <w:jc w:val="left"/>
            </w:pPr>
            <w:r>
              <w:rPr>
                <w:b/>
                <w:sz w:val="21"/>
              </w:rPr>
              <w:t>Benevolent Participating Management</w:t>
            </w:r>
          </w:p>
        </w:tc>
        <w:tc>
          <w:tcPr>
            <w:tcW w:type="dxa" w:w="1020"/>
            <w:shd w:val="clear" w:color="auto" w:fill="E8EEF5"/>
          </w:tcPr>
          <w:p>
            <w:pPr>
              <w:spacing w:after="20" w:before="20" w:line="240" w:lineRule="auto"/>
              <w:jc w:val="center"/>
            </w:pPr>
            <w:r>
              <w:rPr>
                <w:b/>
                <w:sz w:val="21"/>
              </w:rPr>
              <w:t>089</w:t>
            </w:r>
          </w:p>
        </w:tc>
      </w:tr>
      <w:tr>
        <w:tc>
          <w:tcPr>
            <w:tcW w:type="dxa" w:w="850"/>
          </w:tcPr>
          <w:p>
            <w:pPr>
              <w:spacing w:after="20" w:before="20" w:line="240" w:lineRule="auto"/>
              <w:jc w:val="center"/>
            </w:pPr>
            <w:r>
              <w:rPr>
                <w:sz w:val="21"/>
              </w:rPr>
              <w:t>24.1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089</w:t>
            </w:r>
          </w:p>
        </w:tc>
      </w:tr>
      <w:tr>
        <w:tc>
          <w:tcPr>
            <w:tcW w:type="dxa" w:w="850"/>
            <w:shd w:val="clear" w:color="auto" w:fill="E8EEF5"/>
          </w:tcPr>
          <w:p>
            <w:pPr>
              <w:spacing w:after="20" w:before="20" w:line="240" w:lineRule="auto"/>
              <w:jc w:val="center"/>
            </w:pPr>
            <w:r>
              <w:rPr>
                <w:sz w:val="21"/>
              </w:rPr>
              <w:t>24.2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089</w:t>
            </w:r>
          </w:p>
        </w:tc>
      </w:tr>
      <w:tr>
        <w:tc>
          <w:tcPr>
            <w:tcW w:type="dxa" w:w="850"/>
          </w:tcPr>
          <w:p>
            <w:pPr>
              <w:spacing w:after="20" w:before="20" w:line="240" w:lineRule="auto"/>
              <w:jc w:val="center"/>
            </w:pPr>
            <w:r>
              <w:rPr>
                <w:sz w:val="21"/>
              </w:rPr>
              <w:t>24.3</w:t>
            </w:r>
          </w:p>
        </w:tc>
        <w:tc>
          <w:tcPr>
            <w:tcW w:type="dxa" w:w="7540"/>
          </w:tcPr>
          <w:p>
            <w:pPr>
              <w:spacing w:after="20" w:before="20" w:line="240" w:lineRule="auto"/>
              <w:jc w:val="left"/>
            </w:pPr>
            <w:r>
              <w:rPr>
                <w:sz w:val="21"/>
              </w:rPr>
              <w:t>Key Components of Benevolent Participating Management</w:t>
            </w:r>
          </w:p>
        </w:tc>
        <w:tc>
          <w:tcPr>
            <w:tcW w:type="dxa" w:w="1020"/>
          </w:tcPr>
          <w:p>
            <w:pPr>
              <w:spacing w:after="20" w:before="20" w:line="240" w:lineRule="auto"/>
              <w:jc w:val="center"/>
            </w:pPr>
            <w:r>
              <w:rPr>
                <w:sz w:val="21"/>
              </w:rPr>
              <w:t>089</w:t>
            </w:r>
          </w:p>
        </w:tc>
      </w:tr>
      <w:tr>
        <w:tc>
          <w:tcPr>
            <w:tcW w:type="dxa" w:w="850"/>
            <w:shd w:val="clear" w:color="auto" w:fill="E8EEF5"/>
          </w:tcPr>
          <w:p>
            <w:pPr>
              <w:spacing w:after="20" w:before="20" w:line="240" w:lineRule="auto"/>
              <w:jc w:val="center"/>
            </w:pPr>
            <w:r>
              <w:rPr>
                <w:sz w:val="21"/>
              </w:rPr>
              <w:t>24.4</w:t>
            </w:r>
          </w:p>
        </w:tc>
        <w:tc>
          <w:tcPr>
            <w:tcW w:type="dxa" w:w="7540"/>
            <w:shd w:val="clear" w:color="auto" w:fill="E8EEF5"/>
          </w:tcPr>
          <w:p>
            <w:pPr>
              <w:spacing w:after="20" w:before="20" w:line="240" w:lineRule="auto"/>
              <w:jc w:val="left"/>
            </w:pPr>
            <w:r>
              <w:rPr>
                <w:sz w:val="21"/>
              </w:rPr>
              <w:t>Benefits of Benevolent Participating Management</w:t>
            </w:r>
          </w:p>
        </w:tc>
        <w:tc>
          <w:tcPr>
            <w:tcW w:type="dxa" w:w="1020"/>
            <w:shd w:val="clear" w:color="auto" w:fill="E8EEF5"/>
          </w:tcPr>
          <w:p>
            <w:pPr>
              <w:spacing w:after="20" w:before="20" w:line="240" w:lineRule="auto"/>
              <w:jc w:val="center"/>
            </w:pPr>
            <w:r>
              <w:rPr>
                <w:sz w:val="21"/>
              </w:rPr>
              <w:t>091</w:t>
            </w:r>
          </w:p>
        </w:tc>
      </w:tr>
      <w:tr>
        <w:tc>
          <w:tcPr>
            <w:tcW w:type="dxa" w:w="850"/>
          </w:tcPr>
          <w:p>
            <w:pPr>
              <w:spacing w:after="20" w:before="20" w:line="240" w:lineRule="auto"/>
              <w:jc w:val="center"/>
            </w:pPr>
            <w:r>
              <w:rPr>
                <w:sz w:val="21"/>
              </w:rPr>
              <w:t>24.5</w:t>
            </w:r>
          </w:p>
        </w:tc>
        <w:tc>
          <w:tcPr>
            <w:tcW w:type="dxa" w:w="7540"/>
          </w:tcPr>
          <w:p>
            <w:pPr>
              <w:spacing w:after="20" w:before="20" w:line="240" w:lineRule="auto"/>
              <w:jc w:val="left"/>
            </w:pPr>
            <w:r>
              <w:rPr>
                <w:sz w:val="21"/>
              </w:rPr>
              <w:t>Challenges and Solutions in Implementing Benevolent Participating Management</w:t>
            </w:r>
          </w:p>
        </w:tc>
        <w:tc>
          <w:tcPr>
            <w:tcW w:type="dxa" w:w="1020"/>
          </w:tcPr>
          <w:p>
            <w:pPr>
              <w:spacing w:after="20" w:before="20" w:line="240" w:lineRule="auto"/>
              <w:jc w:val="center"/>
            </w:pPr>
            <w:r>
              <w:rPr>
                <w:sz w:val="21"/>
              </w:rPr>
              <w:t>092</w:t>
            </w:r>
          </w:p>
        </w:tc>
      </w:tr>
      <w:tr>
        <w:tc>
          <w:tcPr>
            <w:tcW w:type="dxa" w:w="850"/>
            <w:shd w:val="clear" w:color="auto" w:fill="E8EEF5"/>
          </w:tcPr>
          <w:p>
            <w:pPr>
              <w:spacing w:after="20" w:before="20" w:line="240" w:lineRule="auto"/>
              <w:jc w:val="center"/>
            </w:pPr>
            <w:r>
              <w:rPr>
                <w:sz w:val="21"/>
              </w:rPr>
              <w:t>24.6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092</w:t>
            </w:r>
          </w:p>
        </w:tc>
      </w:tr>
      <w:tr>
        <w:tc>
          <w:tcPr>
            <w:tcW w:type="dxa" w:w="850"/>
          </w:tcPr>
          <w:p>
            <w:pPr>
              <w:spacing w:after="20" w:before="20" w:line="240" w:lineRule="auto"/>
              <w:jc w:val="center"/>
            </w:pPr>
            <w:r>
              <w:rPr>
                <w:b/>
                <w:sz w:val="21"/>
              </w:rPr>
              <w:t>25</w:t>
            </w:r>
          </w:p>
        </w:tc>
        <w:tc>
          <w:tcPr>
            <w:tcW w:type="dxa" w:w="7540"/>
          </w:tcPr>
          <w:p>
            <w:pPr>
              <w:spacing w:after="20" w:before="20" w:line="240" w:lineRule="auto"/>
              <w:jc w:val="left"/>
            </w:pPr>
            <w:r>
              <w:rPr>
                <w:b/>
                <w:sz w:val="21"/>
              </w:rPr>
              <w:t>Transparent Admission Process</w:t>
            </w:r>
          </w:p>
        </w:tc>
        <w:tc>
          <w:tcPr>
            <w:tcW w:type="dxa" w:w="1020"/>
          </w:tcPr>
          <w:p>
            <w:pPr>
              <w:spacing w:after="20" w:before="20" w:line="240" w:lineRule="auto"/>
              <w:jc w:val="center"/>
            </w:pPr>
            <w:r>
              <w:rPr>
                <w:b/>
                <w:sz w:val="21"/>
              </w:rPr>
              <w:t>093</w:t>
            </w:r>
          </w:p>
        </w:tc>
      </w:tr>
      <w:tr>
        <w:tc>
          <w:tcPr>
            <w:tcW w:type="dxa" w:w="850"/>
            <w:shd w:val="clear" w:color="auto" w:fill="E8EEF5"/>
          </w:tcPr>
          <w:p>
            <w:pPr>
              <w:spacing w:after="20" w:before="20" w:line="240" w:lineRule="auto"/>
              <w:jc w:val="center"/>
            </w:pPr>
            <w:r>
              <w:rPr>
                <w:sz w:val="21"/>
              </w:rPr>
              <w:t>25.1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093</w:t>
            </w:r>
          </w:p>
        </w:tc>
      </w:tr>
      <w:tr>
        <w:tc>
          <w:tcPr>
            <w:tcW w:type="dxa" w:w="850"/>
          </w:tcPr>
          <w:p>
            <w:pPr>
              <w:spacing w:after="20" w:before="20" w:line="240" w:lineRule="auto"/>
              <w:jc w:val="center"/>
            </w:pPr>
            <w:r>
              <w:rPr>
                <w:sz w:val="21"/>
              </w:rPr>
              <w:t>25.2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093</w:t>
            </w:r>
          </w:p>
        </w:tc>
      </w:tr>
      <w:tr>
        <w:tc>
          <w:tcPr>
            <w:tcW w:type="dxa" w:w="850"/>
            <w:shd w:val="clear" w:color="auto" w:fill="E8EEF5"/>
          </w:tcPr>
          <w:p>
            <w:pPr>
              <w:spacing w:after="20" w:before="20" w:line="240" w:lineRule="auto"/>
              <w:jc w:val="center"/>
            </w:pPr>
            <w:r>
              <w:rPr>
                <w:sz w:val="21"/>
              </w:rPr>
              <w:t>25.3</w:t>
            </w:r>
          </w:p>
        </w:tc>
        <w:tc>
          <w:tcPr>
            <w:tcW w:type="dxa" w:w="7540"/>
            <w:shd w:val="clear" w:color="auto" w:fill="E8EEF5"/>
          </w:tcPr>
          <w:p>
            <w:pPr>
              <w:spacing w:after="20" w:before="20" w:line="240" w:lineRule="auto"/>
              <w:jc w:val="left"/>
            </w:pPr>
            <w:r>
              <w:rPr>
                <w:sz w:val="21"/>
              </w:rPr>
              <w:t>Key Components of a Transparent Admission Process</w:t>
            </w:r>
          </w:p>
        </w:tc>
        <w:tc>
          <w:tcPr>
            <w:tcW w:type="dxa" w:w="1020"/>
            <w:shd w:val="clear" w:color="auto" w:fill="E8EEF5"/>
          </w:tcPr>
          <w:p>
            <w:pPr>
              <w:spacing w:after="20" w:before="20" w:line="240" w:lineRule="auto"/>
              <w:jc w:val="center"/>
            </w:pPr>
            <w:r>
              <w:rPr>
                <w:sz w:val="21"/>
              </w:rPr>
              <w:t>093</w:t>
            </w:r>
          </w:p>
        </w:tc>
      </w:tr>
      <w:tr>
        <w:tc>
          <w:tcPr>
            <w:tcW w:type="dxa" w:w="850"/>
          </w:tcPr>
          <w:p>
            <w:pPr>
              <w:spacing w:after="20" w:before="20" w:line="240" w:lineRule="auto"/>
              <w:jc w:val="center"/>
            </w:pPr>
            <w:r>
              <w:rPr>
                <w:sz w:val="21"/>
              </w:rPr>
              <w:t>25.4</w:t>
            </w:r>
          </w:p>
        </w:tc>
        <w:tc>
          <w:tcPr>
            <w:tcW w:type="dxa" w:w="7540"/>
          </w:tcPr>
          <w:p>
            <w:pPr>
              <w:spacing w:after="20" w:before="20" w:line="240" w:lineRule="auto"/>
              <w:jc w:val="left"/>
            </w:pPr>
            <w:r>
              <w:rPr>
                <w:sz w:val="21"/>
              </w:rPr>
              <w:t>Benefits of a Transparent Admission Process</w:t>
            </w:r>
          </w:p>
        </w:tc>
        <w:tc>
          <w:tcPr>
            <w:tcW w:type="dxa" w:w="1020"/>
          </w:tcPr>
          <w:p>
            <w:pPr>
              <w:spacing w:after="20" w:before="20" w:line="240" w:lineRule="auto"/>
              <w:jc w:val="center"/>
            </w:pPr>
            <w:r>
              <w:rPr>
                <w:sz w:val="21"/>
              </w:rPr>
              <w:t>095</w:t>
            </w:r>
          </w:p>
        </w:tc>
      </w:tr>
      <w:tr>
        <w:tc>
          <w:tcPr>
            <w:tcW w:type="dxa" w:w="850"/>
            <w:shd w:val="clear" w:color="auto" w:fill="E8EEF5"/>
          </w:tcPr>
          <w:p>
            <w:pPr>
              <w:spacing w:after="20" w:before="20" w:line="240" w:lineRule="auto"/>
              <w:jc w:val="center"/>
            </w:pPr>
            <w:r>
              <w:rPr>
                <w:sz w:val="21"/>
              </w:rPr>
              <w:t>25.5</w:t>
            </w:r>
          </w:p>
        </w:tc>
        <w:tc>
          <w:tcPr>
            <w:tcW w:type="dxa" w:w="7540"/>
            <w:shd w:val="clear" w:color="auto" w:fill="E8EEF5"/>
          </w:tcPr>
          <w:p>
            <w:pPr>
              <w:spacing w:after="20" w:before="20" w:line="240" w:lineRule="auto"/>
              <w:jc w:val="left"/>
            </w:pPr>
            <w:r>
              <w:rPr>
                <w:sz w:val="21"/>
              </w:rPr>
              <w:t>Challenges and Solutions in Implementing a Transparent Admission Process</w:t>
            </w:r>
          </w:p>
        </w:tc>
        <w:tc>
          <w:tcPr>
            <w:tcW w:type="dxa" w:w="1020"/>
            <w:shd w:val="clear" w:color="auto" w:fill="E8EEF5"/>
          </w:tcPr>
          <w:p>
            <w:pPr>
              <w:spacing w:after="20" w:before="20" w:line="240" w:lineRule="auto"/>
              <w:jc w:val="center"/>
            </w:pPr>
            <w:r>
              <w:rPr>
                <w:sz w:val="21"/>
              </w:rPr>
              <w:t>095</w:t>
            </w:r>
          </w:p>
        </w:tc>
      </w:tr>
      <w:tr>
        <w:tc>
          <w:tcPr>
            <w:tcW w:type="dxa" w:w="850"/>
          </w:tcPr>
          <w:p>
            <w:pPr>
              <w:spacing w:after="20" w:before="20" w:line="240" w:lineRule="auto"/>
              <w:jc w:val="center"/>
            </w:pPr>
            <w:r>
              <w:rPr>
                <w:sz w:val="21"/>
              </w:rPr>
              <w:t>25.6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096</w:t>
            </w:r>
          </w:p>
        </w:tc>
      </w:tr>
      <w:tr>
        <w:tc>
          <w:tcPr>
            <w:tcW w:type="dxa" w:w="850"/>
            <w:shd w:val="clear" w:color="auto" w:fill="E8EEF5"/>
          </w:tcPr>
          <w:p>
            <w:pPr>
              <w:spacing w:after="20" w:before="20" w:line="240" w:lineRule="auto"/>
              <w:jc w:val="center"/>
            </w:pPr>
            <w:r>
              <w:rPr>
                <w:b/>
                <w:sz w:val="21"/>
              </w:rPr>
              <w:t>26</w:t>
            </w:r>
          </w:p>
        </w:tc>
        <w:tc>
          <w:tcPr>
            <w:tcW w:type="dxa" w:w="7540"/>
            <w:shd w:val="clear" w:color="auto" w:fill="E8EEF5"/>
          </w:tcPr>
          <w:p>
            <w:pPr>
              <w:spacing w:after="20" w:before="20" w:line="240" w:lineRule="auto"/>
              <w:jc w:val="left"/>
            </w:pPr>
            <w:r>
              <w:rPr>
                <w:b/>
                <w:sz w:val="21"/>
              </w:rPr>
              <w:t>Grievance Redressal</w:t>
            </w:r>
          </w:p>
        </w:tc>
        <w:tc>
          <w:tcPr>
            <w:tcW w:type="dxa" w:w="1020"/>
            <w:shd w:val="clear" w:color="auto" w:fill="E8EEF5"/>
          </w:tcPr>
          <w:p>
            <w:pPr>
              <w:spacing w:after="20" w:before="20" w:line="240" w:lineRule="auto"/>
              <w:jc w:val="center"/>
            </w:pPr>
            <w:r>
              <w:rPr>
                <w:b/>
                <w:sz w:val="21"/>
              </w:rPr>
              <w:t>097</w:t>
            </w:r>
          </w:p>
        </w:tc>
      </w:tr>
      <w:tr>
        <w:tc>
          <w:tcPr>
            <w:tcW w:type="dxa" w:w="850"/>
          </w:tcPr>
          <w:p>
            <w:pPr>
              <w:spacing w:after="20" w:before="20" w:line="240" w:lineRule="auto"/>
              <w:jc w:val="center"/>
            </w:pPr>
            <w:r>
              <w:rPr>
                <w:sz w:val="21"/>
              </w:rPr>
              <w:t>26.1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097</w:t>
            </w:r>
          </w:p>
        </w:tc>
      </w:tr>
      <w:tr>
        <w:tc>
          <w:tcPr>
            <w:tcW w:type="dxa" w:w="850"/>
            <w:shd w:val="clear" w:color="auto" w:fill="E8EEF5"/>
          </w:tcPr>
          <w:p>
            <w:pPr>
              <w:spacing w:after="20" w:before="20" w:line="240" w:lineRule="auto"/>
              <w:jc w:val="center"/>
            </w:pPr>
            <w:r>
              <w:rPr>
                <w:sz w:val="21"/>
              </w:rPr>
              <w:t>26.2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097</w:t>
            </w:r>
          </w:p>
        </w:tc>
      </w:tr>
      <w:tr>
        <w:tc>
          <w:tcPr>
            <w:tcW w:type="dxa" w:w="850"/>
          </w:tcPr>
          <w:p>
            <w:pPr>
              <w:spacing w:after="20" w:before="20" w:line="240" w:lineRule="auto"/>
              <w:jc w:val="center"/>
            </w:pPr>
            <w:r>
              <w:rPr>
                <w:sz w:val="21"/>
              </w:rPr>
              <w:t>26.3</w:t>
            </w:r>
          </w:p>
        </w:tc>
        <w:tc>
          <w:tcPr>
            <w:tcW w:type="dxa" w:w="7540"/>
          </w:tcPr>
          <w:p>
            <w:pPr>
              <w:spacing w:after="20" w:before="20" w:line="240" w:lineRule="auto"/>
              <w:jc w:val="left"/>
            </w:pPr>
            <w:r>
              <w:rPr>
                <w:sz w:val="21"/>
              </w:rPr>
              <w:t>Key Components of a Grievance Redressal System</w:t>
            </w:r>
          </w:p>
        </w:tc>
        <w:tc>
          <w:tcPr>
            <w:tcW w:type="dxa" w:w="1020"/>
          </w:tcPr>
          <w:p>
            <w:pPr>
              <w:spacing w:after="20" w:before="20" w:line="240" w:lineRule="auto"/>
              <w:jc w:val="center"/>
            </w:pPr>
            <w:r>
              <w:rPr>
                <w:sz w:val="21"/>
              </w:rPr>
              <w:t>097</w:t>
            </w:r>
          </w:p>
        </w:tc>
      </w:tr>
      <w:tr>
        <w:tc>
          <w:tcPr>
            <w:tcW w:type="dxa" w:w="850"/>
            <w:shd w:val="clear" w:color="auto" w:fill="E8EEF5"/>
          </w:tcPr>
          <w:p>
            <w:pPr>
              <w:spacing w:after="20" w:before="20" w:line="240" w:lineRule="auto"/>
              <w:jc w:val="center"/>
            </w:pPr>
            <w:r>
              <w:rPr>
                <w:sz w:val="21"/>
              </w:rPr>
              <w:t>26.4</w:t>
            </w:r>
          </w:p>
        </w:tc>
        <w:tc>
          <w:tcPr>
            <w:tcW w:type="dxa" w:w="7540"/>
            <w:shd w:val="clear" w:color="auto" w:fill="E8EEF5"/>
          </w:tcPr>
          <w:p>
            <w:pPr>
              <w:spacing w:after="20" w:before="20" w:line="240" w:lineRule="auto"/>
              <w:jc w:val="left"/>
            </w:pPr>
            <w:r>
              <w:rPr>
                <w:sz w:val="21"/>
              </w:rPr>
              <w:t>Benefits of a Grievance Redressal System</w:t>
            </w:r>
          </w:p>
        </w:tc>
        <w:tc>
          <w:tcPr>
            <w:tcW w:type="dxa" w:w="1020"/>
            <w:shd w:val="clear" w:color="auto" w:fill="E8EEF5"/>
          </w:tcPr>
          <w:p>
            <w:pPr>
              <w:spacing w:after="20" w:before="20" w:line="240" w:lineRule="auto"/>
              <w:jc w:val="center"/>
            </w:pPr>
            <w:r>
              <w:rPr>
                <w:sz w:val="21"/>
              </w:rPr>
              <w:t>099</w:t>
            </w:r>
          </w:p>
        </w:tc>
      </w:tr>
      <w:tr>
        <w:tc>
          <w:tcPr>
            <w:tcW w:type="dxa" w:w="850"/>
          </w:tcPr>
          <w:p>
            <w:pPr>
              <w:spacing w:after="20" w:before="20" w:line="240" w:lineRule="auto"/>
              <w:jc w:val="center"/>
            </w:pPr>
            <w:r>
              <w:rPr>
                <w:sz w:val="21"/>
              </w:rPr>
              <w:t>26.5</w:t>
            </w:r>
          </w:p>
        </w:tc>
        <w:tc>
          <w:tcPr>
            <w:tcW w:type="dxa" w:w="7540"/>
          </w:tcPr>
          <w:p>
            <w:pPr>
              <w:spacing w:after="20" w:before="20" w:line="240" w:lineRule="auto"/>
              <w:jc w:val="left"/>
            </w:pPr>
            <w:r>
              <w:rPr>
                <w:sz w:val="21"/>
              </w:rPr>
              <w:t>Challenges and Solutions in Implementing a Grievance Redressal System</w:t>
            </w:r>
          </w:p>
        </w:tc>
        <w:tc>
          <w:tcPr>
            <w:tcW w:type="dxa" w:w="1020"/>
          </w:tcPr>
          <w:p>
            <w:pPr>
              <w:spacing w:after="20" w:before="20" w:line="240" w:lineRule="auto"/>
              <w:jc w:val="center"/>
            </w:pPr>
            <w:r>
              <w:rPr>
                <w:sz w:val="21"/>
              </w:rPr>
              <w:t>099</w:t>
            </w:r>
          </w:p>
        </w:tc>
      </w:tr>
      <w:tr>
        <w:tc>
          <w:tcPr>
            <w:tcW w:type="dxa" w:w="850"/>
            <w:shd w:val="clear" w:color="auto" w:fill="E8EEF5"/>
          </w:tcPr>
          <w:p>
            <w:pPr>
              <w:spacing w:after="20" w:before="20" w:line="240" w:lineRule="auto"/>
              <w:jc w:val="center"/>
            </w:pPr>
            <w:r>
              <w:rPr>
                <w:sz w:val="21"/>
              </w:rPr>
              <w:t>26.6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100</w:t>
            </w:r>
          </w:p>
        </w:tc>
      </w:tr>
      <w:tr>
        <w:tc>
          <w:tcPr>
            <w:tcW w:type="dxa" w:w="850"/>
          </w:tcPr>
          <w:p>
            <w:pPr>
              <w:spacing w:after="20" w:before="20" w:line="240" w:lineRule="auto"/>
              <w:jc w:val="center"/>
            </w:pPr>
            <w:r>
              <w:rPr>
                <w:b/>
                <w:sz w:val="21"/>
              </w:rPr>
              <w:t>27</w:t>
            </w:r>
          </w:p>
        </w:tc>
        <w:tc>
          <w:tcPr>
            <w:tcW w:type="dxa" w:w="7540"/>
          </w:tcPr>
          <w:p>
            <w:pPr>
              <w:spacing w:after="20" w:before="20" w:line="240" w:lineRule="auto"/>
              <w:jc w:val="left"/>
            </w:pPr>
            <w:r>
              <w:rPr>
                <w:b/>
                <w:sz w:val="21"/>
              </w:rPr>
              <w:t>Effective Human Resource Management (HRM)</w:t>
            </w:r>
          </w:p>
        </w:tc>
        <w:tc>
          <w:tcPr>
            <w:tcW w:type="dxa" w:w="1020"/>
          </w:tcPr>
          <w:p>
            <w:pPr>
              <w:spacing w:after="20" w:before="20" w:line="240" w:lineRule="auto"/>
              <w:jc w:val="center"/>
            </w:pPr>
            <w:r>
              <w:rPr>
                <w:b/>
                <w:sz w:val="21"/>
              </w:rPr>
              <w:t>101</w:t>
            </w:r>
          </w:p>
        </w:tc>
      </w:tr>
      <w:tr>
        <w:tc>
          <w:tcPr>
            <w:tcW w:type="dxa" w:w="850"/>
            <w:shd w:val="clear" w:color="auto" w:fill="E8EEF5"/>
          </w:tcPr>
          <w:p>
            <w:pPr>
              <w:spacing w:after="20" w:before="20" w:line="240" w:lineRule="auto"/>
              <w:jc w:val="center"/>
            </w:pPr>
            <w:r>
              <w:rPr>
                <w:sz w:val="21"/>
              </w:rPr>
              <w:t>27.1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101</w:t>
            </w:r>
          </w:p>
        </w:tc>
      </w:tr>
      <w:tr>
        <w:tc>
          <w:tcPr>
            <w:tcW w:type="dxa" w:w="850"/>
          </w:tcPr>
          <w:p>
            <w:pPr>
              <w:spacing w:after="20" w:before="20" w:line="240" w:lineRule="auto"/>
              <w:jc w:val="center"/>
            </w:pPr>
            <w:r>
              <w:rPr>
                <w:sz w:val="21"/>
              </w:rPr>
              <w:t>27.2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101</w:t>
            </w:r>
          </w:p>
        </w:tc>
      </w:tr>
      <w:tr>
        <w:tc>
          <w:tcPr>
            <w:tcW w:type="dxa" w:w="850"/>
            <w:shd w:val="clear" w:color="auto" w:fill="E8EEF5"/>
          </w:tcPr>
          <w:p>
            <w:pPr>
              <w:spacing w:after="20" w:before="20" w:line="240" w:lineRule="auto"/>
              <w:jc w:val="center"/>
            </w:pPr>
            <w:r>
              <w:rPr>
                <w:sz w:val="21"/>
              </w:rPr>
              <w:t>27.3</w:t>
            </w:r>
          </w:p>
        </w:tc>
        <w:tc>
          <w:tcPr>
            <w:tcW w:type="dxa" w:w="7540"/>
            <w:shd w:val="clear" w:color="auto" w:fill="E8EEF5"/>
          </w:tcPr>
          <w:p>
            <w:pPr>
              <w:spacing w:after="20" w:before="20" w:line="240" w:lineRule="auto"/>
              <w:jc w:val="left"/>
            </w:pPr>
            <w:r>
              <w:rPr>
                <w:sz w:val="21"/>
              </w:rPr>
              <w:t>Key Components of Effective Human Resource Management</w:t>
            </w:r>
          </w:p>
        </w:tc>
        <w:tc>
          <w:tcPr>
            <w:tcW w:type="dxa" w:w="1020"/>
            <w:shd w:val="clear" w:color="auto" w:fill="E8EEF5"/>
          </w:tcPr>
          <w:p>
            <w:pPr>
              <w:spacing w:after="20" w:before="20" w:line="240" w:lineRule="auto"/>
              <w:jc w:val="center"/>
            </w:pPr>
            <w:r>
              <w:rPr>
                <w:sz w:val="21"/>
              </w:rPr>
              <w:t>101</w:t>
            </w:r>
          </w:p>
        </w:tc>
      </w:tr>
      <w:tr>
        <w:tc>
          <w:tcPr>
            <w:tcW w:type="dxa" w:w="850"/>
          </w:tcPr>
          <w:p>
            <w:pPr>
              <w:spacing w:after="20" w:before="20" w:line="240" w:lineRule="auto"/>
              <w:jc w:val="center"/>
            </w:pPr>
            <w:r>
              <w:rPr>
                <w:sz w:val="21"/>
              </w:rPr>
              <w:t>27.4</w:t>
            </w:r>
          </w:p>
        </w:tc>
        <w:tc>
          <w:tcPr>
            <w:tcW w:type="dxa" w:w="7540"/>
          </w:tcPr>
          <w:p>
            <w:pPr>
              <w:spacing w:after="20" w:before="20" w:line="240" w:lineRule="auto"/>
              <w:jc w:val="left"/>
            </w:pPr>
            <w:r>
              <w:rPr>
                <w:sz w:val="21"/>
              </w:rPr>
              <w:t>Benefits of Effective Human Resource Management</w:t>
            </w:r>
          </w:p>
        </w:tc>
        <w:tc>
          <w:tcPr>
            <w:tcW w:type="dxa" w:w="1020"/>
          </w:tcPr>
          <w:p>
            <w:pPr>
              <w:spacing w:after="20" w:before="20" w:line="240" w:lineRule="auto"/>
              <w:jc w:val="center"/>
            </w:pPr>
            <w:r>
              <w:rPr>
                <w:sz w:val="21"/>
              </w:rPr>
              <w:t>103</w:t>
            </w:r>
          </w:p>
        </w:tc>
      </w:tr>
      <w:tr>
        <w:tc>
          <w:tcPr>
            <w:tcW w:type="dxa" w:w="850"/>
            <w:shd w:val="clear" w:color="auto" w:fill="E8EEF5"/>
          </w:tcPr>
          <w:p>
            <w:pPr>
              <w:spacing w:after="20" w:before="20" w:line="240" w:lineRule="auto"/>
              <w:jc w:val="center"/>
            </w:pPr>
            <w:r>
              <w:rPr>
                <w:sz w:val="21"/>
              </w:rPr>
              <w:t>27.5</w:t>
            </w:r>
          </w:p>
        </w:tc>
        <w:tc>
          <w:tcPr>
            <w:tcW w:type="dxa" w:w="7540"/>
            <w:shd w:val="clear" w:color="auto" w:fill="E8EEF5"/>
          </w:tcPr>
          <w:p>
            <w:pPr>
              <w:spacing w:after="20" w:before="20" w:line="240" w:lineRule="auto"/>
              <w:jc w:val="left"/>
            </w:pPr>
            <w:r>
              <w:rPr>
                <w:sz w:val="21"/>
              </w:rPr>
              <w:t>Challenges and Solutions in HRM</w:t>
            </w:r>
          </w:p>
        </w:tc>
        <w:tc>
          <w:tcPr>
            <w:tcW w:type="dxa" w:w="1020"/>
            <w:shd w:val="clear" w:color="auto" w:fill="E8EEF5"/>
          </w:tcPr>
          <w:p>
            <w:pPr>
              <w:spacing w:after="20" w:before="20" w:line="240" w:lineRule="auto"/>
              <w:jc w:val="center"/>
            </w:pPr>
            <w:r>
              <w:rPr>
                <w:sz w:val="21"/>
              </w:rPr>
              <w:t>104</w:t>
            </w:r>
          </w:p>
        </w:tc>
      </w:tr>
      <w:tr>
        <w:tc>
          <w:tcPr>
            <w:tcW w:type="dxa" w:w="850"/>
          </w:tcPr>
          <w:p>
            <w:pPr>
              <w:spacing w:after="20" w:before="20" w:line="240" w:lineRule="auto"/>
              <w:jc w:val="center"/>
            </w:pPr>
            <w:r>
              <w:rPr>
                <w:sz w:val="21"/>
              </w:rPr>
              <w:t>27.6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104</w:t>
            </w:r>
          </w:p>
        </w:tc>
      </w:tr>
      <w:tr>
        <w:tc>
          <w:tcPr>
            <w:tcW w:type="dxa" w:w="850"/>
            <w:shd w:val="clear" w:color="auto" w:fill="E8EEF5"/>
          </w:tcPr>
          <w:p>
            <w:pPr>
              <w:spacing w:after="20" w:before="20" w:line="240" w:lineRule="auto"/>
              <w:jc w:val="center"/>
            </w:pPr>
            <w:r>
              <w:rPr>
                <w:b/>
                <w:sz w:val="21"/>
              </w:rPr>
              <w:t>28</w:t>
            </w:r>
          </w:p>
        </w:tc>
        <w:tc>
          <w:tcPr>
            <w:tcW w:type="dxa" w:w="7540"/>
            <w:shd w:val="clear" w:color="auto" w:fill="E8EEF5"/>
          </w:tcPr>
          <w:p>
            <w:pPr>
              <w:spacing w:after="20" w:before="20" w:line="240" w:lineRule="auto"/>
              <w:jc w:val="left"/>
            </w:pPr>
            <w:r>
              <w:rPr>
                <w:b/>
                <w:sz w:val="21"/>
              </w:rPr>
              <w:t>Total Quality Improvement and Management Enhancement Practices</w:t>
            </w:r>
          </w:p>
        </w:tc>
        <w:tc>
          <w:tcPr>
            <w:tcW w:type="dxa" w:w="1020"/>
            <w:shd w:val="clear" w:color="auto" w:fill="E8EEF5"/>
          </w:tcPr>
          <w:p>
            <w:pPr>
              <w:spacing w:after="20" w:before="20" w:line="240" w:lineRule="auto"/>
              <w:jc w:val="center"/>
            </w:pPr>
            <w:r>
              <w:rPr>
                <w:b/>
                <w:sz w:val="21"/>
              </w:rPr>
              <w:t>105</w:t>
            </w:r>
          </w:p>
        </w:tc>
      </w:tr>
      <w:tr>
        <w:tc>
          <w:tcPr>
            <w:tcW w:type="dxa" w:w="850"/>
          </w:tcPr>
          <w:p>
            <w:pPr>
              <w:spacing w:after="20" w:before="20" w:line="240" w:lineRule="auto"/>
              <w:jc w:val="center"/>
            </w:pPr>
            <w:r>
              <w:rPr>
                <w:sz w:val="21"/>
              </w:rPr>
              <w:t>28.1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105</w:t>
            </w:r>
          </w:p>
        </w:tc>
      </w:tr>
      <w:tr>
        <w:tc>
          <w:tcPr>
            <w:tcW w:type="dxa" w:w="850"/>
            <w:shd w:val="clear" w:color="auto" w:fill="E8EEF5"/>
          </w:tcPr>
          <w:p>
            <w:pPr>
              <w:spacing w:after="20" w:before="20" w:line="240" w:lineRule="auto"/>
              <w:jc w:val="center"/>
            </w:pPr>
            <w:r>
              <w:rPr>
                <w:sz w:val="21"/>
              </w:rPr>
              <w:t>28.2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105</w:t>
            </w:r>
          </w:p>
        </w:tc>
      </w:tr>
      <w:tr>
        <w:tc>
          <w:tcPr>
            <w:tcW w:type="dxa" w:w="850"/>
          </w:tcPr>
          <w:p>
            <w:pPr>
              <w:spacing w:after="20" w:before="20" w:line="240" w:lineRule="auto"/>
              <w:jc w:val="center"/>
            </w:pPr>
            <w:r>
              <w:rPr>
                <w:sz w:val="21"/>
              </w:rPr>
              <w:t>28.3</w:t>
            </w:r>
          </w:p>
        </w:tc>
        <w:tc>
          <w:tcPr>
            <w:tcW w:type="dxa" w:w="7540"/>
          </w:tcPr>
          <w:p>
            <w:pPr>
              <w:spacing w:after="20" w:before="20" w:line="240" w:lineRule="auto"/>
              <w:jc w:val="left"/>
            </w:pPr>
            <w:r>
              <w:rPr>
                <w:sz w:val="21"/>
              </w:rPr>
              <w:t>Key Components of Total Quality Improvement and Management Enhancement Practices</w:t>
            </w:r>
          </w:p>
        </w:tc>
        <w:tc>
          <w:tcPr>
            <w:tcW w:type="dxa" w:w="1020"/>
          </w:tcPr>
          <w:p>
            <w:pPr>
              <w:spacing w:after="20" w:before="20" w:line="240" w:lineRule="auto"/>
              <w:jc w:val="center"/>
            </w:pPr>
            <w:r>
              <w:rPr>
                <w:sz w:val="21"/>
              </w:rPr>
              <w:t>105</w:t>
            </w:r>
          </w:p>
        </w:tc>
      </w:tr>
      <w:tr>
        <w:tc>
          <w:tcPr>
            <w:tcW w:type="dxa" w:w="850"/>
            <w:shd w:val="clear" w:color="auto" w:fill="E8EEF5"/>
          </w:tcPr>
          <w:p>
            <w:pPr>
              <w:spacing w:after="20" w:before="20" w:line="240" w:lineRule="auto"/>
              <w:jc w:val="center"/>
            </w:pPr>
            <w:r>
              <w:rPr>
                <w:sz w:val="21"/>
              </w:rPr>
              <w:t>28.4</w:t>
            </w:r>
          </w:p>
        </w:tc>
        <w:tc>
          <w:tcPr>
            <w:tcW w:type="dxa" w:w="7540"/>
            <w:shd w:val="clear" w:color="auto" w:fill="E8EEF5"/>
          </w:tcPr>
          <w:p>
            <w:pPr>
              <w:spacing w:after="20" w:before="20" w:line="240" w:lineRule="auto"/>
              <w:jc w:val="left"/>
            </w:pPr>
            <w:r>
              <w:rPr>
                <w:sz w:val="21"/>
              </w:rPr>
              <w:t>Benefits of Total Quality Improvement and Management Enhancement Practices</w:t>
            </w:r>
          </w:p>
        </w:tc>
        <w:tc>
          <w:tcPr>
            <w:tcW w:type="dxa" w:w="1020"/>
            <w:shd w:val="clear" w:color="auto" w:fill="E8EEF5"/>
          </w:tcPr>
          <w:p>
            <w:pPr>
              <w:spacing w:after="20" w:before="20" w:line="240" w:lineRule="auto"/>
              <w:jc w:val="center"/>
            </w:pPr>
            <w:r>
              <w:rPr>
                <w:sz w:val="21"/>
              </w:rPr>
              <w:t>107</w:t>
            </w:r>
          </w:p>
        </w:tc>
      </w:tr>
      <w:tr>
        <w:tc>
          <w:tcPr>
            <w:tcW w:type="dxa" w:w="850"/>
          </w:tcPr>
          <w:p>
            <w:pPr>
              <w:spacing w:after="20" w:before="20" w:line="240" w:lineRule="auto"/>
              <w:jc w:val="center"/>
            </w:pPr>
            <w:r>
              <w:rPr>
                <w:sz w:val="21"/>
              </w:rPr>
              <w:t>28.5</w:t>
            </w:r>
          </w:p>
        </w:tc>
        <w:tc>
          <w:tcPr>
            <w:tcW w:type="dxa" w:w="7540"/>
          </w:tcPr>
          <w:p>
            <w:pPr>
              <w:spacing w:after="20" w:before="20" w:line="240" w:lineRule="auto"/>
              <w:jc w:val="left"/>
            </w:pPr>
            <w:r>
              <w:rPr>
                <w:sz w:val="21"/>
              </w:rPr>
              <w:t>Challenges and Solutions in Implementing TQI and Management Enhancement Practices</w:t>
            </w:r>
          </w:p>
        </w:tc>
        <w:tc>
          <w:tcPr>
            <w:tcW w:type="dxa" w:w="1020"/>
          </w:tcPr>
          <w:p>
            <w:pPr>
              <w:spacing w:after="20" w:before="20" w:line="240" w:lineRule="auto"/>
              <w:jc w:val="center"/>
            </w:pPr>
            <w:r>
              <w:rPr>
                <w:sz w:val="21"/>
              </w:rPr>
              <w:t>108</w:t>
            </w:r>
          </w:p>
        </w:tc>
      </w:tr>
      <w:tr>
        <w:tc>
          <w:tcPr>
            <w:tcW w:type="dxa" w:w="850"/>
            <w:shd w:val="clear" w:color="auto" w:fill="E8EEF5"/>
          </w:tcPr>
          <w:p>
            <w:pPr>
              <w:spacing w:after="20" w:before="20" w:line="240" w:lineRule="auto"/>
              <w:jc w:val="center"/>
            </w:pPr>
            <w:r>
              <w:rPr>
                <w:sz w:val="21"/>
              </w:rPr>
              <w:t>28.6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108</w:t>
            </w:r>
          </w:p>
        </w:tc>
      </w:tr>
      <w:tr>
        <w:tc>
          <w:tcPr>
            <w:tcW w:type="dxa" w:w="850"/>
          </w:tcPr>
          <w:p>
            <w:pPr>
              <w:spacing w:after="20" w:before="20" w:line="240" w:lineRule="auto"/>
              <w:jc w:val="center"/>
            </w:pPr>
            <w:r>
              <w:rPr>
                <w:b/>
                <w:sz w:val="21"/>
              </w:rPr>
              <w:t>29</w:t>
            </w:r>
          </w:p>
        </w:tc>
        <w:tc>
          <w:tcPr>
            <w:tcW w:type="dxa" w:w="7540"/>
          </w:tcPr>
          <w:p>
            <w:pPr>
              <w:spacing w:after="20" w:before="20" w:line="240" w:lineRule="auto"/>
              <w:jc w:val="left"/>
            </w:pPr>
            <w:r>
              <w:rPr>
                <w:b/>
                <w:sz w:val="21"/>
              </w:rPr>
              <w:t>Governance, Leadership, and Management (Decentralized Governance)</w:t>
            </w:r>
          </w:p>
        </w:tc>
        <w:tc>
          <w:tcPr>
            <w:tcW w:type="dxa" w:w="1020"/>
          </w:tcPr>
          <w:p>
            <w:pPr>
              <w:spacing w:after="20" w:before="20" w:line="240" w:lineRule="auto"/>
              <w:jc w:val="center"/>
            </w:pPr>
            <w:r>
              <w:rPr>
                <w:b/>
                <w:sz w:val="21"/>
              </w:rPr>
              <w:t>109</w:t>
            </w:r>
          </w:p>
        </w:tc>
      </w:tr>
      <w:tr>
        <w:tc>
          <w:tcPr>
            <w:tcW w:type="dxa" w:w="850"/>
            <w:shd w:val="clear" w:color="auto" w:fill="E8EEF5"/>
          </w:tcPr>
          <w:p>
            <w:pPr>
              <w:spacing w:after="20" w:before="20" w:line="240" w:lineRule="auto"/>
              <w:jc w:val="center"/>
            </w:pPr>
            <w:r>
              <w:rPr>
                <w:sz w:val="21"/>
              </w:rPr>
              <w:t>29.1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109</w:t>
            </w:r>
          </w:p>
        </w:tc>
      </w:tr>
      <w:tr>
        <w:tc>
          <w:tcPr>
            <w:tcW w:type="dxa" w:w="850"/>
          </w:tcPr>
          <w:p>
            <w:pPr>
              <w:spacing w:after="20" w:before="20" w:line="240" w:lineRule="auto"/>
              <w:jc w:val="center"/>
            </w:pPr>
            <w:r>
              <w:rPr>
                <w:sz w:val="21"/>
              </w:rPr>
              <w:t>29.2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109</w:t>
            </w:r>
          </w:p>
        </w:tc>
      </w:tr>
      <w:tr>
        <w:tc>
          <w:tcPr>
            <w:tcW w:type="dxa" w:w="850"/>
            <w:shd w:val="clear" w:color="auto" w:fill="E8EEF5"/>
          </w:tcPr>
          <w:p>
            <w:pPr>
              <w:spacing w:after="20" w:before="20" w:line="240" w:lineRule="auto"/>
              <w:jc w:val="center"/>
            </w:pPr>
            <w:r>
              <w:rPr>
                <w:sz w:val="21"/>
              </w:rPr>
              <w:t>29.3</w:t>
            </w:r>
          </w:p>
        </w:tc>
        <w:tc>
          <w:tcPr>
            <w:tcW w:type="dxa" w:w="7540"/>
            <w:shd w:val="clear" w:color="auto" w:fill="E8EEF5"/>
          </w:tcPr>
          <w:p>
            <w:pPr>
              <w:spacing w:after="20" w:before="20" w:line="240" w:lineRule="auto"/>
              <w:jc w:val="left"/>
            </w:pPr>
            <w:r>
              <w:rPr>
                <w:sz w:val="21"/>
              </w:rPr>
              <w:t>Key Practices in Decentralized Governance</w:t>
            </w:r>
          </w:p>
        </w:tc>
        <w:tc>
          <w:tcPr>
            <w:tcW w:type="dxa" w:w="1020"/>
            <w:shd w:val="clear" w:color="auto" w:fill="E8EEF5"/>
          </w:tcPr>
          <w:p>
            <w:pPr>
              <w:spacing w:after="20" w:before="20" w:line="240" w:lineRule="auto"/>
              <w:jc w:val="center"/>
            </w:pPr>
            <w:r>
              <w:rPr>
                <w:sz w:val="21"/>
              </w:rPr>
              <w:t>109</w:t>
            </w:r>
          </w:p>
        </w:tc>
      </w:tr>
      <w:tr>
        <w:tc>
          <w:tcPr>
            <w:tcW w:type="dxa" w:w="850"/>
          </w:tcPr>
          <w:p>
            <w:pPr>
              <w:spacing w:after="20" w:before="20" w:line="240" w:lineRule="auto"/>
              <w:jc w:val="center"/>
            </w:pPr>
            <w:r>
              <w:rPr>
                <w:sz w:val="21"/>
              </w:rPr>
              <w:t>29.4</w:t>
            </w:r>
          </w:p>
        </w:tc>
        <w:tc>
          <w:tcPr>
            <w:tcW w:type="dxa" w:w="7540"/>
          </w:tcPr>
          <w:p>
            <w:pPr>
              <w:spacing w:after="20" w:before="20" w:line="240" w:lineRule="auto"/>
              <w:jc w:val="left"/>
            </w:pPr>
            <w:r>
              <w:rPr>
                <w:sz w:val="21"/>
              </w:rPr>
              <w:t>Impact of Decentralized Governance</w:t>
            </w:r>
          </w:p>
        </w:tc>
        <w:tc>
          <w:tcPr>
            <w:tcW w:type="dxa" w:w="1020"/>
          </w:tcPr>
          <w:p>
            <w:pPr>
              <w:spacing w:after="20" w:before="20" w:line="240" w:lineRule="auto"/>
              <w:jc w:val="center"/>
            </w:pPr>
            <w:r>
              <w:rPr>
                <w:sz w:val="21"/>
              </w:rPr>
              <w:t>111</w:t>
            </w:r>
          </w:p>
        </w:tc>
      </w:tr>
      <w:tr>
        <w:tc>
          <w:tcPr>
            <w:tcW w:type="dxa" w:w="850"/>
            <w:shd w:val="clear" w:color="auto" w:fill="E8EEF5"/>
          </w:tcPr>
          <w:p>
            <w:pPr>
              <w:spacing w:after="20" w:before="20" w:line="240" w:lineRule="auto"/>
              <w:jc w:val="center"/>
            </w:pPr>
            <w:r>
              <w:rPr>
                <w:sz w:val="21"/>
              </w:rPr>
              <w:t>29.5</w:t>
            </w:r>
          </w:p>
        </w:tc>
        <w:tc>
          <w:tcPr>
            <w:tcW w:type="dxa" w:w="7540"/>
            <w:shd w:val="clear" w:color="auto" w:fill="E8EEF5"/>
          </w:tcPr>
          <w:p>
            <w:pPr>
              <w:spacing w:after="20" w:before="20" w:line="240" w:lineRule="auto"/>
              <w:jc w:val="left"/>
            </w:pPr>
            <w:r>
              <w:rPr>
                <w:sz w:val="21"/>
              </w:rPr>
              <w:t>Outcomes of Decentralized Governance</w:t>
            </w:r>
          </w:p>
        </w:tc>
        <w:tc>
          <w:tcPr>
            <w:tcW w:type="dxa" w:w="1020"/>
            <w:shd w:val="clear" w:color="auto" w:fill="E8EEF5"/>
          </w:tcPr>
          <w:p>
            <w:pPr>
              <w:spacing w:after="20" w:before="20" w:line="240" w:lineRule="auto"/>
              <w:jc w:val="center"/>
            </w:pPr>
            <w:r>
              <w:rPr>
                <w:sz w:val="21"/>
              </w:rPr>
              <w:t>111</w:t>
            </w:r>
          </w:p>
        </w:tc>
      </w:tr>
      <w:tr>
        <w:tc>
          <w:tcPr>
            <w:tcW w:type="dxa" w:w="850"/>
          </w:tcPr>
          <w:p>
            <w:pPr>
              <w:spacing w:after="20" w:before="20" w:line="240" w:lineRule="auto"/>
              <w:jc w:val="center"/>
            </w:pPr>
            <w:r>
              <w:rPr>
                <w:sz w:val="21"/>
              </w:rPr>
              <w:t>29.6</w:t>
            </w:r>
          </w:p>
        </w:tc>
        <w:tc>
          <w:tcPr>
            <w:tcW w:type="dxa" w:w="7540"/>
          </w:tcPr>
          <w:p>
            <w:pPr>
              <w:spacing w:after="20" w:before="20" w:line="240" w:lineRule="auto"/>
              <w:jc w:val="left"/>
            </w:pPr>
            <w:r>
              <w:rPr>
                <w:sz w:val="21"/>
              </w:rPr>
              <w:t>Challenges and Solutions in Decentralized Governance</w:t>
            </w:r>
          </w:p>
        </w:tc>
        <w:tc>
          <w:tcPr>
            <w:tcW w:type="dxa" w:w="1020"/>
          </w:tcPr>
          <w:p>
            <w:pPr>
              <w:spacing w:after="20" w:before="20" w:line="240" w:lineRule="auto"/>
              <w:jc w:val="center"/>
            </w:pPr>
            <w:r>
              <w:rPr>
                <w:sz w:val="21"/>
              </w:rPr>
              <w:t>112</w:t>
            </w:r>
          </w:p>
        </w:tc>
      </w:tr>
      <w:tr>
        <w:tc>
          <w:tcPr>
            <w:tcW w:type="dxa" w:w="850"/>
            <w:shd w:val="clear" w:color="auto" w:fill="E8EEF5"/>
          </w:tcPr>
          <w:p>
            <w:pPr>
              <w:spacing w:after="20" w:before="20" w:line="240" w:lineRule="auto"/>
              <w:jc w:val="center"/>
            </w:pPr>
            <w:r>
              <w:rPr>
                <w:sz w:val="21"/>
              </w:rPr>
              <w:t>29.7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112</w:t>
            </w:r>
          </w:p>
        </w:tc>
      </w:tr>
      <w:tr>
        <w:tc>
          <w:tcPr>
            <w:tcW w:type="dxa" w:w="850"/>
          </w:tcPr>
          <w:p>
            <w:pPr>
              <w:spacing w:after="20" w:before="20" w:line="240" w:lineRule="auto"/>
              <w:jc w:val="center"/>
            </w:pPr>
            <w:r>
              <w:rPr>
                <w:b/>
                <w:sz w:val="21"/>
              </w:rPr>
              <w:t>30</w:t>
            </w:r>
          </w:p>
        </w:tc>
        <w:tc>
          <w:tcPr>
            <w:tcW w:type="dxa" w:w="7540"/>
          </w:tcPr>
          <w:p>
            <w:pPr>
              <w:spacing w:after="20" w:before="20" w:line="240" w:lineRule="auto"/>
              <w:jc w:val="left"/>
            </w:pPr>
            <w:r>
              <w:rPr>
                <w:b/>
                <w:sz w:val="21"/>
              </w:rPr>
              <w:t>Governance, Leadership, and Management (Professional Development)</w:t>
            </w:r>
          </w:p>
        </w:tc>
        <w:tc>
          <w:tcPr>
            <w:tcW w:type="dxa" w:w="1020"/>
          </w:tcPr>
          <w:p>
            <w:pPr>
              <w:spacing w:after="20" w:before="20" w:line="240" w:lineRule="auto"/>
              <w:jc w:val="center"/>
            </w:pPr>
            <w:r>
              <w:rPr>
                <w:b/>
                <w:sz w:val="21"/>
              </w:rPr>
              <w:t>114</w:t>
            </w:r>
          </w:p>
        </w:tc>
      </w:tr>
      <w:tr>
        <w:tc>
          <w:tcPr>
            <w:tcW w:type="dxa" w:w="850"/>
            <w:shd w:val="clear" w:color="auto" w:fill="E8EEF5"/>
          </w:tcPr>
          <w:p>
            <w:pPr>
              <w:spacing w:after="20" w:before="20" w:line="240" w:lineRule="auto"/>
              <w:jc w:val="center"/>
            </w:pPr>
            <w:r>
              <w:rPr>
                <w:sz w:val="21"/>
              </w:rPr>
              <w:t>30.1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114</w:t>
            </w:r>
          </w:p>
        </w:tc>
      </w:tr>
      <w:tr>
        <w:tc>
          <w:tcPr>
            <w:tcW w:type="dxa" w:w="850"/>
          </w:tcPr>
          <w:p>
            <w:pPr>
              <w:spacing w:after="20" w:before="20" w:line="240" w:lineRule="auto"/>
              <w:jc w:val="center"/>
            </w:pPr>
            <w:r>
              <w:rPr>
                <w:sz w:val="21"/>
              </w:rPr>
              <w:t>30.2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114</w:t>
            </w:r>
          </w:p>
        </w:tc>
      </w:tr>
      <w:tr>
        <w:tc>
          <w:tcPr>
            <w:tcW w:type="dxa" w:w="850"/>
            <w:shd w:val="clear" w:color="auto" w:fill="E8EEF5"/>
          </w:tcPr>
          <w:p>
            <w:pPr>
              <w:spacing w:after="20" w:before="20" w:line="240" w:lineRule="auto"/>
              <w:jc w:val="center"/>
            </w:pPr>
            <w:r>
              <w:rPr>
                <w:sz w:val="21"/>
              </w:rPr>
              <w:t>30.3</w:t>
            </w:r>
          </w:p>
        </w:tc>
        <w:tc>
          <w:tcPr>
            <w:tcW w:type="dxa" w:w="7540"/>
            <w:shd w:val="clear" w:color="auto" w:fill="E8EEF5"/>
          </w:tcPr>
          <w:p>
            <w:pPr>
              <w:spacing w:after="20" w:before="20" w:line="240" w:lineRule="auto"/>
              <w:jc w:val="left"/>
            </w:pPr>
            <w:r>
              <w:rPr>
                <w:sz w:val="21"/>
              </w:rPr>
              <w:t>Key Components of Professional Development in Governance, Leadership, and Management</w:t>
            </w:r>
          </w:p>
        </w:tc>
        <w:tc>
          <w:tcPr>
            <w:tcW w:type="dxa" w:w="1020"/>
            <w:shd w:val="clear" w:color="auto" w:fill="E8EEF5"/>
          </w:tcPr>
          <w:p>
            <w:pPr>
              <w:spacing w:after="20" w:before="20" w:line="240" w:lineRule="auto"/>
              <w:jc w:val="center"/>
            </w:pPr>
            <w:r>
              <w:rPr>
                <w:sz w:val="21"/>
              </w:rPr>
              <w:t>114</w:t>
            </w:r>
          </w:p>
        </w:tc>
      </w:tr>
      <w:tr>
        <w:tc>
          <w:tcPr>
            <w:tcW w:type="dxa" w:w="850"/>
          </w:tcPr>
          <w:p>
            <w:pPr>
              <w:spacing w:after="20" w:before="20" w:line="240" w:lineRule="auto"/>
              <w:jc w:val="center"/>
            </w:pPr>
            <w:r>
              <w:rPr>
                <w:sz w:val="21"/>
              </w:rPr>
              <w:t>30.4</w:t>
            </w:r>
          </w:p>
        </w:tc>
        <w:tc>
          <w:tcPr>
            <w:tcW w:type="dxa" w:w="7540"/>
          </w:tcPr>
          <w:p>
            <w:pPr>
              <w:spacing w:after="20" w:before="20" w:line="240" w:lineRule="auto"/>
              <w:jc w:val="left"/>
            </w:pPr>
            <w:r>
              <w:rPr>
                <w:sz w:val="21"/>
              </w:rPr>
              <w:t>Impact of Professional Development</w:t>
            </w:r>
          </w:p>
        </w:tc>
        <w:tc>
          <w:tcPr>
            <w:tcW w:type="dxa" w:w="1020"/>
          </w:tcPr>
          <w:p>
            <w:pPr>
              <w:spacing w:after="20" w:before="20" w:line="240" w:lineRule="auto"/>
              <w:jc w:val="center"/>
            </w:pPr>
            <w:r>
              <w:rPr>
                <w:sz w:val="21"/>
              </w:rPr>
              <w:t>117</w:t>
            </w:r>
          </w:p>
        </w:tc>
      </w:tr>
      <w:tr>
        <w:tc>
          <w:tcPr>
            <w:tcW w:type="dxa" w:w="850"/>
            <w:shd w:val="clear" w:color="auto" w:fill="E8EEF5"/>
          </w:tcPr>
          <w:p>
            <w:pPr>
              <w:spacing w:after="20" w:before="20" w:line="240" w:lineRule="auto"/>
              <w:jc w:val="center"/>
            </w:pPr>
            <w:r>
              <w:rPr>
                <w:sz w:val="21"/>
              </w:rPr>
              <w:t>30.5</w:t>
            </w:r>
          </w:p>
        </w:tc>
        <w:tc>
          <w:tcPr>
            <w:tcW w:type="dxa" w:w="7540"/>
            <w:shd w:val="clear" w:color="auto" w:fill="E8EEF5"/>
          </w:tcPr>
          <w:p>
            <w:pPr>
              <w:spacing w:after="20" w:before="20" w:line="240" w:lineRule="auto"/>
              <w:jc w:val="left"/>
            </w:pPr>
            <w:r>
              <w:rPr>
                <w:sz w:val="21"/>
              </w:rPr>
              <w:t>Outcomes of Effective Professional Development in Governance, Leadership, and Management</w:t>
            </w:r>
          </w:p>
        </w:tc>
        <w:tc>
          <w:tcPr>
            <w:tcW w:type="dxa" w:w="1020"/>
            <w:shd w:val="clear" w:color="auto" w:fill="E8EEF5"/>
          </w:tcPr>
          <w:p>
            <w:pPr>
              <w:spacing w:after="20" w:before="20" w:line="240" w:lineRule="auto"/>
              <w:jc w:val="center"/>
            </w:pPr>
            <w:r>
              <w:rPr>
                <w:sz w:val="21"/>
              </w:rPr>
              <w:t>117</w:t>
            </w:r>
          </w:p>
        </w:tc>
      </w:tr>
      <w:tr>
        <w:tc>
          <w:tcPr>
            <w:tcW w:type="dxa" w:w="850"/>
          </w:tcPr>
          <w:p>
            <w:pPr>
              <w:spacing w:after="20" w:before="20" w:line="240" w:lineRule="auto"/>
              <w:jc w:val="center"/>
            </w:pPr>
            <w:r>
              <w:rPr>
                <w:sz w:val="21"/>
              </w:rPr>
              <w:t>30.6</w:t>
            </w:r>
          </w:p>
        </w:tc>
        <w:tc>
          <w:tcPr>
            <w:tcW w:type="dxa" w:w="7540"/>
          </w:tcPr>
          <w:p>
            <w:pPr>
              <w:spacing w:after="20" w:before="20" w:line="240" w:lineRule="auto"/>
              <w:jc w:val="left"/>
            </w:pPr>
            <w:r>
              <w:rPr>
                <w:sz w:val="21"/>
              </w:rPr>
              <w:t>Challenges and Solutions in Professional Development</w:t>
            </w:r>
          </w:p>
        </w:tc>
        <w:tc>
          <w:tcPr>
            <w:tcW w:type="dxa" w:w="1020"/>
          </w:tcPr>
          <w:p>
            <w:pPr>
              <w:spacing w:after="20" w:before="20" w:line="240" w:lineRule="auto"/>
              <w:jc w:val="center"/>
            </w:pPr>
            <w:r>
              <w:rPr>
                <w:sz w:val="21"/>
              </w:rPr>
              <w:t>118</w:t>
            </w:r>
          </w:p>
        </w:tc>
      </w:tr>
      <w:tr>
        <w:tc>
          <w:tcPr>
            <w:tcW w:type="dxa" w:w="850"/>
            <w:shd w:val="clear" w:color="auto" w:fill="E8EEF5"/>
          </w:tcPr>
          <w:p>
            <w:pPr>
              <w:spacing w:after="20" w:before="20" w:line="240" w:lineRule="auto"/>
              <w:jc w:val="center"/>
            </w:pPr>
            <w:r>
              <w:rPr>
                <w:sz w:val="21"/>
              </w:rPr>
              <w:t>30.7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118</w:t>
            </w:r>
          </w:p>
        </w:tc>
      </w:tr>
      <w:tr>
        <w:tc>
          <w:tcPr>
            <w:tcW w:type="dxa" w:w="850"/>
          </w:tcPr>
          <w:p>
            <w:pPr>
              <w:spacing w:after="20" w:before="20" w:line="240" w:lineRule="auto"/>
              <w:jc w:val="center"/>
            </w:pPr>
            <w:r>
              <w:rPr>
                <w:b/>
                <w:sz w:val="21"/>
              </w:rPr>
              <w:t>31</w:t>
            </w:r>
          </w:p>
        </w:tc>
        <w:tc>
          <w:tcPr>
            <w:tcW w:type="dxa" w:w="7540"/>
          </w:tcPr>
          <w:p>
            <w:pPr>
              <w:spacing w:after="20" w:before="20" w:line="240" w:lineRule="auto"/>
              <w:jc w:val="left"/>
            </w:pPr>
            <w:r>
              <w:rPr>
                <w:b/>
                <w:sz w:val="21"/>
              </w:rPr>
              <w:t>Governance, Leadership, and Management (Quality Assurance Systems)</w:t>
            </w:r>
          </w:p>
        </w:tc>
        <w:tc>
          <w:tcPr>
            <w:tcW w:type="dxa" w:w="1020"/>
          </w:tcPr>
          <w:p>
            <w:pPr>
              <w:spacing w:after="20" w:before="20" w:line="240" w:lineRule="auto"/>
              <w:jc w:val="center"/>
            </w:pPr>
            <w:r>
              <w:rPr>
                <w:b/>
                <w:sz w:val="21"/>
              </w:rPr>
              <w:t>119</w:t>
            </w:r>
          </w:p>
        </w:tc>
      </w:tr>
      <w:tr>
        <w:tc>
          <w:tcPr>
            <w:tcW w:type="dxa" w:w="850"/>
            <w:shd w:val="clear" w:color="auto" w:fill="E8EEF5"/>
          </w:tcPr>
          <w:p>
            <w:pPr>
              <w:spacing w:after="20" w:before="20" w:line="240" w:lineRule="auto"/>
              <w:jc w:val="center"/>
            </w:pPr>
            <w:r>
              <w:rPr>
                <w:sz w:val="21"/>
              </w:rPr>
              <w:t>31.1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119</w:t>
            </w:r>
          </w:p>
        </w:tc>
      </w:tr>
      <w:tr>
        <w:tc>
          <w:tcPr>
            <w:tcW w:type="dxa" w:w="850"/>
          </w:tcPr>
          <w:p>
            <w:pPr>
              <w:spacing w:after="20" w:before="20" w:line="240" w:lineRule="auto"/>
              <w:jc w:val="center"/>
            </w:pPr>
            <w:r>
              <w:rPr>
                <w:sz w:val="21"/>
              </w:rPr>
              <w:t>31.2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119</w:t>
            </w:r>
          </w:p>
        </w:tc>
      </w:tr>
      <w:tr>
        <w:tc>
          <w:tcPr>
            <w:tcW w:type="dxa" w:w="850"/>
            <w:shd w:val="clear" w:color="auto" w:fill="E8EEF5"/>
          </w:tcPr>
          <w:p>
            <w:pPr>
              <w:spacing w:after="20" w:before="20" w:line="240" w:lineRule="auto"/>
              <w:jc w:val="center"/>
            </w:pPr>
            <w:r>
              <w:rPr>
                <w:sz w:val="21"/>
              </w:rPr>
              <w:t>31.3</w:t>
            </w:r>
          </w:p>
        </w:tc>
        <w:tc>
          <w:tcPr>
            <w:tcW w:type="dxa" w:w="7540"/>
            <w:shd w:val="clear" w:color="auto" w:fill="E8EEF5"/>
          </w:tcPr>
          <w:p>
            <w:pPr>
              <w:spacing w:after="20" w:before="20" w:line="240" w:lineRule="auto"/>
              <w:jc w:val="left"/>
            </w:pPr>
            <w:r>
              <w:rPr>
                <w:sz w:val="21"/>
              </w:rPr>
              <w:t>Key Components of Quality Assurance Systems in Governance, Leadership, and Management</w:t>
            </w:r>
          </w:p>
        </w:tc>
        <w:tc>
          <w:tcPr>
            <w:tcW w:type="dxa" w:w="1020"/>
            <w:shd w:val="clear" w:color="auto" w:fill="E8EEF5"/>
          </w:tcPr>
          <w:p>
            <w:pPr>
              <w:spacing w:after="20" w:before="20" w:line="240" w:lineRule="auto"/>
              <w:jc w:val="center"/>
            </w:pPr>
            <w:r>
              <w:rPr>
                <w:sz w:val="21"/>
              </w:rPr>
              <w:t>119</w:t>
            </w:r>
          </w:p>
        </w:tc>
      </w:tr>
      <w:tr>
        <w:tc>
          <w:tcPr>
            <w:tcW w:type="dxa" w:w="850"/>
          </w:tcPr>
          <w:p>
            <w:pPr>
              <w:spacing w:after="20" w:before="20" w:line="240" w:lineRule="auto"/>
              <w:jc w:val="center"/>
            </w:pPr>
            <w:r>
              <w:rPr>
                <w:sz w:val="21"/>
              </w:rPr>
              <w:t>31.4</w:t>
            </w:r>
          </w:p>
        </w:tc>
        <w:tc>
          <w:tcPr>
            <w:tcW w:type="dxa" w:w="7540"/>
          </w:tcPr>
          <w:p>
            <w:pPr>
              <w:spacing w:after="20" w:before="20" w:line="240" w:lineRule="auto"/>
              <w:jc w:val="left"/>
            </w:pPr>
            <w:r>
              <w:rPr>
                <w:sz w:val="21"/>
              </w:rPr>
              <w:t>Impact of Quality Assurance Systems</w:t>
            </w:r>
          </w:p>
        </w:tc>
        <w:tc>
          <w:tcPr>
            <w:tcW w:type="dxa" w:w="1020"/>
          </w:tcPr>
          <w:p>
            <w:pPr>
              <w:spacing w:after="20" w:before="20" w:line="240" w:lineRule="auto"/>
              <w:jc w:val="center"/>
            </w:pPr>
            <w:r>
              <w:rPr>
                <w:sz w:val="21"/>
              </w:rPr>
              <w:t>122</w:t>
            </w:r>
          </w:p>
        </w:tc>
      </w:tr>
      <w:tr>
        <w:tc>
          <w:tcPr>
            <w:tcW w:type="dxa" w:w="850"/>
            <w:shd w:val="clear" w:color="auto" w:fill="E8EEF5"/>
          </w:tcPr>
          <w:p>
            <w:pPr>
              <w:spacing w:after="20" w:before="20" w:line="240" w:lineRule="auto"/>
              <w:jc w:val="center"/>
            </w:pPr>
            <w:r>
              <w:rPr>
                <w:sz w:val="21"/>
              </w:rPr>
              <w:t>31.5</w:t>
            </w:r>
          </w:p>
        </w:tc>
        <w:tc>
          <w:tcPr>
            <w:tcW w:type="dxa" w:w="7540"/>
            <w:shd w:val="clear" w:color="auto" w:fill="E8EEF5"/>
          </w:tcPr>
          <w:p>
            <w:pPr>
              <w:spacing w:after="20" w:before="20" w:line="240" w:lineRule="auto"/>
              <w:jc w:val="left"/>
            </w:pPr>
            <w:r>
              <w:rPr>
                <w:sz w:val="21"/>
              </w:rPr>
              <w:t>Outcomes of Effective Quality Assurance Systems</w:t>
            </w:r>
          </w:p>
        </w:tc>
        <w:tc>
          <w:tcPr>
            <w:tcW w:type="dxa" w:w="1020"/>
            <w:shd w:val="clear" w:color="auto" w:fill="E8EEF5"/>
          </w:tcPr>
          <w:p>
            <w:pPr>
              <w:spacing w:after="20" w:before="20" w:line="240" w:lineRule="auto"/>
              <w:jc w:val="center"/>
            </w:pPr>
            <w:r>
              <w:rPr>
                <w:sz w:val="21"/>
              </w:rPr>
              <w:t>123</w:t>
            </w:r>
          </w:p>
        </w:tc>
      </w:tr>
      <w:tr>
        <w:tc>
          <w:tcPr>
            <w:tcW w:type="dxa" w:w="850"/>
          </w:tcPr>
          <w:p>
            <w:pPr>
              <w:spacing w:after="20" w:before="20" w:line="240" w:lineRule="auto"/>
              <w:jc w:val="center"/>
            </w:pPr>
            <w:r>
              <w:rPr>
                <w:sz w:val="21"/>
              </w:rPr>
              <w:t>31.6</w:t>
            </w:r>
          </w:p>
        </w:tc>
        <w:tc>
          <w:tcPr>
            <w:tcW w:type="dxa" w:w="7540"/>
          </w:tcPr>
          <w:p>
            <w:pPr>
              <w:spacing w:after="20" w:before="20" w:line="240" w:lineRule="auto"/>
              <w:jc w:val="left"/>
            </w:pPr>
            <w:r>
              <w:rPr>
                <w:sz w:val="21"/>
              </w:rPr>
              <w:t>Challenges and Solutions in Implementing Quality Assurance Systems</w:t>
            </w:r>
          </w:p>
        </w:tc>
        <w:tc>
          <w:tcPr>
            <w:tcW w:type="dxa" w:w="1020"/>
          </w:tcPr>
          <w:p>
            <w:pPr>
              <w:spacing w:after="20" w:before="20" w:line="240" w:lineRule="auto"/>
              <w:jc w:val="center"/>
            </w:pPr>
            <w:r>
              <w:rPr>
                <w:sz w:val="21"/>
              </w:rPr>
              <w:t>123</w:t>
            </w:r>
          </w:p>
        </w:tc>
      </w:tr>
      <w:tr>
        <w:tc>
          <w:tcPr>
            <w:tcW w:type="dxa" w:w="850"/>
            <w:shd w:val="clear" w:color="auto" w:fill="E8EEF5"/>
          </w:tcPr>
          <w:p>
            <w:pPr>
              <w:spacing w:after="20" w:before="20" w:line="240" w:lineRule="auto"/>
              <w:jc w:val="center"/>
            </w:pPr>
            <w:r>
              <w:rPr>
                <w:sz w:val="21"/>
              </w:rPr>
              <w:t>31.7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124</w:t>
            </w:r>
          </w:p>
        </w:tc>
      </w:tr>
      <w:tr>
        <w:tc>
          <w:tcPr>
            <w:tcW w:type="dxa" w:w="850"/>
          </w:tcPr>
          <w:p>
            <w:pPr>
              <w:spacing w:after="20" w:before="20" w:line="240" w:lineRule="auto"/>
              <w:jc w:val="center"/>
            </w:pPr>
            <w:r>
              <w:rPr>
                <w:b/>
                <w:sz w:val="21"/>
              </w:rPr>
              <w:t>32</w:t>
            </w:r>
          </w:p>
        </w:tc>
        <w:tc>
          <w:tcPr>
            <w:tcW w:type="dxa" w:w="7540"/>
          </w:tcPr>
          <w:p>
            <w:pPr>
              <w:spacing w:after="20" w:before="20" w:line="240" w:lineRule="auto"/>
              <w:jc w:val="left"/>
            </w:pPr>
            <w:r>
              <w:rPr>
                <w:b/>
                <w:sz w:val="21"/>
              </w:rPr>
              <w:t>Governance, Leadership, and Management (Strategic Planning)</w:t>
            </w:r>
          </w:p>
        </w:tc>
        <w:tc>
          <w:tcPr>
            <w:tcW w:type="dxa" w:w="1020"/>
          </w:tcPr>
          <w:p>
            <w:pPr>
              <w:spacing w:after="20" w:before="20" w:line="240" w:lineRule="auto"/>
              <w:jc w:val="center"/>
            </w:pPr>
            <w:r>
              <w:rPr>
                <w:b/>
                <w:sz w:val="21"/>
              </w:rPr>
              <w:t>125</w:t>
            </w:r>
          </w:p>
        </w:tc>
      </w:tr>
      <w:tr>
        <w:tc>
          <w:tcPr>
            <w:tcW w:type="dxa" w:w="850"/>
            <w:shd w:val="clear" w:color="auto" w:fill="E8EEF5"/>
          </w:tcPr>
          <w:p>
            <w:pPr>
              <w:spacing w:after="20" w:before="20" w:line="240" w:lineRule="auto"/>
              <w:jc w:val="center"/>
            </w:pPr>
            <w:r>
              <w:rPr>
                <w:sz w:val="21"/>
              </w:rPr>
              <w:t>32.1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125</w:t>
            </w:r>
          </w:p>
        </w:tc>
      </w:tr>
      <w:tr>
        <w:tc>
          <w:tcPr>
            <w:tcW w:type="dxa" w:w="850"/>
          </w:tcPr>
          <w:p>
            <w:pPr>
              <w:spacing w:after="20" w:before="20" w:line="240" w:lineRule="auto"/>
              <w:jc w:val="center"/>
            </w:pPr>
            <w:r>
              <w:rPr>
                <w:sz w:val="21"/>
              </w:rPr>
              <w:t>32.2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125</w:t>
            </w:r>
          </w:p>
        </w:tc>
      </w:tr>
      <w:tr>
        <w:tc>
          <w:tcPr>
            <w:tcW w:type="dxa" w:w="850"/>
            <w:shd w:val="clear" w:color="auto" w:fill="E8EEF5"/>
          </w:tcPr>
          <w:p>
            <w:pPr>
              <w:spacing w:after="20" w:before="20" w:line="240" w:lineRule="auto"/>
              <w:jc w:val="center"/>
            </w:pPr>
            <w:r>
              <w:rPr>
                <w:sz w:val="21"/>
              </w:rPr>
              <w:t>32.3</w:t>
            </w:r>
          </w:p>
        </w:tc>
        <w:tc>
          <w:tcPr>
            <w:tcW w:type="dxa" w:w="7540"/>
            <w:shd w:val="clear" w:color="auto" w:fill="E8EEF5"/>
          </w:tcPr>
          <w:p>
            <w:pPr>
              <w:spacing w:after="20" w:before="20" w:line="240" w:lineRule="auto"/>
              <w:jc w:val="left"/>
            </w:pPr>
            <w:r>
              <w:rPr>
                <w:sz w:val="21"/>
              </w:rPr>
              <w:t>Key Practices in Strategic Planning</w:t>
            </w:r>
          </w:p>
        </w:tc>
        <w:tc>
          <w:tcPr>
            <w:tcW w:type="dxa" w:w="1020"/>
            <w:shd w:val="clear" w:color="auto" w:fill="E8EEF5"/>
          </w:tcPr>
          <w:p>
            <w:pPr>
              <w:spacing w:after="20" w:before="20" w:line="240" w:lineRule="auto"/>
              <w:jc w:val="center"/>
            </w:pPr>
            <w:r>
              <w:rPr>
                <w:sz w:val="21"/>
              </w:rPr>
              <w:t>125</w:t>
            </w:r>
          </w:p>
        </w:tc>
      </w:tr>
      <w:tr>
        <w:tc>
          <w:tcPr>
            <w:tcW w:type="dxa" w:w="850"/>
          </w:tcPr>
          <w:p>
            <w:pPr>
              <w:spacing w:after="20" w:before="20" w:line="240" w:lineRule="auto"/>
              <w:jc w:val="center"/>
            </w:pPr>
            <w:r>
              <w:rPr>
                <w:sz w:val="21"/>
              </w:rPr>
              <w:t>32.4</w:t>
            </w:r>
          </w:p>
        </w:tc>
        <w:tc>
          <w:tcPr>
            <w:tcW w:type="dxa" w:w="7540"/>
          </w:tcPr>
          <w:p>
            <w:pPr>
              <w:spacing w:after="20" w:before="20" w:line="240" w:lineRule="auto"/>
              <w:jc w:val="left"/>
            </w:pPr>
            <w:r>
              <w:rPr>
                <w:sz w:val="21"/>
              </w:rPr>
              <w:t>Impact of Strategic Planning</w:t>
            </w:r>
          </w:p>
        </w:tc>
        <w:tc>
          <w:tcPr>
            <w:tcW w:type="dxa" w:w="1020"/>
          </w:tcPr>
          <w:p>
            <w:pPr>
              <w:spacing w:after="20" w:before="20" w:line="240" w:lineRule="auto"/>
              <w:jc w:val="center"/>
            </w:pPr>
            <w:r>
              <w:rPr>
                <w:sz w:val="21"/>
              </w:rPr>
              <w:t>127</w:t>
            </w:r>
          </w:p>
        </w:tc>
      </w:tr>
      <w:tr>
        <w:tc>
          <w:tcPr>
            <w:tcW w:type="dxa" w:w="850"/>
            <w:shd w:val="clear" w:color="auto" w:fill="E8EEF5"/>
          </w:tcPr>
          <w:p>
            <w:pPr>
              <w:spacing w:after="20" w:before="20" w:line="240" w:lineRule="auto"/>
              <w:jc w:val="center"/>
            </w:pPr>
            <w:r>
              <w:rPr>
                <w:sz w:val="21"/>
              </w:rPr>
              <w:t>32.5</w:t>
            </w:r>
          </w:p>
        </w:tc>
        <w:tc>
          <w:tcPr>
            <w:tcW w:type="dxa" w:w="7540"/>
            <w:shd w:val="clear" w:color="auto" w:fill="E8EEF5"/>
          </w:tcPr>
          <w:p>
            <w:pPr>
              <w:spacing w:after="20" w:before="20" w:line="240" w:lineRule="auto"/>
              <w:jc w:val="left"/>
            </w:pPr>
            <w:r>
              <w:rPr>
                <w:sz w:val="21"/>
              </w:rPr>
              <w:t>Outcomes of Effective Strategic Planning in Governance, Leadership, and Management</w:t>
            </w:r>
          </w:p>
        </w:tc>
        <w:tc>
          <w:tcPr>
            <w:tcW w:type="dxa" w:w="1020"/>
            <w:shd w:val="clear" w:color="auto" w:fill="E8EEF5"/>
          </w:tcPr>
          <w:p>
            <w:pPr>
              <w:spacing w:after="20" w:before="20" w:line="240" w:lineRule="auto"/>
              <w:jc w:val="center"/>
            </w:pPr>
            <w:r>
              <w:rPr>
                <w:sz w:val="21"/>
              </w:rPr>
              <w:t>128</w:t>
            </w:r>
          </w:p>
        </w:tc>
      </w:tr>
      <w:tr>
        <w:tc>
          <w:tcPr>
            <w:tcW w:type="dxa" w:w="850"/>
          </w:tcPr>
          <w:p>
            <w:pPr>
              <w:spacing w:after="20" w:before="20" w:line="240" w:lineRule="auto"/>
              <w:jc w:val="center"/>
            </w:pPr>
            <w:r>
              <w:rPr>
                <w:sz w:val="21"/>
              </w:rPr>
              <w:t>32.6</w:t>
            </w:r>
          </w:p>
        </w:tc>
        <w:tc>
          <w:tcPr>
            <w:tcW w:type="dxa" w:w="7540"/>
          </w:tcPr>
          <w:p>
            <w:pPr>
              <w:spacing w:after="20" w:before="20" w:line="240" w:lineRule="auto"/>
              <w:jc w:val="left"/>
            </w:pPr>
            <w:r>
              <w:rPr>
                <w:sz w:val="21"/>
              </w:rPr>
              <w:t>Challenges and Solutions in Strategic Planning</w:t>
            </w:r>
          </w:p>
        </w:tc>
        <w:tc>
          <w:tcPr>
            <w:tcW w:type="dxa" w:w="1020"/>
          </w:tcPr>
          <w:p>
            <w:pPr>
              <w:spacing w:after="20" w:before="20" w:line="240" w:lineRule="auto"/>
              <w:jc w:val="center"/>
            </w:pPr>
            <w:r>
              <w:rPr>
                <w:sz w:val="21"/>
              </w:rPr>
              <w:t>129</w:t>
            </w:r>
          </w:p>
        </w:tc>
      </w:tr>
      <w:tr>
        <w:tc>
          <w:tcPr>
            <w:tcW w:type="dxa" w:w="850"/>
            <w:shd w:val="clear" w:color="auto" w:fill="E8EEF5"/>
          </w:tcPr>
          <w:p>
            <w:pPr>
              <w:spacing w:after="20" w:before="20" w:line="240" w:lineRule="auto"/>
              <w:jc w:val="center"/>
            </w:pPr>
            <w:r>
              <w:rPr>
                <w:sz w:val="21"/>
              </w:rPr>
              <w:t>32.7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129</w:t>
            </w:r>
          </w:p>
        </w:tc>
      </w:tr>
      <w:tr>
        <w:tc>
          <w:tcPr>
            <w:tcW w:type="dxa" w:w="850"/>
          </w:tcPr>
          <w:p>
            <w:pPr>
              <w:spacing w:after="20" w:before="20" w:line="240" w:lineRule="auto"/>
              <w:jc w:val="center"/>
            </w:pPr>
            <w:r>
              <w:rPr>
                <w:b/>
                <w:sz w:val="21"/>
              </w:rPr>
              <w:t>33</w:t>
            </w:r>
          </w:p>
        </w:tc>
        <w:tc>
          <w:tcPr>
            <w:tcW w:type="dxa" w:w="7540"/>
          </w:tcPr>
          <w:p>
            <w:pPr>
              <w:spacing w:after="20" w:before="20" w:line="240" w:lineRule="auto"/>
              <w:jc w:val="left"/>
            </w:pPr>
            <w:r>
              <w:rPr>
                <w:b/>
                <w:sz w:val="21"/>
              </w:rPr>
              <w:t>Best Practices in Infrastructure and Learning Resources</w:t>
            </w:r>
          </w:p>
        </w:tc>
        <w:tc>
          <w:tcPr>
            <w:tcW w:type="dxa" w:w="1020"/>
          </w:tcPr>
          <w:p>
            <w:pPr>
              <w:spacing w:after="20" w:before="20" w:line="240" w:lineRule="auto"/>
              <w:jc w:val="center"/>
            </w:pPr>
            <w:r>
              <w:rPr>
                <w:b/>
                <w:sz w:val="21"/>
              </w:rPr>
              <w:t>130</w:t>
            </w:r>
          </w:p>
        </w:tc>
      </w:tr>
      <w:tr>
        <w:tc>
          <w:tcPr>
            <w:tcW w:type="dxa" w:w="850"/>
            <w:shd w:val="clear" w:color="auto" w:fill="E8EEF5"/>
          </w:tcPr>
          <w:p>
            <w:pPr>
              <w:spacing w:after="20" w:before="20" w:line="240" w:lineRule="auto"/>
              <w:jc w:val="center"/>
            </w:pPr>
            <w:r>
              <w:rPr>
                <w:sz w:val="21"/>
              </w:rPr>
              <w:t>33.1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130</w:t>
            </w:r>
          </w:p>
        </w:tc>
      </w:tr>
      <w:tr>
        <w:tc>
          <w:tcPr>
            <w:tcW w:type="dxa" w:w="850"/>
          </w:tcPr>
          <w:p>
            <w:pPr>
              <w:spacing w:after="20" w:before="20" w:line="240" w:lineRule="auto"/>
              <w:jc w:val="center"/>
            </w:pPr>
            <w:r>
              <w:rPr>
                <w:sz w:val="21"/>
              </w:rPr>
              <w:t>33.2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130</w:t>
            </w:r>
          </w:p>
        </w:tc>
      </w:tr>
      <w:tr>
        <w:tc>
          <w:tcPr>
            <w:tcW w:type="dxa" w:w="850"/>
            <w:shd w:val="clear" w:color="auto" w:fill="E8EEF5"/>
          </w:tcPr>
          <w:p>
            <w:pPr>
              <w:spacing w:after="20" w:before="20" w:line="240" w:lineRule="auto"/>
              <w:jc w:val="center"/>
            </w:pPr>
            <w:r>
              <w:rPr>
                <w:sz w:val="21"/>
              </w:rPr>
              <w:t>33.3</w:t>
            </w:r>
          </w:p>
        </w:tc>
        <w:tc>
          <w:tcPr>
            <w:tcW w:type="dxa" w:w="7540"/>
            <w:shd w:val="clear" w:color="auto" w:fill="E8EEF5"/>
          </w:tcPr>
          <w:p>
            <w:pPr>
              <w:spacing w:after="20" w:before="20" w:line="240" w:lineRule="auto"/>
              <w:jc w:val="left"/>
            </w:pPr>
            <w:r>
              <w:rPr>
                <w:sz w:val="21"/>
              </w:rPr>
              <w:t>Key Components of Best Practices in Infrastructure and Learning Resources</w:t>
            </w:r>
          </w:p>
        </w:tc>
        <w:tc>
          <w:tcPr>
            <w:tcW w:type="dxa" w:w="1020"/>
            <w:shd w:val="clear" w:color="auto" w:fill="E8EEF5"/>
          </w:tcPr>
          <w:p>
            <w:pPr>
              <w:spacing w:after="20" w:before="20" w:line="240" w:lineRule="auto"/>
              <w:jc w:val="center"/>
            </w:pPr>
            <w:r>
              <w:rPr>
                <w:sz w:val="21"/>
              </w:rPr>
              <w:t>130</w:t>
            </w:r>
          </w:p>
        </w:tc>
      </w:tr>
      <w:tr>
        <w:tc>
          <w:tcPr>
            <w:tcW w:type="dxa" w:w="850"/>
          </w:tcPr>
          <w:p>
            <w:pPr>
              <w:spacing w:after="20" w:before="20" w:line="240" w:lineRule="auto"/>
              <w:jc w:val="center"/>
            </w:pPr>
            <w:r>
              <w:rPr>
                <w:sz w:val="21"/>
              </w:rPr>
              <w:t>33.4</w:t>
            </w:r>
          </w:p>
        </w:tc>
        <w:tc>
          <w:tcPr>
            <w:tcW w:type="dxa" w:w="7540"/>
          </w:tcPr>
          <w:p>
            <w:pPr>
              <w:spacing w:after="20" w:before="20" w:line="240" w:lineRule="auto"/>
              <w:jc w:val="left"/>
            </w:pPr>
            <w:r>
              <w:rPr>
                <w:sz w:val="21"/>
              </w:rPr>
              <w:t>Benefits of Best Practices in Infrastructure and Learning Resources</w:t>
            </w:r>
          </w:p>
        </w:tc>
        <w:tc>
          <w:tcPr>
            <w:tcW w:type="dxa" w:w="1020"/>
          </w:tcPr>
          <w:p>
            <w:pPr>
              <w:spacing w:after="20" w:before="20" w:line="240" w:lineRule="auto"/>
              <w:jc w:val="center"/>
            </w:pPr>
            <w:r>
              <w:rPr>
                <w:sz w:val="21"/>
              </w:rPr>
              <w:t>132</w:t>
            </w:r>
          </w:p>
        </w:tc>
      </w:tr>
      <w:tr>
        <w:tc>
          <w:tcPr>
            <w:tcW w:type="dxa" w:w="850"/>
            <w:shd w:val="clear" w:color="auto" w:fill="E8EEF5"/>
          </w:tcPr>
          <w:p>
            <w:pPr>
              <w:spacing w:after="20" w:before="20" w:line="240" w:lineRule="auto"/>
              <w:jc w:val="center"/>
            </w:pPr>
            <w:r>
              <w:rPr>
                <w:sz w:val="21"/>
              </w:rPr>
              <w:t>33.5</w:t>
            </w:r>
          </w:p>
        </w:tc>
        <w:tc>
          <w:tcPr>
            <w:tcW w:type="dxa" w:w="7540"/>
            <w:shd w:val="clear" w:color="auto" w:fill="E8EEF5"/>
          </w:tcPr>
          <w:p>
            <w:pPr>
              <w:spacing w:after="20" w:before="20" w:line="240" w:lineRule="auto"/>
              <w:jc w:val="left"/>
            </w:pPr>
            <w:r>
              <w:rPr>
                <w:sz w:val="21"/>
              </w:rPr>
              <w:t>Challenges and Solutions in Implementing Best Practices in Infrastructure and Learning Resources</w:t>
            </w:r>
          </w:p>
        </w:tc>
        <w:tc>
          <w:tcPr>
            <w:tcW w:type="dxa" w:w="1020"/>
            <w:shd w:val="clear" w:color="auto" w:fill="E8EEF5"/>
          </w:tcPr>
          <w:p>
            <w:pPr>
              <w:spacing w:after="20" w:before="20" w:line="240" w:lineRule="auto"/>
              <w:jc w:val="center"/>
            </w:pPr>
            <w:r>
              <w:rPr>
                <w:sz w:val="21"/>
              </w:rPr>
              <w:t>133</w:t>
            </w:r>
          </w:p>
        </w:tc>
      </w:tr>
      <w:tr>
        <w:tc>
          <w:tcPr>
            <w:tcW w:type="dxa" w:w="850"/>
          </w:tcPr>
          <w:p>
            <w:pPr>
              <w:spacing w:after="20" w:before="20" w:line="240" w:lineRule="auto"/>
              <w:jc w:val="center"/>
            </w:pPr>
            <w:r>
              <w:rPr>
                <w:sz w:val="21"/>
              </w:rPr>
              <w:t>33.6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133</w:t>
            </w:r>
          </w:p>
        </w:tc>
      </w:tr>
      <w:tr>
        <w:tc>
          <w:tcPr>
            <w:tcW w:type="dxa" w:w="850"/>
            <w:shd w:val="clear" w:color="auto" w:fill="E8EEF5"/>
          </w:tcPr>
          <w:p>
            <w:pPr>
              <w:spacing w:after="20" w:before="20" w:line="240" w:lineRule="auto"/>
              <w:jc w:val="center"/>
            </w:pPr>
            <w:r>
              <w:rPr>
                <w:b/>
                <w:sz w:val="21"/>
              </w:rPr>
              <w:t>34</w:t>
            </w:r>
          </w:p>
        </w:tc>
        <w:tc>
          <w:tcPr>
            <w:tcW w:type="dxa" w:w="7540"/>
            <w:shd w:val="clear" w:color="auto" w:fill="E8EEF5"/>
          </w:tcPr>
          <w:p>
            <w:pPr>
              <w:spacing w:after="20" w:before="20" w:line="240" w:lineRule="auto"/>
              <w:jc w:val="left"/>
            </w:pPr>
            <w:r>
              <w:rPr>
                <w:b/>
                <w:sz w:val="21"/>
              </w:rPr>
              <w:t>Campus: A Comprehensive Space for Higher Education</w:t>
            </w:r>
          </w:p>
        </w:tc>
        <w:tc>
          <w:tcPr>
            <w:tcW w:type="dxa" w:w="1020"/>
            <w:shd w:val="clear" w:color="auto" w:fill="E8EEF5"/>
          </w:tcPr>
          <w:p>
            <w:pPr>
              <w:spacing w:after="20" w:before="20" w:line="240" w:lineRule="auto"/>
              <w:jc w:val="center"/>
            </w:pPr>
            <w:r>
              <w:rPr>
                <w:b/>
                <w:sz w:val="21"/>
              </w:rPr>
              <w:t>135</w:t>
            </w:r>
          </w:p>
        </w:tc>
      </w:tr>
      <w:tr>
        <w:tc>
          <w:tcPr>
            <w:tcW w:type="dxa" w:w="850"/>
          </w:tcPr>
          <w:p>
            <w:pPr>
              <w:spacing w:after="20" w:before="20" w:line="240" w:lineRule="auto"/>
              <w:jc w:val="center"/>
            </w:pPr>
            <w:r>
              <w:rPr>
                <w:sz w:val="21"/>
              </w:rPr>
              <w:t>34.1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135</w:t>
            </w:r>
          </w:p>
        </w:tc>
      </w:tr>
      <w:tr>
        <w:tc>
          <w:tcPr>
            <w:tcW w:type="dxa" w:w="850"/>
            <w:shd w:val="clear" w:color="auto" w:fill="E8EEF5"/>
          </w:tcPr>
          <w:p>
            <w:pPr>
              <w:spacing w:after="20" w:before="20" w:line="240" w:lineRule="auto"/>
              <w:jc w:val="center"/>
            </w:pPr>
            <w:r>
              <w:rPr>
                <w:sz w:val="21"/>
              </w:rPr>
              <w:t>34.2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135</w:t>
            </w:r>
          </w:p>
        </w:tc>
      </w:tr>
      <w:tr>
        <w:tc>
          <w:tcPr>
            <w:tcW w:type="dxa" w:w="850"/>
          </w:tcPr>
          <w:p>
            <w:pPr>
              <w:spacing w:after="20" w:before="20" w:line="240" w:lineRule="auto"/>
              <w:jc w:val="center"/>
            </w:pPr>
            <w:r>
              <w:rPr>
                <w:sz w:val="21"/>
              </w:rPr>
              <w:t>34.3</w:t>
            </w:r>
          </w:p>
        </w:tc>
        <w:tc>
          <w:tcPr>
            <w:tcW w:type="dxa" w:w="7540"/>
          </w:tcPr>
          <w:p>
            <w:pPr>
              <w:spacing w:after="20" w:before="20" w:line="240" w:lineRule="auto"/>
              <w:jc w:val="left"/>
            </w:pPr>
            <w:r>
              <w:rPr>
                <w:sz w:val="21"/>
              </w:rPr>
              <w:t>Key Components of a Well-Designed Campus</w:t>
            </w:r>
          </w:p>
        </w:tc>
        <w:tc>
          <w:tcPr>
            <w:tcW w:type="dxa" w:w="1020"/>
          </w:tcPr>
          <w:p>
            <w:pPr>
              <w:spacing w:after="20" w:before="20" w:line="240" w:lineRule="auto"/>
              <w:jc w:val="center"/>
            </w:pPr>
            <w:r>
              <w:rPr>
                <w:sz w:val="21"/>
              </w:rPr>
              <w:t>135</w:t>
            </w:r>
          </w:p>
        </w:tc>
      </w:tr>
      <w:tr>
        <w:tc>
          <w:tcPr>
            <w:tcW w:type="dxa" w:w="850"/>
            <w:shd w:val="clear" w:color="auto" w:fill="E8EEF5"/>
          </w:tcPr>
          <w:p>
            <w:pPr>
              <w:spacing w:after="20" w:before="20" w:line="240" w:lineRule="auto"/>
              <w:jc w:val="center"/>
            </w:pPr>
            <w:r>
              <w:rPr>
                <w:sz w:val="21"/>
              </w:rPr>
              <w:t>34.4</w:t>
            </w:r>
          </w:p>
        </w:tc>
        <w:tc>
          <w:tcPr>
            <w:tcW w:type="dxa" w:w="7540"/>
            <w:shd w:val="clear" w:color="auto" w:fill="E8EEF5"/>
          </w:tcPr>
          <w:p>
            <w:pPr>
              <w:spacing w:after="20" w:before="20" w:line="240" w:lineRule="auto"/>
              <w:jc w:val="left"/>
            </w:pPr>
            <w:r>
              <w:rPr>
                <w:sz w:val="21"/>
              </w:rPr>
              <w:t>Best Practices in Managing Campus Infrastructure</w:t>
            </w:r>
          </w:p>
        </w:tc>
        <w:tc>
          <w:tcPr>
            <w:tcW w:type="dxa" w:w="1020"/>
            <w:shd w:val="clear" w:color="auto" w:fill="E8EEF5"/>
          </w:tcPr>
          <w:p>
            <w:pPr>
              <w:spacing w:after="20" w:before="20" w:line="240" w:lineRule="auto"/>
              <w:jc w:val="center"/>
            </w:pPr>
            <w:r>
              <w:rPr>
                <w:sz w:val="21"/>
              </w:rPr>
              <w:t>137</w:t>
            </w:r>
          </w:p>
        </w:tc>
      </w:tr>
      <w:tr>
        <w:tc>
          <w:tcPr>
            <w:tcW w:type="dxa" w:w="850"/>
          </w:tcPr>
          <w:p>
            <w:pPr>
              <w:spacing w:after="20" w:before="20" w:line="240" w:lineRule="auto"/>
              <w:jc w:val="center"/>
            </w:pPr>
            <w:r>
              <w:rPr>
                <w:sz w:val="21"/>
              </w:rPr>
              <w:t>34.5</w:t>
            </w:r>
          </w:p>
        </w:tc>
        <w:tc>
          <w:tcPr>
            <w:tcW w:type="dxa" w:w="7540"/>
          </w:tcPr>
          <w:p>
            <w:pPr>
              <w:spacing w:after="20" w:before="20" w:line="240" w:lineRule="auto"/>
              <w:jc w:val="left"/>
            </w:pPr>
            <w:r>
              <w:rPr>
                <w:sz w:val="21"/>
              </w:rPr>
              <w:t>Benefits of Well-Designed Campus Infrastructure</w:t>
            </w:r>
          </w:p>
        </w:tc>
        <w:tc>
          <w:tcPr>
            <w:tcW w:type="dxa" w:w="1020"/>
          </w:tcPr>
          <w:p>
            <w:pPr>
              <w:spacing w:after="20" w:before="20" w:line="240" w:lineRule="auto"/>
              <w:jc w:val="center"/>
            </w:pPr>
            <w:r>
              <w:rPr>
                <w:sz w:val="21"/>
              </w:rPr>
              <w:t>137</w:t>
            </w:r>
          </w:p>
        </w:tc>
      </w:tr>
      <w:tr>
        <w:tc>
          <w:tcPr>
            <w:tcW w:type="dxa" w:w="850"/>
            <w:shd w:val="clear" w:color="auto" w:fill="E8EEF5"/>
          </w:tcPr>
          <w:p>
            <w:pPr>
              <w:spacing w:after="20" w:before="20" w:line="240" w:lineRule="auto"/>
              <w:jc w:val="center"/>
            </w:pPr>
            <w:r>
              <w:rPr>
                <w:sz w:val="21"/>
              </w:rPr>
              <w:t>34.6</w:t>
            </w:r>
          </w:p>
        </w:tc>
        <w:tc>
          <w:tcPr>
            <w:tcW w:type="dxa" w:w="7540"/>
            <w:shd w:val="clear" w:color="auto" w:fill="E8EEF5"/>
          </w:tcPr>
          <w:p>
            <w:pPr>
              <w:spacing w:after="20" w:before="20" w:line="240" w:lineRule="auto"/>
              <w:jc w:val="left"/>
            </w:pPr>
            <w:r>
              <w:rPr>
                <w:sz w:val="21"/>
              </w:rPr>
              <w:t>Challenges and Solutions in Campus Infrastructure Development</w:t>
            </w:r>
          </w:p>
        </w:tc>
        <w:tc>
          <w:tcPr>
            <w:tcW w:type="dxa" w:w="1020"/>
            <w:shd w:val="clear" w:color="auto" w:fill="E8EEF5"/>
          </w:tcPr>
          <w:p>
            <w:pPr>
              <w:spacing w:after="20" w:before="20" w:line="240" w:lineRule="auto"/>
              <w:jc w:val="center"/>
            </w:pPr>
            <w:r>
              <w:rPr>
                <w:sz w:val="21"/>
              </w:rPr>
              <w:t>138</w:t>
            </w:r>
          </w:p>
        </w:tc>
      </w:tr>
      <w:tr>
        <w:tc>
          <w:tcPr>
            <w:tcW w:type="dxa" w:w="850"/>
          </w:tcPr>
          <w:p>
            <w:pPr>
              <w:spacing w:after="20" w:before="20" w:line="240" w:lineRule="auto"/>
              <w:jc w:val="center"/>
            </w:pPr>
            <w:r>
              <w:rPr>
                <w:sz w:val="21"/>
              </w:rPr>
              <w:t>34.7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138</w:t>
            </w:r>
          </w:p>
        </w:tc>
      </w:tr>
      <w:tr>
        <w:tc>
          <w:tcPr>
            <w:tcW w:type="dxa" w:w="850"/>
            <w:shd w:val="clear" w:color="auto" w:fill="E8EEF5"/>
          </w:tcPr>
          <w:p>
            <w:pPr>
              <w:spacing w:after="20" w:before="20" w:line="240" w:lineRule="auto"/>
              <w:jc w:val="center"/>
            </w:pPr>
            <w:r>
              <w:rPr>
                <w:b/>
                <w:sz w:val="21"/>
              </w:rPr>
              <w:t>35</w:t>
            </w:r>
          </w:p>
        </w:tc>
        <w:tc>
          <w:tcPr>
            <w:tcW w:type="dxa" w:w="7540"/>
            <w:shd w:val="clear" w:color="auto" w:fill="E8EEF5"/>
          </w:tcPr>
          <w:p>
            <w:pPr>
              <w:spacing w:after="20" w:before="20" w:line="240" w:lineRule="auto"/>
              <w:jc w:val="left"/>
            </w:pPr>
            <w:r>
              <w:rPr>
                <w:b/>
                <w:sz w:val="21"/>
              </w:rPr>
              <w:t>Campus Layout: Design for a Harmonious and Productive Environment</w:t>
            </w:r>
          </w:p>
        </w:tc>
        <w:tc>
          <w:tcPr>
            <w:tcW w:type="dxa" w:w="1020"/>
            <w:shd w:val="clear" w:color="auto" w:fill="E8EEF5"/>
          </w:tcPr>
          <w:p>
            <w:pPr>
              <w:spacing w:after="20" w:before="20" w:line="240" w:lineRule="auto"/>
              <w:jc w:val="center"/>
            </w:pPr>
            <w:r>
              <w:rPr>
                <w:b/>
                <w:sz w:val="21"/>
              </w:rPr>
              <w:t>139</w:t>
            </w:r>
          </w:p>
        </w:tc>
      </w:tr>
      <w:tr>
        <w:tc>
          <w:tcPr>
            <w:tcW w:type="dxa" w:w="850"/>
          </w:tcPr>
          <w:p>
            <w:pPr>
              <w:spacing w:after="20" w:before="20" w:line="240" w:lineRule="auto"/>
              <w:jc w:val="center"/>
            </w:pPr>
            <w:r>
              <w:rPr>
                <w:sz w:val="21"/>
              </w:rPr>
              <w:t>35.1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139</w:t>
            </w:r>
          </w:p>
        </w:tc>
      </w:tr>
      <w:tr>
        <w:tc>
          <w:tcPr>
            <w:tcW w:type="dxa" w:w="850"/>
            <w:shd w:val="clear" w:color="auto" w:fill="E8EEF5"/>
          </w:tcPr>
          <w:p>
            <w:pPr>
              <w:spacing w:after="20" w:before="20" w:line="240" w:lineRule="auto"/>
              <w:jc w:val="center"/>
            </w:pPr>
            <w:r>
              <w:rPr>
                <w:sz w:val="21"/>
              </w:rPr>
              <w:t>35.2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139</w:t>
            </w:r>
          </w:p>
        </w:tc>
      </w:tr>
      <w:tr>
        <w:tc>
          <w:tcPr>
            <w:tcW w:type="dxa" w:w="850"/>
          </w:tcPr>
          <w:p>
            <w:pPr>
              <w:spacing w:after="20" w:before="20" w:line="240" w:lineRule="auto"/>
              <w:jc w:val="center"/>
            </w:pPr>
            <w:r>
              <w:rPr>
                <w:sz w:val="21"/>
              </w:rPr>
              <w:t>35.3</w:t>
            </w:r>
          </w:p>
        </w:tc>
        <w:tc>
          <w:tcPr>
            <w:tcW w:type="dxa" w:w="7540"/>
          </w:tcPr>
          <w:p>
            <w:pPr>
              <w:spacing w:after="20" w:before="20" w:line="240" w:lineRule="auto"/>
              <w:jc w:val="left"/>
            </w:pPr>
            <w:r>
              <w:rPr>
                <w:sz w:val="21"/>
              </w:rPr>
              <w:t>Key Elements of a Well-Designed Campus Layout</w:t>
            </w:r>
          </w:p>
        </w:tc>
        <w:tc>
          <w:tcPr>
            <w:tcW w:type="dxa" w:w="1020"/>
          </w:tcPr>
          <w:p>
            <w:pPr>
              <w:spacing w:after="20" w:before="20" w:line="240" w:lineRule="auto"/>
              <w:jc w:val="center"/>
            </w:pPr>
            <w:r>
              <w:rPr>
                <w:sz w:val="21"/>
              </w:rPr>
              <w:t>139</w:t>
            </w:r>
          </w:p>
        </w:tc>
      </w:tr>
      <w:tr>
        <w:tc>
          <w:tcPr>
            <w:tcW w:type="dxa" w:w="850"/>
            <w:shd w:val="clear" w:color="auto" w:fill="E8EEF5"/>
          </w:tcPr>
          <w:p>
            <w:pPr>
              <w:spacing w:after="20" w:before="20" w:line="240" w:lineRule="auto"/>
              <w:jc w:val="center"/>
            </w:pPr>
            <w:r>
              <w:rPr>
                <w:sz w:val="21"/>
              </w:rPr>
              <w:t>35.4</w:t>
            </w:r>
          </w:p>
        </w:tc>
        <w:tc>
          <w:tcPr>
            <w:tcW w:type="dxa" w:w="7540"/>
            <w:shd w:val="clear" w:color="auto" w:fill="E8EEF5"/>
          </w:tcPr>
          <w:p>
            <w:pPr>
              <w:spacing w:after="20" w:before="20" w:line="240" w:lineRule="auto"/>
              <w:jc w:val="left"/>
            </w:pPr>
            <w:r>
              <w:rPr>
                <w:sz w:val="21"/>
              </w:rPr>
              <w:t>Benefits of a Well-Planned Campus Layout</w:t>
            </w:r>
          </w:p>
        </w:tc>
        <w:tc>
          <w:tcPr>
            <w:tcW w:type="dxa" w:w="1020"/>
            <w:shd w:val="clear" w:color="auto" w:fill="E8EEF5"/>
          </w:tcPr>
          <w:p>
            <w:pPr>
              <w:spacing w:after="20" w:before="20" w:line="240" w:lineRule="auto"/>
              <w:jc w:val="center"/>
            </w:pPr>
            <w:r>
              <w:rPr>
                <w:sz w:val="21"/>
              </w:rPr>
              <w:t>141</w:t>
            </w:r>
          </w:p>
        </w:tc>
      </w:tr>
      <w:tr>
        <w:tc>
          <w:tcPr>
            <w:tcW w:type="dxa" w:w="850"/>
          </w:tcPr>
          <w:p>
            <w:pPr>
              <w:spacing w:after="20" w:before="20" w:line="240" w:lineRule="auto"/>
              <w:jc w:val="center"/>
            </w:pPr>
            <w:r>
              <w:rPr>
                <w:sz w:val="21"/>
              </w:rPr>
              <w:t>35.5</w:t>
            </w:r>
          </w:p>
        </w:tc>
        <w:tc>
          <w:tcPr>
            <w:tcW w:type="dxa" w:w="7540"/>
          </w:tcPr>
          <w:p>
            <w:pPr>
              <w:spacing w:after="20" w:before="20" w:line="240" w:lineRule="auto"/>
              <w:jc w:val="left"/>
            </w:pPr>
            <w:r>
              <w:rPr>
                <w:sz w:val="21"/>
              </w:rPr>
              <w:t>Challenges in Campus Layout and Solutions</w:t>
            </w:r>
          </w:p>
        </w:tc>
        <w:tc>
          <w:tcPr>
            <w:tcW w:type="dxa" w:w="1020"/>
          </w:tcPr>
          <w:p>
            <w:pPr>
              <w:spacing w:after="20" w:before="20" w:line="240" w:lineRule="auto"/>
              <w:jc w:val="center"/>
            </w:pPr>
            <w:r>
              <w:rPr>
                <w:sz w:val="21"/>
              </w:rPr>
              <w:t>141</w:t>
            </w:r>
          </w:p>
        </w:tc>
      </w:tr>
      <w:tr>
        <w:tc>
          <w:tcPr>
            <w:tcW w:type="dxa" w:w="850"/>
            <w:shd w:val="clear" w:color="auto" w:fill="E8EEF5"/>
          </w:tcPr>
          <w:p>
            <w:pPr>
              <w:spacing w:after="20" w:before="20" w:line="240" w:lineRule="auto"/>
              <w:jc w:val="center"/>
            </w:pPr>
            <w:r>
              <w:rPr>
                <w:sz w:val="21"/>
              </w:rPr>
              <w:t>35.6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142</w:t>
            </w:r>
          </w:p>
        </w:tc>
      </w:tr>
      <w:tr>
        <w:tc>
          <w:tcPr>
            <w:tcW w:type="dxa" w:w="850"/>
          </w:tcPr>
          <w:p>
            <w:pPr>
              <w:spacing w:after="20" w:before="20" w:line="240" w:lineRule="auto"/>
              <w:jc w:val="center"/>
            </w:pPr>
            <w:r>
              <w:rPr>
                <w:b/>
                <w:sz w:val="21"/>
              </w:rPr>
              <w:t>36</w:t>
            </w:r>
          </w:p>
        </w:tc>
        <w:tc>
          <w:tcPr>
            <w:tcW w:type="dxa" w:w="7540"/>
          </w:tcPr>
          <w:p>
            <w:pPr>
              <w:spacing w:after="20" w:before="20" w:line="240" w:lineRule="auto"/>
              <w:jc w:val="left"/>
            </w:pPr>
            <w:r>
              <w:rPr>
                <w:b/>
                <w:sz w:val="21"/>
              </w:rPr>
              <w:t>Campus Maintenance: Ensuring a Clean, Safe, and Functional Environment</w:t>
            </w:r>
          </w:p>
        </w:tc>
        <w:tc>
          <w:tcPr>
            <w:tcW w:type="dxa" w:w="1020"/>
          </w:tcPr>
          <w:p>
            <w:pPr>
              <w:spacing w:after="20" w:before="20" w:line="240" w:lineRule="auto"/>
              <w:jc w:val="center"/>
            </w:pPr>
            <w:r>
              <w:rPr>
                <w:b/>
                <w:sz w:val="21"/>
              </w:rPr>
              <w:t>143</w:t>
            </w:r>
          </w:p>
        </w:tc>
      </w:tr>
      <w:tr>
        <w:tc>
          <w:tcPr>
            <w:tcW w:type="dxa" w:w="850"/>
            <w:shd w:val="clear" w:color="auto" w:fill="E8EEF5"/>
          </w:tcPr>
          <w:p>
            <w:pPr>
              <w:spacing w:after="20" w:before="20" w:line="240" w:lineRule="auto"/>
              <w:jc w:val="center"/>
            </w:pPr>
            <w:r>
              <w:rPr>
                <w:sz w:val="21"/>
              </w:rPr>
              <w:t>36.1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143</w:t>
            </w:r>
          </w:p>
        </w:tc>
      </w:tr>
      <w:tr>
        <w:tc>
          <w:tcPr>
            <w:tcW w:type="dxa" w:w="850"/>
          </w:tcPr>
          <w:p>
            <w:pPr>
              <w:spacing w:after="20" w:before="20" w:line="240" w:lineRule="auto"/>
              <w:jc w:val="center"/>
            </w:pPr>
            <w:r>
              <w:rPr>
                <w:sz w:val="21"/>
              </w:rPr>
              <w:t>36.2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143</w:t>
            </w:r>
          </w:p>
        </w:tc>
      </w:tr>
      <w:tr>
        <w:tc>
          <w:tcPr>
            <w:tcW w:type="dxa" w:w="850"/>
            <w:shd w:val="clear" w:color="auto" w:fill="E8EEF5"/>
          </w:tcPr>
          <w:p>
            <w:pPr>
              <w:spacing w:after="20" w:before="20" w:line="240" w:lineRule="auto"/>
              <w:jc w:val="center"/>
            </w:pPr>
            <w:r>
              <w:rPr>
                <w:sz w:val="21"/>
              </w:rPr>
              <w:t>36.3</w:t>
            </w:r>
          </w:p>
        </w:tc>
        <w:tc>
          <w:tcPr>
            <w:tcW w:type="dxa" w:w="7540"/>
            <w:shd w:val="clear" w:color="auto" w:fill="E8EEF5"/>
          </w:tcPr>
          <w:p>
            <w:pPr>
              <w:spacing w:after="20" w:before="20" w:line="240" w:lineRule="auto"/>
              <w:jc w:val="left"/>
            </w:pPr>
            <w:r>
              <w:rPr>
                <w:sz w:val="21"/>
              </w:rPr>
              <w:t>Key Components of Effective Campus Maintenance</w:t>
            </w:r>
          </w:p>
        </w:tc>
        <w:tc>
          <w:tcPr>
            <w:tcW w:type="dxa" w:w="1020"/>
            <w:shd w:val="clear" w:color="auto" w:fill="E8EEF5"/>
          </w:tcPr>
          <w:p>
            <w:pPr>
              <w:spacing w:after="20" w:before="20" w:line="240" w:lineRule="auto"/>
              <w:jc w:val="center"/>
            </w:pPr>
            <w:r>
              <w:rPr>
                <w:sz w:val="21"/>
              </w:rPr>
              <w:t>143</w:t>
            </w:r>
          </w:p>
        </w:tc>
      </w:tr>
      <w:tr>
        <w:tc>
          <w:tcPr>
            <w:tcW w:type="dxa" w:w="850"/>
          </w:tcPr>
          <w:p>
            <w:pPr>
              <w:spacing w:after="20" w:before="20" w:line="240" w:lineRule="auto"/>
              <w:jc w:val="center"/>
            </w:pPr>
            <w:r>
              <w:rPr>
                <w:sz w:val="21"/>
              </w:rPr>
              <w:t>36.4</w:t>
            </w:r>
          </w:p>
        </w:tc>
        <w:tc>
          <w:tcPr>
            <w:tcW w:type="dxa" w:w="7540"/>
          </w:tcPr>
          <w:p>
            <w:pPr>
              <w:spacing w:after="20" w:before="20" w:line="240" w:lineRule="auto"/>
              <w:jc w:val="left"/>
            </w:pPr>
            <w:r>
              <w:rPr>
                <w:sz w:val="21"/>
              </w:rPr>
              <w:t>Benefits of Effective Campus Maintenance</w:t>
            </w:r>
          </w:p>
        </w:tc>
        <w:tc>
          <w:tcPr>
            <w:tcW w:type="dxa" w:w="1020"/>
          </w:tcPr>
          <w:p>
            <w:pPr>
              <w:spacing w:after="20" w:before="20" w:line="240" w:lineRule="auto"/>
              <w:jc w:val="center"/>
            </w:pPr>
            <w:r>
              <w:rPr>
                <w:sz w:val="21"/>
              </w:rPr>
              <w:t>145</w:t>
            </w:r>
          </w:p>
        </w:tc>
      </w:tr>
      <w:tr>
        <w:tc>
          <w:tcPr>
            <w:tcW w:type="dxa" w:w="850"/>
            <w:shd w:val="clear" w:color="auto" w:fill="E8EEF5"/>
          </w:tcPr>
          <w:p>
            <w:pPr>
              <w:spacing w:after="20" w:before="20" w:line="240" w:lineRule="auto"/>
              <w:jc w:val="center"/>
            </w:pPr>
            <w:r>
              <w:rPr>
                <w:sz w:val="21"/>
              </w:rPr>
              <w:t>36.5</w:t>
            </w:r>
          </w:p>
        </w:tc>
        <w:tc>
          <w:tcPr>
            <w:tcW w:type="dxa" w:w="7540"/>
            <w:shd w:val="clear" w:color="auto" w:fill="E8EEF5"/>
          </w:tcPr>
          <w:p>
            <w:pPr>
              <w:spacing w:after="20" w:before="20" w:line="240" w:lineRule="auto"/>
              <w:jc w:val="left"/>
            </w:pPr>
            <w:r>
              <w:rPr>
                <w:sz w:val="21"/>
              </w:rPr>
              <w:t>Challenges and Solutions in Campus Maintenance</w:t>
            </w:r>
          </w:p>
        </w:tc>
        <w:tc>
          <w:tcPr>
            <w:tcW w:type="dxa" w:w="1020"/>
            <w:shd w:val="clear" w:color="auto" w:fill="E8EEF5"/>
          </w:tcPr>
          <w:p>
            <w:pPr>
              <w:spacing w:after="20" w:before="20" w:line="240" w:lineRule="auto"/>
              <w:jc w:val="center"/>
            </w:pPr>
            <w:r>
              <w:rPr>
                <w:sz w:val="21"/>
              </w:rPr>
              <w:t>145</w:t>
            </w:r>
          </w:p>
        </w:tc>
      </w:tr>
      <w:tr>
        <w:tc>
          <w:tcPr>
            <w:tcW w:type="dxa" w:w="850"/>
          </w:tcPr>
          <w:p>
            <w:pPr>
              <w:spacing w:after="20" w:before="20" w:line="240" w:lineRule="auto"/>
              <w:jc w:val="center"/>
            </w:pPr>
            <w:r>
              <w:rPr>
                <w:sz w:val="21"/>
              </w:rPr>
              <w:t>36.6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146</w:t>
            </w:r>
          </w:p>
        </w:tc>
      </w:tr>
      <w:tr>
        <w:tc>
          <w:tcPr>
            <w:tcW w:type="dxa" w:w="850"/>
            <w:shd w:val="clear" w:color="auto" w:fill="E8EEF5"/>
          </w:tcPr>
          <w:p>
            <w:pPr>
              <w:spacing w:after="20" w:before="20" w:line="240" w:lineRule="auto"/>
              <w:jc w:val="center"/>
            </w:pPr>
            <w:r>
              <w:rPr>
                <w:b/>
                <w:sz w:val="21"/>
              </w:rPr>
              <w:t>37</w:t>
            </w:r>
          </w:p>
        </w:tc>
        <w:tc>
          <w:tcPr>
            <w:tcW w:type="dxa" w:w="7540"/>
            <w:shd w:val="clear" w:color="auto" w:fill="E8EEF5"/>
          </w:tcPr>
          <w:p>
            <w:pPr>
              <w:spacing w:after="20" w:before="20" w:line="240" w:lineRule="auto"/>
              <w:jc w:val="left"/>
            </w:pPr>
            <w:r>
              <w:rPr>
                <w:b/>
                <w:sz w:val="21"/>
              </w:rPr>
              <w:t>Optimum Use of Campus Facilities</w:t>
            </w:r>
          </w:p>
        </w:tc>
        <w:tc>
          <w:tcPr>
            <w:tcW w:type="dxa" w:w="1020"/>
            <w:shd w:val="clear" w:color="auto" w:fill="E8EEF5"/>
          </w:tcPr>
          <w:p>
            <w:pPr>
              <w:spacing w:after="20" w:before="20" w:line="240" w:lineRule="auto"/>
              <w:jc w:val="center"/>
            </w:pPr>
            <w:r>
              <w:rPr>
                <w:b/>
                <w:sz w:val="21"/>
              </w:rPr>
              <w:t>147</w:t>
            </w:r>
          </w:p>
        </w:tc>
      </w:tr>
      <w:tr>
        <w:tc>
          <w:tcPr>
            <w:tcW w:type="dxa" w:w="850"/>
          </w:tcPr>
          <w:p>
            <w:pPr>
              <w:spacing w:after="20" w:before="20" w:line="240" w:lineRule="auto"/>
              <w:jc w:val="center"/>
            </w:pPr>
            <w:r>
              <w:rPr>
                <w:sz w:val="21"/>
              </w:rPr>
              <w:t>37.1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147</w:t>
            </w:r>
          </w:p>
        </w:tc>
      </w:tr>
      <w:tr>
        <w:tc>
          <w:tcPr>
            <w:tcW w:type="dxa" w:w="850"/>
            <w:shd w:val="clear" w:color="auto" w:fill="E8EEF5"/>
          </w:tcPr>
          <w:p>
            <w:pPr>
              <w:spacing w:after="20" w:before="20" w:line="240" w:lineRule="auto"/>
              <w:jc w:val="center"/>
            </w:pPr>
            <w:r>
              <w:rPr>
                <w:sz w:val="21"/>
              </w:rPr>
              <w:t>37.2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147</w:t>
            </w:r>
          </w:p>
        </w:tc>
      </w:tr>
      <w:tr>
        <w:tc>
          <w:tcPr>
            <w:tcW w:type="dxa" w:w="850"/>
          </w:tcPr>
          <w:p>
            <w:pPr>
              <w:spacing w:after="20" w:before="20" w:line="240" w:lineRule="auto"/>
              <w:jc w:val="center"/>
            </w:pPr>
            <w:r>
              <w:rPr>
                <w:sz w:val="21"/>
              </w:rPr>
              <w:t>37.3</w:t>
            </w:r>
          </w:p>
        </w:tc>
        <w:tc>
          <w:tcPr>
            <w:tcW w:type="dxa" w:w="7540"/>
          </w:tcPr>
          <w:p>
            <w:pPr>
              <w:spacing w:after="20" w:before="20" w:line="240" w:lineRule="auto"/>
              <w:jc w:val="left"/>
            </w:pPr>
            <w:r>
              <w:rPr>
                <w:sz w:val="21"/>
              </w:rPr>
              <w:t>Key Strategies for Optimum Use of Campus Facilities</w:t>
            </w:r>
          </w:p>
        </w:tc>
        <w:tc>
          <w:tcPr>
            <w:tcW w:type="dxa" w:w="1020"/>
          </w:tcPr>
          <w:p>
            <w:pPr>
              <w:spacing w:after="20" w:before="20" w:line="240" w:lineRule="auto"/>
              <w:jc w:val="center"/>
            </w:pPr>
            <w:r>
              <w:rPr>
                <w:sz w:val="21"/>
              </w:rPr>
              <w:t>147</w:t>
            </w:r>
          </w:p>
        </w:tc>
      </w:tr>
      <w:tr>
        <w:tc>
          <w:tcPr>
            <w:tcW w:type="dxa" w:w="850"/>
            <w:shd w:val="clear" w:color="auto" w:fill="E8EEF5"/>
          </w:tcPr>
          <w:p>
            <w:pPr>
              <w:spacing w:after="20" w:before="20" w:line="240" w:lineRule="auto"/>
              <w:jc w:val="center"/>
            </w:pPr>
            <w:r>
              <w:rPr>
                <w:sz w:val="21"/>
              </w:rPr>
              <w:t>37.4</w:t>
            </w:r>
          </w:p>
        </w:tc>
        <w:tc>
          <w:tcPr>
            <w:tcW w:type="dxa" w:w="7540"/>
            <w:shd w:val="clear" w:color="auto" w:fill="E8EEF5"/>
          </w:tcPr>
          <w:p>
            <w:pPr>
              <w:spacing w:after="20" w:before="20" w:line="240" w:lineRule="auto"/>
              <w:jc w:val="left"/>
            </w:pPr>
            <w:r>
              <w:rPr>
                <w:sz w:val="21"/>
              </w:rPr>
              <w:t>Benefits of Optimum Use of Campus Facilities</w:t>
            </w:r>
          </w:p>
        </w:tc>
        <w:tc>
          <w:tcPr>
            <w:tcW w:type="dxa" w:w="1020"/>
            <w:shd w:val="clear" w:color="auto" w:fill="E8EEF5"/>
          </w:tcPr>
          <w:p>
            <w:pPr>
              <w:spacing w:after="20" w:before="20" w:line="240" w:lineRule="auto"/>
              <w:jc w:val="center"/>
            </w:pPr>
            <w:r>
              <w:rPr>
                <w:sz w:val="21"/>
              </w:rPr>
              <w:t>149</w:t>
            </w:r>
          </w:p>
        </w:tc>
      </w:tr>
      <w:tr>
        <w:tc>
          <w:tcPr>
            <w:tcW w:type="dxa" w:w="850"/>
          </w:tcPr>
          <w:p>
            <w:pPr>
              <w:spacing w:after="20" w:before="20" w:line="240" w:lineRule="auto"/>
              <w:jc w:val="center"/>
            </w:pPr>
            <w:r>
              <w:rPr>
                <w:sz w:val="21"/>
              </w:rPr>
              <w:t>37.5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149</w:t>
            </w:r>
          </w:p>
        </w:tc>
      </w:tr>
      <w:tr>
        <w:tc>
          <w:tcPr>
            <w:tcW w:type="dxa" w:w="850"/>
            <w:shd w:val="clear" w:color="auto" w:fill="E8EEF5"/>
          </w:tcPr>
          <w:p>
            <w:pPr>
              <w:spacing w:after="20" w:before="20" w:line="240" w:lineRule="auto"/>
              <w:jc w:val="center"/>
            </w:pPr>
            <w:r>
              <w:rPr>
                <w:sz w:val="21"/>
              </w:rPr>
              <w:t>37.6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150</w:t>
            </w:r>
          </w:p>
        </w:tc>
      </w:tr>
      <w:tr>
        <w:tc>
          <w:tcPr>
            <w:tcW w:type="dxa" w:w="850"/>
          </w:tcPr>
          <w:p>
            <w:pPr>
              <w:spacing w:after="20" w:before="20" w:line="240" w:lineRule="auto"/>
              <w:jc w:val="center"/>
            </w:pPr>
            <w:r>
              <w:rPr>
                <w:b/>
                <w:sz w:val="21"/>
              </w:rPr>
              <w:t>38</w:t>
            </w:r>
          </w:p>
        </w:tc>
        <w:tc>
          <w:tcPr>
            <w:tcW w:type="dxa" w:w="7540"/>
          </w:tcPr>
          <w:p>
            <w:pPr>
              <w:spacing w:after="20" w:before="20" w:line="240" w:lineRule="auto"/>
              <w:jc w:val="left"/>
            </w:pPr>
            <w:r>
              <w:rPr>
                <w:b/>
                <w:sz w:val="21"/>
              </w:rPr>
              <w:t>Sharing of Infrastructure to Nurture Student Talent</w:t>
            </w:r>
          </w:p>
        </w:tc>
        <w:tc>
          <w:tcPr>
            <w:tcW w:type="dxa" w:w="1020"/>
          </w:tcPr>
          <w:p>
            <w:pPr>
              <w:spacing w:after="20" w:before="20" w:line="240" w:lineRule="auto"/>
              <w:jc w:val="center"/>
            </w:pPr>
            <w:r>
              <w:rPr>
                <w:b/>
                <w:sz w:val="21"/>
              </w:rPr>
              <w:t>151</w:t>
            </w:r>
          </w:p>
        </w:tc>
      </w:tr>
      <w:tr>
        <w:tc>
          <w:tcPr>
            <w:tcW w:type="dxa" w:w="850"/>
            <w:shd w:val="clear" w:color="auto" w:fill="E8EEF5"/>
          </w:tcPr>
          <w:p>
            <w:pPr>
              <w:spacing w:after="20" w:before="20" w:line="240" w:lineRule="auto"/>
              <w:jc w:val="center"/>
            </w:pPr>
            <w:r>
              <w:rPr>
                <w:sz w:val="21"/>
              </w:rPr>
              <w:t>38.1</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151</w:t>
            </w:r>
          </w:p>
        </w:tc>
      </w:tr>
      <w:tr>
        <w:tc>
          <w:tcPr>
            <w:tcW w:type="dxa" w:w="850"/>
          </w:tcPr>
          <w:p>
            <w:pPr>
              <w:spacing w:after="20" w:before="20" w:line="240" w:lineRule="auto"/>
              <w:jc w:val="center"/>
            </w:pPr>
            <w:r>
              <w:rPr>
                <w:sz w:val="21"/>
              </w:rPr>
              <w:t>38.2</w:t>
            </w:r>
          </w:p>
        </w:tc>
        <w:tc>
          <w:tcPr>
            <w:tcW w:type="dxa" w:w="7540"/>
          </w:tcPr>
          <w:p>
            <w:pPr>
              <w:spacing w:after="20" w:before="20" w:line="240" w:lineRule="auto"/>
              <w:jc w:val="left"/>
            </w:pPr>
            <w:r>
              <w:rPr>
                <w:sz w:val="21"/>
              </w:rPr>
              <w:t>Key Components of the Practice</w:t>
            </w:r>
          </w:p>
        </w:tc>
        <w:tc>
          <w:tcPr>
            <w:tcW w:type="dxa" w:w="1020"/>
          </w:tcPr>
          <w:p>
            <w:pPr>
              <w:spacing w:after="20" w:before="20" w:line="240" w:lineRule="auto"/>
              <w:jc w:val="center"/>
            </w:pPr>
            <w:r>
              <w:rPr>
                <w:sz w:val="21"/>
              </w:rPr>
              <w:t>151</w:t>
            </w:r>
          </w:p>
        </w:tc>
      </w:tr>
      <w:tr>
        <w:tc>
          <w:tcPr>
            <w:tcW w:type="dxa" w:w="850"/>
            <w:shd w:val="clear" w:color="auto" w:fill="E8EEF5"/>
          </w:tcPr>
          <w:p>
            <w:pPr>
              <w:spacing w:after="20" w:before="20" w:line="240" w:lineRule="auto"/>
              <w:jc w:val="center"/>
            </w:pPr>
            <w:r>
              <w:rPr>
                <w:sz w:val="21"/>
              </w:rPr>
              <w:t>38.3</w:t>
            </w:r>
          </w:p>
        </w:tc>
        <w:tc>
          <w:tcPr>
            <w:tcW w:type="dxa" w:w="7540"/>
            <w:shd w:val="clear" w:color="auto" w:fill="E8EEF5"/>
          </w:tcPr>
          <w:p>
            <w:pPr>
              <w:spacing w:after="20" w:before="20" w:line="240" w:lineRule="auto"/>
              <w:jc w:val="left"/>
            </w:pPr>
            <w:r>
              <w:rPr>
                <w:sz w:val="21"/>
              </w:rPr>
              <w:t>Benefits of Sharing Infrastructure to Nurture Student Talent</w:t>
            </w:r>
          </w:p>
        </w:tc>
        <w:tc>
          <w:tcPr>
            <w:tcW w:type="dxa" w:w="1020"/>
            <w:shd w:val="clear" w:color="auto" w:fill="E8EEF5"/>
          </w:tcPr>
          <w:p>
            <w:pPr>
              <w:spacing w:after="20" w:before="20" w:line="240" w:lineRule="auto"/>
              <w:jc w:val="center"/>
            </w:pPr>
            <w:r>
              <w:rPr>
                <w:sz w:val="21"/>
              </w:rPr>
              <w:t>152</w:t>
            </w:r>
          </w:p>
        </w:tc>
      </w:tr>
      <w:tr>
        <w:tc>
          <w:tcPr>
            <w:tcW w:type="dxa" w:w="850"/>
          </w:tcPr>
          <w:p>
            <w:pPr>
              <w:spacing w:after="20" w:before="20" w:line="240" w:lineRule="auto"/>
              <w:jc w:val="center"/>
            </w:pPr>
            <w:r>
              <w:rPr>
                <w:sz w:val="21"/>
              </w:rPr>
              <w:t>38.4</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153</w:t>
            </w:r>
          </w:p>
        </w:tc>
      </w:tr>
      <w:tr>
        <w:tc>
          <w:tcPr>
            <w:tcW w:type="dxa" w:w="850"/>
            <w:shd w:val="clear" w:color="auto" w:fill="E8EEF5"/>
          </w:tcPr>
          <w:p>
            <w:pPr>
              <w:spacing w:after="20" w:before="20" w:line="240" w:lineRule="auto"/>
              <w:jc w:val="center"/>
            </w:pPr>
            <w:r>
              <w:rPr>
                <w:sz w:val="21"/>
              </w:rPr>
              <w:t>38.5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154</w:t>
            </w:r>
          </w:p>
        </w:tc>
      </w:tr>
      <w:tr>
        <w:tc>
          <w:tcPr>
            <w:tcW w:type="dxa" w:w="850"/>
          </w:tcPr>
          <w:p>
            <w:pPr>
              <w:spacing w:after="20" w:before="20" w:line="240" w:lineRule="auto"/>
              <w:jc w:val="center"/>
            </w:pPr>
            <w:r>
              <w:rPr>
                <w:b/>
                <w:sz w:val="21"/>
              </w:rPr>
              <w:t>39</w:t>
            </w:r>
          </w:p>
        </w:tc>
        <w:tc>
          <w:tcPr>
            <w:tcW w:type="dxa" w:w="7540"/>
          </w:tcPr>
          <w:p>
            <w:pPr>
              <w:spacing w:after="20" w:before="20" w:line="240" w:lineRule="auto"/>
              <w:jc w:val="left"/>
            </w:pPr>
            <w:r>
              <w:rPr>
                <w:b/>
                <w:sz w:val="21"/>
              </w:rPr>
              <w:t>Extended Facilities for Student Development</w:t>
            </w:r>
          </w:p>
        </w:tc>
        <w:tc>
          <w:tcPr>
            <w:tcW w:type="dxa" w:w="1020"/>
          </w:tcPr>
          <w:p>
            <w:pPr>
              <w:spacing w:after="20" w:before="20" w:line="240" w:lineRule="auto"/>
              <w:jc w:val="center"/>
            </w:pPr>
            <w:r>
              <w:rPr>
                <w:b/>
                <w:sz w:val="21"/>
              </w:rPr>
              <w:t>155</w:t>
            </w:r>
          </w:p>
        </w:tc>
      </w:tr>
      <w:tr>
        <w:tc>
          <w:tcPr>
            <w:tcW w:type="dxa" w:w="850"/>
            <w:shd w:val="clear" w:color="auto" w:fill="E8EEF5"/>
          </w:tcPr>
          <w:p>
            <w:pPr>
              <w:spacing w:after="20" w:before="20" w:line="240" w:lineRule="auto"/>
              <w:jc w:val="center"/>
            </w:pPr>
            <w:r>
              <w:rPr>
                <w:sz w:val="21"/>
              </w:rPr>
              <w:t>39.1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155</w:t>
            </w:r>
          </w:p>
        </w:tc>
      </w:tr>
      <w:tr>
        <w:tc>
          <w:tcPr>
            <w:tcW w:type="dxa" w:w="850"/>
          </w:tcPr>
          <w:p>
            <w:pPr>
              <w:spacing w:after="20" w:before="20" w:line="240" w:lineRule="auto"/>
              <w:jc w:val="center"/>
            </w:pPr>
            <w:r>
              <w:rPr>
                <w:sz w:val="21"/>
              </w:rPr>
              <w:t>39.2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155</w:t>
            </w:r>
          </w:p>
        </w:tc>
      </w:tr>
      <w:tr>
        <w:tc>
          <w:tcPr>
            <w:tcW w:type="dxa" w:w="850"/>
            <w:shd w:val="clear" w:color="auto" w:fill="E8EEF5"/>
          </w:tcPr>
          <w:p>
            <w:pPr>
              <w:spacing w:after="20" w:before="20" w:line="240" w:lineRule="auto"/>
              <w:jc w:val="center"/>
            </w:pPr>
            <w:r>
              <w:rPr>
                <w:sz w:val="21"/>
              </w:rPr>
              <w:t>39.3</w:t>
            </w:r>
          </w:p>
        </w:tc>
        <w:tc>
          <w:tcPr>
            <w:tcW w:type="dxa" w:w="7540"/>
            <w:shd w:val="clear" w:color="auto" w:fill="E8EEF5"/>
          </w:tcPr>
          <w:p>
            <w:pPr>
              <w:spacing w:after="20" w:before="20" w:line="240" w:lineRule="auto"/>
              <w:jc w:val="left"/>
            </w:pPr>
            <w:r>
              <w:rPr>
                <w:sz w:val="21"/>
              </w:rPr>
              <w:t>Key Components of Extended Facilities for Student Development</w:t>
            </w:r>
          </w:p>
        </w:tc>
        <w:tc>
          <w:tcPr>
            <w:tcW w:type="dxa" w:w="1020"/>
            <w:shd w:val="clear" w:color="auto" w:fill="E8EEF5"/>
          </w:tcPr>
          <w:p>
            <w:pPr>
              <w:spacing w:after="20" w:before="20" w:line="240" w:lineRule="auto"/>
              <w:jc w:val="center"/>
            </w:pPr>
            <w:r>
              <w:rPr>
                <w:sz w:val="21"/>
              </w:rPr>
              <w:t>153</w:t>
            </w:r>
          </w:p>
        </w:tc>
      </w:tr>
      <w:tr>
        <w:tc>
          <w:tcPr>
            <w:tcW w:type="dxa" w:w="850"/>
          </w:tcPr>
          <w:p>
            <w:pPr>
              <w:spacing w:after="20" w:before="20" w:line="240" w:lineRule="auto"/>
              <w:jc w:val="center"/>
            </w:pPr>
            <w:r>
              <w:rPr>
                <w:sz w:val="21"/>
              </w:rPr>
              <w:t>39.4</w:t>
            </w:r>
          </w:p>
        </w:tc>
        <w:tc>
          <w:tcPr>
            <w:tcW w:type="dxa" w:w="7540"/>
          </w:tcPr>
          <w:p>
            <w:pPr>
              <w:spacing w:after="20" w:before="20" w:line="240" w:lineRule="auto"/>
              <w:jc w:val="left"/>
            </w:pPr>
            <w:r>
              <w:rPr>
                <w:sz w:val="21"/>
              </w:rPr>
              <w:t>Benefits of Extended Facilities for Student Development</w:t>
            </w:r>
          </w:p>
        </w:tc>
        <w:tc>
          <w:tcPr>
            <w:tcW w:type="dxa" w:w="1020"/>
          </w:tcPr>
          <w:p>
            <w:pPr>
              <w:spacing w:after="20" w:before="20" w:line="240" w:lineRule="auto"/>
              <w:jc w:val="center"/>
            </w:pPr>
            <w:r>
              <w:rPr>
                <w:sz w:val="21"/>
              </w:rPr>
              <w:t>157</w:t>
            </w:r>
          </w:p>
        </w:tc>
      </w:tr>
      <w:tr>
        <w:tc>
          <w:tcPr>
            <w:tcW w:type="dxa" w:w="850"/>
            <w:shd w:val="clear" w:color="auto" w:fill="E8EEF5"/>
          </w:tcPr>
          <w:p>
            <w:pPr>
              <w:spacing w:after="20" w:before="20" w:line="240" w:lineRule="auto"/>
              <w:jc w:val="center"/>
            </w:pPr>
            <w:r>
              <w:rPr>
                <w:sz w:val="21"/>
              </w:rPr>
              <w:t>39.5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157</w:t>
            </w:r>
          </w:p>
        </w:tc>
      </w:tr>
      <w:tr>
        <w:tc>
          <w:tcPr>
            <w:tcW w:type="dxa" w:w="850"/>
          </w:tcPr>
          <w:p>
            <w:pPr>
              <w:spacing w:after="20" w:before="20" w:line="240" w:lineRule="auto"/>
              <w:jc w:val="center"/>
            </w:pPr>
            <w:r>
              <w:rPr>
                <w:sz w:val="21"/>
              </w:rPr>
              <w:t>39.6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158</w:t>
            </w:r>
          </w:p>
        </w:tc>
      </w:tr>
      <w:tr>
        <w:tc>
          <w:tcPr>
            <w:tcW w:type="dxa" w:w="850"/>
            <w:shd w:val="clear" w:color="auto" w:fill="E8EEF5"/>
          </w:tcPr>
          <w:p>
            <w:pPr>
              <w:spacing w:after="20" w:before="20" w:line="240" w:lineRule="auto"/>
              <w:jc w:val="center"/>
            </w:pPr>
            <w:r>
              <w:rPr>
                <w:b/>
                <w:sz w:val="21"/>
              </w:rPr>
              <w:t>40</w:t>
            </w:r>
          </w:p>
        </w:tc>
        <w:tc>
          <w:tcPr>
            <w:tcW w:type="dxa" w:w="7540"/>
            <w:shd w:val="clear" w:color="auto" w:fill="E8EEF5"/>
          </w:tcPr>
          <w:p>
            <w:pPr>
              <w:spacing w:after="20" w:before="20" w:line="240" w:lineRule="auto"/>
              <w:jc w:val="left"/>
            </w:pPr>
            <w:r>
              <w:rPr>
                <w:b/>
                <w:sz w:val="21"/>
              </w:rPr>
              <w:t>Technology Assisted Pedagogy: Enhancing Teacher Training and Practice</w:t>
            </w:r>
          </w:p>
        </w:tc>
        <w:tc>
          <w:tcPr>
            <w:tcW w:type="dxa" w:w="1020"/>
            <w:shd w:val="clear" w:color="auto" w:fill="E8EEF5"/>
          </w:tcPr>
          <w:p>
            <w:pPr>
              <w:spacing w:after="20" w:before="20" w:line="240" w:lineRule="auto"/>
              <w:jc w:val="center"/>
            </w:pPr>
            <w:r>
              <w:rPr>
                <w:b/>
                <w:sz w:val="21"/>
              </w:rPr>
              <w:t>159</w:t>
            </w:r>
          </w:p>
        </w:tc>
      </w:tr>
      <w:tr>
        <w:tc>
          <w:tcPr>
            <w:tcW w:type="dxa" w:w="850"/>
          </w:tcPr>
          <w:p>
            <w:pPr>
              <w:spacing w:after="20" w:before="20" w:line="240" w:lineRule="auto"/>
              <w:jc w:val="center"/>
            </w:pPr>
            <w:r>
              <w:rPr>
                <w:sz w:val="21"/>
              </w:rPr>
              <w:t>40.1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159</w:t>
            </w:r>
          </w:p>
        </w:tc>
      </w:tr>
      <w:tr>
        <w:tc>
          <w:tcPr>
            <w:tcW w:type="dxa" w:w="850"/>
            <w:shd w:val="clear" w:color="auto" w:fill="E8EEF5"/>
          </w:tcPr>
          <w:p>
            <w:pPr>
              <w:spacing w:after="20" w:before="20" w:line="240" w:lineRule="auto"/>
              <w:jc w:val="center"/>
            </w:pPr>
            <w:r>
              <w:rPr>
                <w:sz w:val="21"/>
              </w:rPr>
              <w:t>40.2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159</w:t>
            </w:r>
          </w:p>
        </w:tc>
      </w:tr>
      <w:tr>
        <w:tc>
          <w:tcPr>
            <w:tcW w:type="dxa" w:w="850"/>
          </w:tcPr>
          <w:p>
            <w:pPr>
              <w:spacing w:after="20" w:before="20" w:line="240" w:lineRule="auto"/>
              <w:jc w:val="center"/>
            </w:pPr>
            <w:r>
              <w:rPr>
                <w:sz w:val="21"/>
              </w:rPr>
              <w:t>40.3</w:t>
            </w:r>
          </w:p>
        </w:tc>
        <w:tc>
          <w:tcPr>
            <w:tcW w:type="dxa" w:w="7540"/>
          </w:tcPr>
          <w:p>
            <w:pPr>
              <w:spacing w:after="20" w:before="20" w:line="240" w:lineRule="auto"/>
              <w:jc w:val="left"/>
            </w:pPr>
            <w:r>
              <w:rPr>
                <w:sz w:val="21"/>
              </w:rPr>
              <w:t>Key Components of Teacher Training for Technology-Assisted Pedagogy</w:t>
            </w:r>
          </w:p>
        </w:tc>
        <w:tc>
          <w:tcPr>
            <w:tcW w:type="dxa" w:w="1020"/>
          </w:tcPr>
          <w:p>
            <w:pPr>
              <w:spacing w:after="20" w:before="20" w:line="240" w:lineRule="auto"/>
              <w:jc w:val="center"/>
            </w:pPr>
            <w:r>
              <w:rPr>
                <w:sz w:val="21"/>
              </w:rPr>
              <w:t>159</w:t>
            </w:r>
          </w:p>
        </w:tc>
      </w:tr>
      <w:tr>
        <w:tc>
          <w:tcPr>
            <w:tcW w:type="dxa" w:w="850"/>
            <w:shd w:val="clear" w:color="auto" w:fill="E8EEF5"/>
          </w:tcPr>
          <w:p>
            <w:pPr>
              <w:spacing w:after="20" w:before="20" w:line="240" w:lineRule="auto"/>
              <w:jc w:val="center"/>
            </w:pPr>
            <w:r>
              <w:rPr>
                <w:sz w:val="21"/>
              </w:rPr>
              <w:t>40.4</w:t>
            </w:r>
          </w:p>
        </w:tc>
        <w:tc>
          <w:tcPr>
            <w:tcW w:type="dxa" w:w="7540"/>
            <w:shd w:val="clear" w:color="auto" w:fill="E8EEF5"/>
          </w:tcPr>
          <w:p>
            <w:pPr>
              <w:spacing w:after="20" w:before="20" w:line="240" w:lineRule="auto"/>
              <w:jc w:val="left"/>
            </w:pPr>
            <w:r>
              <w:rPr>
                <w:sz w:val="21"/>
              </w:rPr>
              <w:t>Benefits of Technology-Assisted Pedagogy for Teachers</w:t>
            </w:r>
          </w:p>
        </w:tc>
        <w:tc>
          <w:tcPr>
            <w:tcW w:type="dxa" w:w="1020"/>
            <w:shd w:val="clear" w:color="auto" w:fill="E8EEF5"/>
          </w:tcPr>
          <w:p>
            <w:pPr>
              <w:spacing w:after="20" w:before="20" w:line="240" w:lineRule="auto"/>
              <w:jc w:val="center"/>
            </w:pPr>
            <w:r>
              <w:rPr>
                <w:sz w:val="21"/>
              </w:rPr>
              <w:t>160</w:t>
            </w:r>
          </w:p>
        </w:tc>
      </w:tr>
      <w:tr>
        <w:tc>
          <w:tcPr>
            <w:tcW w:type="dxa" w:w="850"/>
          </w:tcPr>
          <w:p>
            <w:pPr>
              <w:spacing w:after="20" w:before="20" w:line="240" w:lineRule="auto"/>
              <w:jc w:val="center"/>
            </w:pPr>
            <w:r>
              <w:rPr>
                <w:sz w:val="21"/>
              </w:rPr>
              <w:t>40.5</w:t>
            </w:r>
          </w:p>
        </w:tc>
        <w:tc>
          <w:tcPr>
            <w:tcW w:type="dxa" w:w="7540"/>
          </w:tcPr>
          <w:p>
            <w:pPr>
              <w:spacing w:after="20" w:before="20" w:line="240" w:lineRule="auto"/>
              <w:jc w:val="left"/>
            </w:pPr>
            <w:r>
              <w:rPr>
                <w:sz w:val="21"/>
              </w:rPr>
              <w:t>Challenges and Solutions in Implementing Technology-Assisted Pedagogy</w:t>
            </w:r>
          </w:p>
        </w:tc>
        <w:tc>
          <w:tcPr>
            <w:tcW w:type="dxa" w:w="1020"/>
          </w:tcPr>
          <w:p>
            <w:pPr>
              <w:spacing w:after="20" w:before="20" w:line="240" w:lineRule="auto"/>
              <w:jc w:val="center"/>
            </w:pPr>
            <w:r>
              <w:rPr>
                <w:sz w:val="21"/>
              </w:rPr>
              <w:t>161</w:t>
            </w:r>
          </w:p>
        </w:tc>
      </w:tr>
      <w:tr>
        <w:tc>
          <w:tcPr>
            <w:tcW w:type="dxa" w:w="850"/>
            <w:shd w:val="clear" w:color="auto" w:fill="E8EEF5"/>
          </w:tcPr>
          <w:p>
            <w:pPr>
              <w:spacing w:after="20" w:before="20" w:line="240" w:lineRule="auto"/>
              <w:jc w:val="center"/>
            </w:pPr>
            <w:r>
              <w:rPr>
                <w:sz w:val="21"/>
              </w:rPr>
              <w:t>40.6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161</w:t>
            </w:r>
          </w:p>
        </w:tc>
      </w:tr>
      <w:tr>
        <w:tc>
          <w:tcPr>
            <w:tcW w:type="dxa" w:w="850"/>
          </w:tcPr>
          <w:p>
            <w:pPr>
              <w:spacing w:after="20" w:before="20" w:line="240" w:lineRule="auto"/>
              <w:jc w:val="center"/>
            </w:pPr>
            <w:r>
              <w:rPr>
                <w:b/>
                <w:sz w:val="21"/>
              </w:rPr>
              <w:t>41</w:t>
            </w:r>
          </w:p>
        </w:tc>
        <w:tc>
          <w:tcPr>
            <w:tcW w:type="dxa" w:w="7540"/>
          </w:tcPr>
          <w:p>
            <w:pPr>
              <w:spacing w:after="20" w:before="20" w:line="240" w:lineRule="auto"/>
              <w:jc w:val="left"/>
            </w:pPr>
            <w:r>
              <w:rPr>
                <w:b/>
                <w:sz w:val="21"/>
              </w:rPr>
              <w:t>Development of Infrastructure to Match Academic Growth</w:t>
            </w:r>
          </w:p>
        </w:tc>
        <w:tc>
          <w:tcPr>
            <w:tcW w:type="dxa" w:w="1020"/>
          </w:tcPr>
          <w:p>
            <w:pPr>
              <w:spacing w:after="20" w:before="20" w:line="240" w:lineRule="auto"/>
              <w:jc w:val="center"/>
            </w:pPr>
            <w:r>
              <w:rPr>
                <w:b/>
                <w:sz w:val="21"/>
              </w:rPr>
              <w:t>162</w:t>
            </w:r>
          </w:p>
        </w:tc>
      </w:tr>
      <w:tr>
        <w:tc>
          <w:tcPr>
            <w:tcW w:type="dxa" w:w="850"/>
            <w:shd w:val="clear" w:color="auto" w:fill="E8EEF5"/>
          </w:tcPr>
          <w:p>
            <w:pPr>
              <w:spacing w:after="20" w:before="20" w:line="240" w:lineRule="auto"/>
              <w:jc w:val="center"/>
            </w:pPr>
            <w:r>
              <w:rPr>
                <w:sz w:val="21"/>
              </w:rPr>
              <w:t>41.1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162</w:t>
            </w:r>
          </w:p>
        </w:tc>
      </w:tr>
      <w:tr>
        <w:tc>
          <w:tcPr>
            <w:tcW w:type="dxa" w:w="850"/>
          </w:tcPr>
          <w:p>
            <w:pPr>
              <w:spacing w:after="20" w:before="20" w:line="240" w:lineRule="auto"/>
              <w:jc w:val="center"/>
            </w:pPr>
            <w:r>
              <w:rPr>
                <w:sz w:val="21"/>
              </w:rPr>
              <w:t>41.2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162</w:t>
            </w:r>
          </w:p>
        </w:tc>
      </w:tr>
      <w:tr>
        <w:tc>
          <w:tcPr>
            <w:tcW w:type="dxa" w:w="850"/>
            <w:shd w:val="clear" w:color="auto" w:fill="E8EEF5"/>
          </w:tcPr>
          <w:p>
            <w:pPr>
              <w:spacing w:after="20" w:before="20" w:line="240" w:lineRule="auto"/>
              <w:jc w:val="center"/>
            </w:pPr>
            <w:r>
              <w:rPr>
                <w:sz w:val="21"/>
              </w:rPr>
              <w:t>41.3</w:t>
            </w:r>
          </w:p>
        </w:tc>
        <w:tc>
          <w:tcPr>
            <w:tcW w:type="dxa" w:w="7540"/>
            <w:shd w:val="clear" w:color="auto" w:fill="E8EEF5"/>
          </w:tcPr>
          <w:p>
            <w:pPr>
              <w:spacing w:after="20" w:before="20" w:line="240" w:lineRule="auto"/>
              <w:jc w:val="left"/>
            </w:pPr>
            <w:r>
              <w:rPr>
                <w:sz w:val="21"/>
              </w:rPr>
              <w:t>Key Components of Infrastructure Development to Match Academic Growth</w:t>
            </w:r>
          </w:p>
        </w:tc>
        <w:tc>
          <w:tcPr>
            <w:tcW w:type="dxa" w:w="1020"/>
            <w:shd w:val="clear" w:color="auto" w:fill="E8EEF5"/>
          </w:tcPr>
          <w:p>
            <w:pPr>
              <w:spacing w:after="20" w:before="20" w:line="240" w:lineRule="auto"/>
              <w:jc w:val="center"/>
            </w:pPr>
            <w:r>
              <w:rPr>
                <w:sz w:val="21"/>
              </w:rPr>
              <w:t>162</w:t>
            </w:r>
          </w:p>
        </w:tc>
      </w:tr>
      <w:tr>
        <w:tc>
          <w:tcPr>
            <w:tcW w:type="dxa" w:w="850"/>
          </w:tcPr>
          <w:p>
            <w:pPr>
              <w:spacing w:after="20" w:before="20" w:line="240" w:lineRule="auto"/>
              <w:jc w:val="center"/>
            </w:pPr>
            <w:r>
              <w:rPr>
                <w:sz w:val="21"/>
              </w:rPr>
              <w:t>41.4</w:t>
            </w:r>
          </w:p>
        </w:tc>
        <w:tc>
          <w:tcPr>
            <w:tcW w:type="dxa" w:w="7540"/>
          </w:tcPr>
          <w:p>
            <w:pPr>
              <w:spacing w:after="20" w:before="20" w:line="240" w:lineRule="auto"/>
              <w:jc w:val="left"/>
            </w:pPr>
            <w:r>
              <w:rPr>
                <w:sz w:val="21"/>
              </w:rPr>
              <w:t>Benefits of Developing Infrastructure to Match Academic Growth</w:t>
            </w:r>
          </w:p>
        </w:tc>
        <w:tc>
          <w:tcPr>
            <w:tcW w:type="dxa" w:w="1020"/>
          </w:tcPr>
          <w:p>
            <w:pPr>
              <w:spacing w:after="20" w:before="20" w:line="240" w:lineRule="auto"/>
              <w:jc w:val="center"/>
            </w:pPr>
            <w:r>
              <w:rPr>
                <w:sz w:val="21"/>
              </w:rPr>
              <w:t>164</w:t>
            </w:r>
          </w:p>
        </w:tc>
      </w:tr>
      <w:tr>
        <w:tc>
          <w:tcPr>
            <w:tcW w:type="dxa" w:w="850"/>
            <w:shd w:val="clear" w:color="auto" w:fill="E8EEF5"/>
          </w:tcPr>
          <w:p>
            <w:pPr>
              <w:spacing w:after="20" w:before="20" w:line="240" w:lineRule="auto"/>
              <w:jc w:val="center"/>
            </w:pPr>
            <w:r>
              <w:rPr>
                <w:sz w:val="21"/>
              </w:rPr>
              <w:t>41.5</w:t>
            </w:r>
          </w:p>
        </w:tc>
        <w:tc>
          <w:tcPr>
            <w:tcW w:type="dxa" w:w="7540"/>
            <w:shd w:val="clear" w:color="auto" w:fill="E8EEF5"/>
          </w:tcPr>
          <w:p>
            <w:pPr>
              <w:spacing w:after="20" w:before="20" w:line="240" w:lineRule="auto"/>
              <w:jc w:val="left"/>
            </w:pPr>
            <w:r>
              <w:rPr>
                <w:sz w:val="21"/>
              </w:rPr>
              <w:t>Challenges and Solutions in Developing Infrastructure to Match Academic Growth</w:t>
            </w:r>
          </w:p>
        </w:tc>
        <w:tc>
          <w:tcPr>
            <w:tcW w:type="dxa" w:w="1020"/>
            <w:shd w:val="clear" w:color="auto" w:fill="E8EEF5"/>
          </w:tcPr>
          <w:p>
            <w:pPr>
              <w:spacing w:after="20" w:before="20" w:line="240" w:lineRule="auto"/>
              <w:jc w:val="center"/>
            </w:pPr>
            <w:r>
              <w:rPr>
                <w:sz w:val="21"/>
              </w:rPr>
              <w:t>164</w:t>
            </w:r>
          </w:p>
        </w:tc>
      </w:tr>
      <w:tr>
        <w:tc>
          <w:tcPr>
            <w:tcW w:type="dxa" w:w="850"/>
          </w:tcPr>
          <w:p>
            <w:pPr>
              <w:spacing w:after="20" w:before="20" w:line="240" w:lineRule="auto"/>
              <w:jc w:val="center"/>
            </w:pPr>
            <w:r>
              <w:rPr>
                <w:sz w:val="21"/>
              </w:rPr>
              <w:t>41.6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165</w:t>
            </w:r>
          </w:p>
        </w:tc>
      </w:tr>
      <w:tr>
        <w:tc>
          <w:tcPr>
            <w:tcW w:type="dxa" w:w="850"/>
            <w:shd w:val="clear" w:color="auto" w:fill="E8EEF5"/>
          </w:tcPr>
          <w:p>
            <w:pPr>
              <w:spacing w:after="20" w:before="20" w:line="240" w:lineRule="auto"/>
              <w:jc w:val="center"/>
            </w:pPr>
            <w:r>
              <w:rPr>
                <w:b/>
                <w:sz w:val="21"/>
              </w:rPr>
              <w:t>42</w:t>
            </w:r>
          </w:p>
        </w:tc>
        <w:tc>
          <w:tcPr>
            <w:tcW w:type="dxa" w:w="7540"/>
            <w:shd w:val="clear" w:color="auto" w:fill="E8EEF5"/>
          </w:tcPr>
          <w:p>
            <w:pPr>
              <w:spacing w:after="20" w:before="20" w:line="240" w:lineRule="auto"/>
              <w:jc w:val="left"/>
            </w:pPr>
            <w:r>
              <w:rPr>
                <w:b/>
                <w:sz w:val="21"/>
              </w:rPr>
              <w:t>Infrastructure for Holistic Student Development</w:t>
            </w:r>
          </w:p>
        </w:tc>
        <w:tc>
          <w:tcPr>
            <w:tcW w:type="dxa" w:w="1020"/>
            <w:shd w:val="clear" w:color="auto" w:fill="E8EEF5"/>
          </w:tcPr>
          <w:p>
            <w:pPr>
              <w:spacing w:after="20" w:before="20" w:line="240" w:lineRule="auto"/>
              <w:jc w:val="center"/>
            </w:pPr>
            <w:r>
              <w:rPr>
                <w:b/>
                <w:sz w:val="21"/>
              </w:rPr>
              <w:t>166</w:t>
            </w:r>
          </w:p>
        </w:tc>
      </w:tr>
      <w:tr>
        <w:tc>
          <w:tcPr>
            <w:tcW w:type="dxa" w:w="850"/>
          </w:tcPr>
          <w:p>
            <w:pPr>
              <w:spacing w:after="20" w:before="20" w:line="240" w:lineRule="auto"/>
              <w:jc w:val="center"/>
            </w:pPr>
            <w:r>
              <w:rPr>
                <w:sz w:val="21"/>
              </w:rPr>
              <w:t>42.1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166</w:t>
            </w:r>
          </w:p>
        </w:tc>
      </w:tr>
      <w:tr>
        <w:tc>
          <w:tcPr>
            <w:tcW w:type="dxa" w:w="850"/>
            <w:shd w:val="clear" w:color="auto" w:fill="E8EEF5"/>
          </w:tcPr>
          <w:p>
            <w:pPr>
              <w:spacing w:after="20" w:before="20" w:line="240" w:lineRule="auto"/>
              <w:jc w:val="center"/>
            </w:pPr>
            <w:r>
              <w:rPr>
                <w:sz w:val="21"/>
              </w:rPr>
              <w:t>42.2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166</w:t>
            </w:r>
          </w:p>
        </w:tc>
      </w:tr>
      <w:tr>
        <w:tc>
          <w:tcPr>
            <w:tcW w:type="dxa" w:w="850"/>
          </w:tcPr>
          <w:p>
            <w:pPr>
              <w:spacing w:after="20" w:before="20" w:line="240" w:lineRule="auto"/>
              <w:jc w:val="center"/>
            </w:pPr>
            <w:r>
              <w:rPr>
                <w:sz w:val="21"/>
              </w:rPr>
              <w:t>42.3</w:t>
            </w:r>
          </w:p>
        </w:tc>
        <w:tc>
          <w:tcPr>
            <w:tcW w:type="dxa" w:w="7540"/>
          </w:tcPr>
          <w:p>
            <w:pPr>
              <w:spacing w:after="20" w:before="20" w:line="240" w:lineRule="auto"/>
              <w:jc w:val="left"/>
            </w:pPr>
            <w:r>
              <w:rPr>
                <w:sz w:val="21"/>
              </w:rPr>
              <w:t>Key Components of Infrastructure for Holistic Student Development</w:t>
            </w:r>
          </w:p>
        </w:tc>
        <w:tc>
          <w:tcPr>
            <w:tcW w:type="dxa" w:w="1020"/>
          </w:tcPr>
          <w:p>
            <w:pPr>
              <w:spacing w:after="20" w:before="20" w:line="240" w:lineRule="auto"/>
              <w:jc w:val="center"/>
            </w:pPr>
            <w:r>
              <w:rPr>
                <w:sz w:val="21"/>
              </w:rPr>
              <w:t>166</w:t>
            </w:r>
          </w:p>
        </w:tc>
      </w:tr>
      <w:tr>
        <w:tc>
          <w:tcPr>
            <w:tcW w:type="dxa" w:w="850"/>
            <w:shd w:val="clear" w:color="auto" w:fill="E8EEF5"/>
          </w:tcPr>
          <w:p>
            <w:pPr>
              <w:spacing w:after="20" w:before="20" w:line="240" w:lineRule="auto"/>
              <w:jc w:val="center"/>
            </w:pPr>
            <w:r>
              <w:rPr>
                <w:sz w:val="21"/>
              </w:rPr>
              <w:t>42.4</w:t>
            </w:r>
          </w:p>
        </w:tc>
        <w:tc>
          <w:tcPr>
            <w:tcW w:type="dxa" w:w="7540"/>
            <w:shd w:val="clear" w:color="auto" w:fill="E8EEF5"/>
          </w:tcPr>
          <w:p>
            <w:pPr>
              <w:spacing w:after="20" w:before="20" w:line="240" w:lineRule="auto"/>
              <w:jc w:val="left"/>
            </w:pPr>
            <w:r>
              <w:rPr>
                <w:sz w:val="21"/>
              </w:rPr>
              <w:t>Benefits of Infrastructure for Holistic Student Development</w:t>
            </w:r>
          </w:p>
        </w:tc>
        <w:tc>
          <w:tcPr>
            <w:tcW w:type="dxa" w:w="1020"/>
            <w:shd w:val="clear" w:color="auto" w:fill="E8EEF5"/>
          </w:tcPr>
          <w:p>
            <w:pPr>
              <w:spacing w:after="20" w:before="20" w:line="240" w:lineRule="auto"/>
              <w:jc w:val="center"/>
            </w:pPr>
            <w:r>
              <w:rPr>
                <w:sz w:val="21"/>
              </w:rPr>
              <w:t>168</w:t>
            </w:r>
          </w:p>
        </w:tc>
      </w:tr>
      <w:tr>
        <w:tc>
          <w:tcPr>
            <w:tcW w:type="dxa" w:w="850"/>
          </w:tcPr>
          <w:p>
            <w:pPr>
              <w:spacing w:after="20" w:before="20" w:line="240" w:lineRule="auto"/>
              <w:jc w:val="center"/>
            </w:pPr>
            <w:r>
              <w:rPr>
                <w:sz w:val="21"/>
              </w:rPr>
              <w:t>42.5</w:t>
            </w:r>
          </w:p>
        </w:tc>
        <w:tc>
          <w:tcPr>
            <w:tcW w:type="dxa" w:w="7540"/>
          </w:tcPr>
          <w:p>
            <w:pPr>
              <w:spacing w:after="20" w:before="20" w:line="240" w:lineRule="auto"/>
              <w:jc w:val="left"/>
            </w:pPr>
            <w:r>
              <w:rPr>
                <w:sz w:val="21"/>
              </w:rPr>
              <w:t>Challenges and Solutions in Developing Infrastructure for Holistic Student Development</w:t>
            </w:r>
          </w:p>
        </w:tc>
        <w:tc>
          <w:tcPr>
            <w:tcW w:type="dxa" w:w="1020"/>
          </w:tcPr>
          <w:p>
            <w:pPr>
              <w:spacing w:after="20" w:before="20" w:line="240" w:lineRule="auto"/>
              <w:jc w:val="center"/>
            </w:pPr>
            <w:r>
              <w:rPr>
                <w:sz w:val="21"/>
              </w:rPr>
              <w:t>168</w:t>
            </w:r>
          </w:p>
        </w:tc>
      </w:tr>
      <w:tr>
        <w:tc>
          <w:tcPr>
            <w:tcW w:type="dxa" w:w="850"/>
            <w:shd w:val="clear" w:color="auto" w:fill="E8EEF5"/>
          </w:tcPr>
          <w:p>
            <w:pPr>
              <w:spacing w:after="20" w:before="20" w:line="240" w:lineRule="auto"/>
              <w:jc w:val="center"/>
            </w:pPr>
            <w:r>
              <w:rPr>
                <w:sz w:val="21"/>
              </w:rPr>
              <w:t>42.6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169</w:t>
            </w:r>
          </w:p>
        </w:tc>
      </w:tr>
      <w:tr>
        <w:tc>
          <w:tcPr>
            <w:tcW w:type="dxa" w:w="850"/>
          </w:tcPr>
          <w:p>
            <w:pPr>
              <w:spacing w:after="20" w:before="20" w:line="240" w:lineRule="auto"/>
              <w:jc w:val="center"/>
            </w:pPr>
            <w:r>
              <w:rPr>
                <w:b/>
                <w:sz w:val="21"/>
              </w:rPr>
              <w:t>43</w:t>
            </w:r>
          </w:p>
        </w:tc>
        <w:tc>
          <w:tcPr>
            <w:tcW w:type="dxa" w:w="7540"/>
          </w:tcPr>
          <w:p>
            <w:pPr>
              <w:spacing w:after="20" w:before="20" w:line="240" w:lineRule="auto"/>
              <w:jc w:val="left"/>
            </w:pPr>
            <w:r>
              <w:rPr>
                <w:b/>
                <w:sz w:val="21"/>
              </w:rPr>
              <w:t>Computer Education for All Students</w:t>
            </w:r>
          </w:p>
        </w:tc>
        <w:tc>
          <w:tcPr>
            <w:tcW w:type="dxa" w:w="1020"/>
          </w:tcPr>
          <w:p>
            <w:pPr>
              <w:spacing w:after="20" w:before="20" w:line="240" w:lineRule="auto"/>
              <w:jc w:val="center"/>
            </w:pPr>
            <w:r>
              <w:rPr>
                <w:b/>
                <w:sz w:val="21"/>
              </w:rPr>
              <w:t>170</w:t>
            </w:r>
          </w:p>
        </w:tc>
      </w:tr>
      <w:tr>
        <w:tc>
          <w:tcPr>
            <w:tcW w:type="dxa" w:w="850"/>
            <w:shd w:val="clear" w:color="auto" w:fill="E8EEF5"/>
          </w:tcPr>
          <w:p>
            <w:pPr>
              <w:spacing w:after="20" w:before="20" w:line="240" w:lineRule="auto"/>
              <w:jc w:val="center"/>
            </w:pPr>
            <w:r>
              <w:rPr>
                <w:sz w:val="21"/>
              </w:rPr>
              <w:t>43.1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170</w:t>
            </w:r>
          </w:p>
        </w:tc>
      </w:tr>
      <w:tr>
        <w:tc>
          <w:tcPr>
            <w:tcW w:type="dxa" w:w="850"/>
          </w:tcPr>
          <w:p>
            <w:pPr>
              <w:spacing w:after="20" w:before="20" w:line="240" w:lineRule="auto"/>
              <w:jc w:val="center"/>
            </w:pPr>
            <w:r>
              <w:rPr>
                <w:sz w:val="21"/>
              </w:rPr>
              <w:t>43.2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170</w:t>
            </w:r>
          </w:p>
        </w:tc>
      </w:tr>
      <w:tr>
        <w:tc>
          <w:tcPr>
            <w:tcW w:type="dxa" w:w="850"/>
            <w:shd w:val="clear" w:color="auto" w:fill="E8EEF5"/>
          </w:tcPr>
          <w:p>
            <w:pPr>
              <w:spacing w:after="20" w:before="20" w:line="240" w:lineRule="auto"/>
              <w:jc w:val="center"/>
            </w:pPr>
            <w:r>
              <w:rPr>
                <w:sz w:val="21"/>
              </w:rPr>
              <w:t>43.3</w:t>
            </w:r>
          </w:p>
        </w:tc>
        <w:tc>
          <w:tcPr>
            <w:tcW w:type="dxa" w:w="7540"/>
            <w:shd w:val="clear" w:color="auto" w:fill="E8EEF5"/>
          </w:tcPr>
          <w:p>
            <w:pPr>
              <w:spacing w:after="20" w:before="20" w:line="240" w:lineRule="auto"/>
              <w:jc w:val="left"/>
            </w:pPr>
            <w:r>
              <w:rPr>
                <w:sz w:val="21"/>
              </w:rPr>
              <w:t>Key Components of Computer Education for All Students</w:t>
            </w:r>
          </w:p>
        </w:tc>
        <w:tc>
          <w:tcPr>
            <w:tcW w:type="dxa" w:w="1020"/>
            <w:shd w:val="clear" w:color="auto" w:fill="E8EEF5"/>
          </w:tcPr>
          <w:p>
            <w:pPr>
              <w:spacing w:after="20" w:before="20" w:line="240" w:lineRule="auto"/>
              <w:jc w:val="center"/>
            </w:pPr>
            <w:r>
              <w:rPr>
                <w:sz w:val="21"/>
              </w:rPr>
              <w:t>170</w:t>
            </w:r>
          </w:p>
        </w:tc>
      </w:tr>
      <w:tr>
        <w:tc>
          <w:tcPr>
            <w:tcW w:type="dxa" w:w="850"/>
          </w:tcPr>
          <w:p>
            <w:pPr>
              <w:spacing w:after="20" w:before="20" w:line="240" w:lineRule="auto"/>
              <w:jc w:val="center"/>
            </w:pPr>
            <w:r>
              <w:rPr>
                <w:sz w:val="21"/>
              </w:rPr>
              <w:t>43.4</w:t>
            </w:r>
          </w:p>
        </w:tc>
        <w:tc>
          <w:tcPr>
            <w:tcW w:type="dxa" w:w="7540"/>
          </w:tcPr>
          <w:p>
            <w:pPr>
              <w:spacing w:after="20" w:before="20" w:line="240" w:lineRule="auto"/>
              <w:jc w:val="left"/>
            </w:pPr>
            <w:r>
              <w:rPr>
                <w:sz w:val="21"/>
              </w:rPr>
              <w:t>Benefits of Computer Education for All Students</w:t>
            </w:r>
          </w:p>
        </w:tc>
        <w:tc>
          <w:tcPr>
            <w:tcW w:type="dxa" w:w="1020"/>
          </w:tcPr>
          <w:p>
            <w:pPr>
              <w:spacing w:after="20" w:before="20" w:line="240" w:lineRule="auto"/>
              <w:jc w:val="center"/>
            </w:pPr>
            <w:r>
              <w:rPr>
                <w:sz w:val="21"/>
              </w:rPr>
              <w:t>172</w:t>
            </w:r>
          </w:p>
        </w:tc>
      </w:tr>
      <w:tr>
        <w:tc>
          <w:tcPr>
            <w:tcW w:type="dxa" w:w="850"/>
            <w:shd w:val="clear" w:color="auto" w:fill="E8EEF5"/>
          </w:tcPr>
          <w:p>
            <w:pPr>
              <w:spacing w:after="20" w:before="20" w:line="240" w:lineRule="auto"/>
              <w:jc w:val="center"/>
            </w:pPr>
            <w:r>
              <w:rPr>
                <w:sz w:val="21"/>
              </w:rPr>
              <w:t>43.5</w:t>
            </w:r>
          </w:p>
        </w:tc>
        <w:tc>
          <w:tcPr>
            <w:tcW w:type="dxa" w:w="7540"/>
            <w:shd w:val="clear" w:color="auto" w:fill="E8EEF5"/>
          </w:tcPr>
          <w:p>
            <w:pPr>
              <w:spacing w:after="20" w:before="20" w:line="240" w:lineRule="auto"/>
              <w:jc w:val="left"/>
            </w:pPr>
            <w:r>
              <w:rPr>
                <w:sz w:val="21"/>
              </w:rPr>
              <w:t>Challenges and Solutions in Implementing Computer Education for All Students</w:t>
            </w:r>
          </w:p>
        </w:tc>
        <w:tc>
          <w:tcPr>
            <w:tcW w:type="dxa" w:w="1020"/>
            <w:shd w:val="clear" w:color="auto" w:fill="E8EEF5"/>
          </w:tcPr>
          <w:p>
            <w:pPr>
              <w:spacing w:after="20" w:before="20" w:line="240" w:lineRule="auto"/>
              <w:jc w:val="center"/>
            </w:pPr>
            <w:r>
              <w:rPr>
                <w:sz w:val="21"/>
              </w:rPr>
              <w:t>172</w:t>
            </w:r>
          </w:p>
        </w:tc>
      </w:tr>
      <w:tr>
        <w:tc>
          <w:tcPr>
            <w:tcW w:type="dxa" w:w="850"/>
          </w:tcPr>
          <w:p>
            <w:pPr>
              <w:spacing w:after="20" w:before="20" w:line="240" w:lineRule="auto"/>
              <w:jc w:val="center"/>
            </w:pPr>
            <w:r>
              <w:rPr>
                <w:sz w:val="21"/>
              </w:rPr>
              <w:t>43.6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173</w:t>
            </w:r>
          </w:p>
        </w:tc>
      </w:tr>
      <w:tr>
        <w:tc>
          <w:tcPr>
            <w:tcW w:type="dxa" w:w="850"/>
            <w:shd w:val="clear" w:color="auto" w:fill="E8EEF5"/>
          </w:tcPr>
          <w:p>
            <w:pPr>
              <w:spacing w:after="20" w:before="20" w:line="240" w:lineRule="auto"/>
              <w:jc w:val="center"/>
            </w:pPr>
            <w:r>
              <w:rPr>
                <w:b/>
                <w:sz w:val="21"/>
              </w:rPr>
              <w:t>44</w:t>
            </w:r>
          </w:p>
        </w:tc>
        <w:tc>
          <w:tcPr>
            <w:tcW w:type="dxa" w:w="7540"/>
            <w:shd w:val="clear" w:color="auto" w:fill="E8EEF5"/>
          </w:tcPr>
          <w:p>
            <w:pPr>
              <w:spacing w:after="20" w:before="20" w:line="240" w:lineRule="auto"/>
              <w:jc w:val="left"/>
            </w:pPr>
            <w:r>
              <w:rPr>
                <w:b/>
                <w:sz w:val="21"/>
              </w:rPr>
              <w:t>Involving Students in Maintenance of Infrastructure</w:t>
            </w:r>
          </w:p>
        </w:tc>
        <w:tc>
          <w:tcPr>
            <w:tcW w:type="dxa" w:w="1020"/>
            <w:shd w:val="clear" w:color="auto" w:fill="E8EEF5"/>
          </w:tcPr>
          <w:p>
            <w:pPr>
              <w:spacing w:after="20" w:before="20" w:line="240" w:lineRule="auto"/>
              <w:jc w:val="center"/>
            </w:pPr>
            <w:r>
              <w:rPr>
                <w:b/>
                <w:sz w:val="21"/>
              </w:rPr>
              <w:t>174</w:t>
            </w:r>
          </w:p>
        </w:tc>
      </w:tr>
      <w:tr>
        <w:tc>
          <w:tcPr>
            <w:tcW w:type="dxa" w:w="850"/>
          </w:tcPr>
          <w:p>
            <w:pPr>
              <w:spacing w:after="20" w:before="20" w:line="240" w:lineRule="auto"/>
              <w:jc w:val="center"/>
            </w:pPr>
            <w:r>
              <w:rPr>
                <w:sz w:val="21"/>
              </w:rPr>
              <w:t>44.1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174</w:t>
            </w:r>
          </w:p>
        </w:tc>
      </w:tr>
      <w:tr>
        <w:tc>
          <w:tcPr>
            <w:tcW w:type="dxa" w:w="850"/>
            <w:shd w:val="clear" w:color="auto" w:fill="E8EEF5"/>
          </w:tcPr>
          <w:p>
            <w:pPr>
              <w:spacing w:after="20" w:before="20" w:line="240" w:lineRule="auto"/>
              <w:jc w:val="center"/>
            </w:pPr>
            <w:r>
              <w:rPr>
                <w:sz w:val="21"/>
              </w:rPr>
              <w:t>44.2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174</w:t>
            </w:r>
          </w:p>
        </w:tc>
      </w:tr>
      <w:tr>
        <w:tc>
          <w:tcPr>
            <w:tcW w:type="dxa" w:w="850"/>
          </w:tcPr>
          <w:p>
            <w:pPr>
              <w:spacing w:after="20" w:before="20" w:line="240" w:lineRule="auto"/>
              <w:jc w:val="center"/>
            </w:pPr>
            <w:r>
              <w:rPr>
                <w:sz w:val="21"/>
              </w:rPr>
              <w:t>44.3</w:t>
            </w:r>
          </w:p>
        </w:tc>
        <w:tc>
          <w:tcPr>
            <w:tcW w:type="dxa" w:w="7540"/>
          </w:tcPr>
          <w:p>
            <w:pPr>
              <w:spacing w:after="20" w:before="20" w:line="240" w:lineRule="auto"/>
              <w:jc w:val="left"/>
            </w:pPr>
            <w:r>
              <w:rPr>
                <w:sz w:val="21"/>
              </w:rPr>
              <w:t>Key Components of Involving Students in Maintenance of Infrastructure</w:t>
            </w:r>
          </w:p>
        </w:tc>
        <w:tc>
          <w:tcPr>
            <w:tcW w:type="dxa" w:w="1020"/>
          </w:tcPr>
          <w:p>
            <w:pPr>
              <w:spacing w:after="20" w:before="20" w:line="240" w:lineRule="auto"/>
              <w:jc w:val="center"/>
            </w:pPr>
            <w:r>
              <w:rPr>
                <w:sz w:val="21"/>
              </w:rPr>
              <w:t>174</w:t>
            </w:r>
          </w:p>
        </w:tc>
      </w:tr>
      <w:tr>
        <w:tc>
          <w:tcPr>
            <w:tcW w:type="dxa" w:w="850"/>
            <w:shd w:val="clear" w:color="auto" w:fill="E8EEF5"/>
          </w:tcPr>
          <w:p>
            <w:pPr>
              <w:spacing w:after="20" w:before="20" w:line="240" w:lineRule="auto"/>
              <w:jc w:val="center"/>
            </w:pPr>
            <w:r>
              <w:rPr>
                <w:sz w:val="21"/>
              </w:rPr>
              <w:t>44.4</w:t>
            </w:r>
          </w:p>
        </w:tc>
        <w:tc>
          <w:tcPr>
            <w:tcW w:type="dxa" w:w="7540"/>
            <w:shd w:val="clear" w:color="auto" w:fill="E8EEF5"/>
          </w:tcPr>
          <w:p>
            <w:pPr>
              <w:spacing w:after="20" w:before="20" w:line="240" w:lineRule="auto"/>
              <w:jc w:val="left"/>
            </w:pPr>
            <w:r>
              <w:rPr>
                <w:sz w:val="21"/>
              </w:rPr>
              <w:t>Benefits of Involving Students in Maintenance of Infrastructure</w:t>
            </w:r>
          </w:p>
        </w:tc>
        <w:tc>
          <w:tcPr>
            <w:tcW w:type="dxa" w:w="1020"/>
            <w:shd w:val="clear" w:color="auto" w:fill="E8EEF5"/>
          </w:tcPr>
          <w:p>
            <w:pPr>
              <w:spacing w:after="20" w:before="20" w:line="240" w:lineRule="auto"/>
              <w:jc w:val="center"/>
            </w:pPr>
            <w:r>
              <w:rPr>
                <w:sz w:val="21"/>
              </w:rPr>
              <w:t>176</w:t>
            </w:r>
          </w:p>
        </w:tc>
      </w:tr>
      <w:tr>
        <w:tc>
          <w:tcPr>
            <w:tcW w:type="dxa" w:w="850"/>
          </w:tcPr>
          <w:p>
            <w:pPr>
              <w:spacing w:after="20" w:before="20" w:line="240" w:lineRule="auto"/>
              <w:jc w:val="center"/>
            </w:pPr>
            <w:r>
              <w:rPr>
                <w:sz w:val="21"/>
              </w:rPr>
              <w:t>44.5</w:t>
            </w:r>
          </w:p>
        </w:tc>
        <w:tc>
          <w:tcPr>
            <w:tcW w:type="dxa" w:w="7540"/>
          </w:tcPr>
          <w:p>
            <w:pPr>
              <w:spacing w:after="20" w:before="20" w:line="240" w:lineRule="auto"/>
              <w:jc w:val="left"/>
            </w:pPr>
            <w:r>
              <w:rPr>
                <w:sz w:val="21"/>
              </w:rPr>
              <w:t>Challenges and Solutions in Involving Students in Maintenance of Infrastructure</w:t>
            </w:r>
          </w:p>
        </w:tc>
        <w:tc>
          <w:tcPr>
            <w:tcW w:type="dxa" w:w="1020"/>
          </w:tcPr>
          <w:p>
            <w:pPr>
              <w:spacing w:after="20" w:before="20" w:line="240" w:lineRule="auto"/>
              <w:jc w:val="center"/>
            </w:pPr>
            <w:r>
              <w:rPr>
                <w:sz w:val="21"/>
              </w:rPr>
              <w:t>176</w:t>
            </w:r>
          </w:p>
        </w:tc>
      </w:tr>
      <w:tr>
        <w:tc>
          <w:tcPr>
            <w:tcW w:type="dxa" w:w="850"/>
            <w:shd w:val="clear" w:color="auto" w:fill="E8EEF5"/>
          </w:tcPr>
          <w:p>
            <w:pPr>
              <w:spacing w:after="20" w:before="20" w:line="240" w:lineRule="auto"/>
              <w:jc w:val="center"/>
            </w:pPr>
            <w:r>
              <w:rPr>
                <w:sz w:val="21"/>
              </w:rPr>
              <w:t>44.6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177</w:t>
            </w:r>
          </w:p>
        </w:tc>
      </w:tr>
      <w:tr>
        <w:tc>
          <w:tcPr>
            <w:tcW w:type="dxa" w:w="850"/>
          </w:tcPr>
          <w:p>
            <w:pPr>
              <w:spacing w:after="20" w:before="20" w:line="240" w:lineRule="auto"/>
              <w:jc w:val="center"/>
            </w:pPr>
            <w:r>
              <w:rPr>
                <w:b/>
                <w:sz w:val="21"/>
              </w:rPr>
              <w:t>45</w:t>
            </w:r>
          </w:p>
        </w:tc>
        <w:tc>
          <w:tcPr>
            <w:tcW w:type="dxa" w:w="7540"/>
          </w:tcPr>
          <w:p>
            <w:pPr>
              <w:spacing w:after="20" w:before="20" w:line="240" w:lineRule="auto"/>
              <w:jc w:val="left"/>
            </w:pPr>
            <w:r>
              <w:rPr>
                <w:b/>
                <w:sz w:val="21"/>
              </w:rPr>
              <w:t>Infrastructure and Learning Resources (Green Campus Initiatives)</w:t>
            </w:r>
          </w:p>
        </w:tc>
        <w:tc>
          <w:tcPr>
            <w:tcW w:type="dxa" w:w="1020"/>
          </w:tcPr>
          <w:p>
            <w:pPr>
              <w:spacing w:after="20" w:before="20" w:line="240" w:lineRule="auto"/>
              <w:jc w:val="center"/>
            </w:pPr>
            <w:r>
              <w:rPr>
                <w:b/>
                <w:sz w:val="21"/>
              </w:rPr>
              <w:t>178</w:t>
            </w:r>
          </w:p>
        </w:tc>
      </w:tr>
      <w:tr>
        <w:tc>
          <w:tcPr>
            <w:tcW w:type="dxa" w:w="850"/>
            <w:shd w:val="clear" w:color="auto" w:fill="E8EEF5"/>
          </w:tcPr>
          <w:p>
            <w:pPr>
              <w:spacing w:after="20" w:before="20" w:line="240" w:lineRule="auto"/>
              <w:jc w:val="center"/>
            </w:pPr>
            <w:r>
              <w:rPr>
                <w:sz w:val="21"/>
              </w:rPr>
              <w:t>45.1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178</w:t>
            </w:r>
          </w:p>
        </w:tc>
      </w:tr>
      <w:tr>
        <w:tc>
          <w:tcPr>
            <w:tcW w:type="dxa" w:w="850"/>
          </w:tcPr>
          <w:p>
            <w:pPr>
              <w:spacing w:after="20" w:before="20" w:line="240" w:lineRule="auto"/>
              <w:jc w:val="center"/>
            </w:pPr>
            <w:r>
              <w:rPr>
                <w:sz w:val="21"/>
              </w:rPr>
              <w:t>45.2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178</w:t>
            </w:r>
          </w:p>
        </w:tc>
      </w:tr>
      <w:tr>
        <w:tc>
          <w:tcPr>
            <w:tcW w:type="dxa" w:w="850"/>
            <w:shd w:val="clear" w:color="auto" w:fill="E8EEF5"/>
          </w:tcPr>
          <w:p>
            <w:pPr>
              <w:spacing w:after="20" w:before="20" w:line="240" w:lineRule="auto"/>
              <w:jc w:val="center"/>
            </w:pPr>
            <w:r>
              <w:rPr>
                <w:sz w:val="21"/>
              </w:rPr>
              <w:t>45.3</w:t>
            </w:r>
          </w:p>
        </w:tc>
        <w:tc>
          <w:tcPr>
            <w:tcW w:type="dxa" w:w="7540"/>
            <w:shd w:val="clear" w:color="auto" w:fill="E8EEF5"/>
          </w:tcPr>
          <w:p>
            <w:pPr>
              <w:spacing w:after="20" w:before="20" w:line="240" w:lineRule="auto"/>
              <w:jc w:val="left"/>
            </w:pPr>
            <w:r>
              <w:rPr>
                <w:sz w:val="21"/>
              </w:rPr>
              <w:t>Key Practices in Green Campus Initiatives</w:t>
            </w:r>
          </w:p>
        </w:tc>
        <w:tc>
          <w:tcPr>
            <w:tcW w:type="dxa" w:w="1020"/>
            <w:shd w:val="clear" w:color="auto" w:fill="E8EEF5"/>
          </w:tcPr>
          <w:p>
            <w:pPr>
              <w:spacing w:after="20" w:before="20" w:line="240" w:lineRule="auto"/>
              <w:jc w:val="center"/>
            </w:pPr>
            <w:r>
              <w:rPr>
                <w:sz w:val="21"/>
              </w:rPr>
              <w:t>178</w:t>
            </w:r>
          </w:p>
        </w:tc>
      </w:tr>
      <w:tr>
        <w:tc>
          <w:tcPr>
            <w:tcW w:type="dxa" w:w="850"/>
          </w:tcPr>
          <w:p>
            <w:pPr>
              <w:spacing w:after="20" w:before="20" w:line="240" w:lineRule="auto"/>
              <w:jc w:val="center"/>
            </w:pPr>
            <w:r>
              <w:rPr>
                <w:sz w:val="21"/>
              </w:rPr>
              <w:t>45.4</w:t>
            </w:r>
          </w:p>
        </w:tc>
        <w:tc>
          <w:tcPr>
            <w:tcW w:type="dxa" w:w="7540"/>
          </w:tcPr>
          <w:p>
            <w:pPr>
              <w:spacing w:after="20" w:before="20" w:line="240" w:lineRule="auto"/>
              <w:jc w:val="left"/>
            </w:pPr>
            <w:r>
              <w:rPr>
                <w:sz w:val="21"/>
              </w:rPr>
              <w:t>Impact of Green Campus Initiatives</w:t>
            </w:r>
          </w:p>
        </w:tc>
        <w:tc>
          <w:tcPr>
            <w:tcW w:type="dxa" w:w="1020"/>
          </w:tcPr>
          <w:p>
            <w:pPr>
              <w:spacing w:after="20" w:before="20" w:line="240" w:lineRule="auto"/>
              <w:jc w:val="center"/>
            </w:pPr>
            <w:r>
              <w:rPr>
                <w:sz w:val="21"/>
              </w:rPr>
              <w:t>180</w:t>
            </w:r>
          </w:p>
        </w:tc>
      </w:tr>
      <w:tr>
        <w:tc>
          <w:tcPr>
            <w:tcW w:type="dxa" w:w="850"/>
            <w:shd w:val="clear" w:color="auto" w:fill="E8EEF5"/>
          </w:tcPr>
          <w:p>
            <w:pPr>
              <w:spacing w:after="20" w:before="20" w:line="240" w:lineRule="auto"/>
              <w:jc w:val="center"/>
            </w:pPr>
            <w:r>
              <w:rPr>
                <w:b/>
                <w:sz w:val="21"/>
              </w:rPr>
              <w:t>46</w:t>
            </w:r>
          </w:p>
        </w:tc>
        <w:tc>
          <w:tcPr>
            <w:tcW w:type="dxa" w:w="7540"/>
            <w:shd w:val="clear" w:color="auto" w:fill="E8EEF5"/>
          </w:tcPr>
          <w:p>
            <w:pPr>
              <w:spacing w:after="20" w:before="20" w:line="240" w:lineRule="auto"/>
              <w:jc w:val="left"/>
            </w:pPr>
            <w:r>
              <w:rPr>
                <w:b/>
                <w:sz w:val="21"/>
              </w:rPr>
              <w:t>Infrastructure and Learning Resources (ICT Facilities)</w:t>
            </w:r>
          </w:p>
        </w:tc>
        <w:tc>
          <w:tcPr>
            <w:tcW w:type="dxa" w:w="1020"/>
            <w:shd w:val="clear" w:color="auto" w:fill="E8EEF5"/>
          </w:tcPr>
          <w:p>
            <w:pPr>
              <w:spacing w:after="20" w:before="20" w:line="240" w:lineRule="auto"/>
              <w:jc w:val="center"/>
            </w:pPr>
            <w:r>
              <w:rPr>
                <w:b/>
                <w:sz w:val="21"/>
              </w:rPr>
              <w:t>182</w:t>
            </w:r>
          </w:p>
        </w:tc>
      </w:tr>
      <w:tr>
        <w:tc>
          <w:tcPr>
            <w:tcW w:type="dxa" w:w="850"/>
          </w:tcPr>
          <w:p>
            <w:pPr>
              <w:spacing w:after="20" w:before="20" w:line="240" w:lineRule="auto"/>
              <w:jc w:val="center"/>
            </w:pPr>
            <w:r>
              <w:rPr>
                <w:sz w:val="21"/>
              </w:rPr>
              <w:t>46.1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182</w:t>
            </w:r>
          </w:p>
        </w:tc>
      </w:tr>
      <w:tr>
        <w:tc>
          <w:tcPr>
            <w:tcW w:type="dxa" w:w="850"/>
            <w:shd w:val="clear" w:color="auto" w:fill="E8EEF5"/>
          </w:tcPr>
          <w:p>
            <w:pPr>
              <w:spacing w:after="20" w:before="20" w:line="240" w:lineRule="auto"/>
              <w:jc w:val="center"/>
            </w:pPr>
            <w:r>
              <w:rPr>
                <w:sz w:val="21"/>
              </w:rPr>
              <w:t>46.2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182</w:t>
            </w:r>
          </w:p>
        </w:tc>
      </w:tr>
      <w:tr>
        <w:tc>
          <w:tcPr>
            <w:tcW w:type="dxa" w:w="850"/>
          </w:tcPr>
          <w:p>
            <w:pPr>
              <w:spacing w:after="20" w:before="20" w:line="240" w:lineRule="auto"/>
              <w:jc w:val="center"/>
            </w:pPr>
            <w:r>
              <w:rPr>
                <w:sz w:val="21"/>
              </w:rPr>
              <w:t>46.3</w:t>
            </w:r>
          </w:p>
        </w:tc>
        <w:tc>
          <w:tcPr>
            <w:tcW w:type="dxa" w:w="7540"/>
          </w:tcPr>
          <w:p>
            <w:pPr>
              <w:spacing w:after="20" w:before="20" w:line="240" w:lineRule="auto"/>
              <w:jc w:val="left"/>
            </w:pPr>
            <w:r>
              <w:rPr>
                <w:sz w:val="21"/>
              </w:rPr>
              <w:t>Key Components of ICT Facilities in Infrastructure and Learning Resource</w:t>
            </w:r>
          </w:p>
        </w:tc>
        <w:tc>
          <w:tcPr>
            <w:tcW w:type="dxa" w:w="1020"/>
          </w:tcPr>
          <w:p>
            <w:pPr>
              <w:spacing w:after="20" w:before="20" w:line="240" w:lineRule="auto"/>
              <w:jc w:val="center"/>
            </w:pPr>
            <w:r>
              <w:rPr>
                <w:sz w:val="21"/>
              </w:rPr>
              <w:t>182</w:t>
            </w:r>
          </w:p>
        </w:tc>
      </w:tr>
      <w:tr>
        <w:tc>
          <w:tcPr>
            <w:tcW w:type="dxa" w:w="850"/>
            <w:shd w:val="clear" w:color="auto" w:fill="E8EEF5"/>
          </w:tcPr>
          <w:p>
            <w:pPr>
              <w:spacing w:after="20" w:before="20" w:line="240" w:lineRule="auto"/>
              <w:jc w:val="center"/>
            </w:pPr>
            <w:r>
              <w:rPr>
                <w:sz w:val="21"/>
              </w:rPr>
              <w:t>46.4</w:t>
            </w:r>
          </w:p>
        </w:tc>
        <w:tc>
          <w:tcPr>
            <w:tcW w:type="dxa" w:w="7540"/>
            <w:shd w:val="clear" w:color="auto" w:fill="E8EEF5"/>
          </w:tcPr>
          <w:p>
            <w:pPr>
              <w:spacing w:after="20" w:before="20" w:line="240" w:lineRule="auto"/>
              <w:jc w:val="left"/>
            </w:pPr>
            <w:r>
              <w:rPr>
                <w:sz w:val="21"/>
              </w:rPr>
              <w:t>Impact of ICT Facilities</w:t>
            </w:r>
          </w:p>
        </w:tc>
        <w:tc>
          <w:tcPr>
            <w:tcW w:type="dxa" w:w="1020"/>
            <w:shd w:val="clear" w:color="auto" w:fill="E8EEF5"/>
          </w:tcPr>
          <w:p>
            <w:pPr>
              <w:spacing w:after="20" w:before="20" w:line="240" w:lineRule="auto"/>
              <w:jc w:val="center"/>
            </w:pPr>
            <w:r>
              <w:rPr>
                <w:sz w:val="21"/>
              </w:rPr>
              <w:t>184</w:t>
            </w:r>
          </w:p>
        </w:tc>
      </w:tr>
      <w:tr>
        <w:tc>
          <w:tcPr>
            <w:tcW w:type="dxa" w:w="850"/>
          </w:tcPr>
          <w:p>
            <w:pPr>
              <w:spacing w:after="20" w:before="20" w:line="240" w:lineRule="auto"/>
              <w:jc w:val="center"/>
            </w:pPr>
            <w:r>
              <w:rPr>
                <w:sz w:val="21"/>
              </w:rPr>
              <w:t>46.5</w:t>
            </w:r>
          </w:p>
        </w:tc>
        <w:tc>
          <w:tcPr>
            <w:tcW w:type="dxa" w:w="7540"/>
          </w:tcPr>
          <w:p>
            <w:pPr>
              <w:spacing w:after="20" w:before="20" w:line="240" w:lineRule="auto"/>
              <w:jc w:val="left"/>
            </w:pPr>
            <w:r>
              <w:rPr>
                <w:sz w:val="21"/>
              </w:rPr>
              <w:t>Outcomes of ICT Facilities in Infrastructure and Learning Resources</w:t>
            </w:r>
          </w:p>
        </w:tc>
        <w:tc>
          <w:tcPr>
            <w:tcW w:type="dxa" w:w="1020"/>
          </w:tcPr>
          <w:p>
            <w:pPr>
              <w:spacing w:after="20" w:before="20" w:line="240" w:lineRule="auto"/>
              <w:jc w:val="center"/>
            </w:pPr>
            <w:r>
              <w:rPr>
                <w:sz w:val="21"/>
              </w:rPr>
              <w:t>185</w:t>
            </w:r>
          </w:p>
        </w:tc>
      </w:tr>
      <w:tr>
        <w:tc>
          <w:tcPr>
            <w:tcW w:type="dxa" w:w="850"/>
            <w:shd w:val="clear" w:color="auto" w:fill="E8EEF5"/>
          </w:tcPr>
          <w:p>
            <w:pPr>
              <w:spacing w:after="20" w:before="20" w:line="240" w:lineRule="auto"/>
              <w:jc w:val="center"/>
            </w:pPr>
            <w:r>
              <w:rPr>
                <w:sz w:val="21"/>
              </w:rPr>
              <w:t>46.6</w:t>
            </w:r>
          </w:p>
        </w:tc>
        <w:tc>
          <w:tcPr>
            <w:tcW w:type="dxa" w:w="7540"/>
            <w:shd w:val="clear" w:color="auto" w:fill="E8EEF5"/>
          </w:tcPr>
          <w:p>
            <w:pPr>
              <w:spacing w:after="20" w:before="20" w:line="240" w:lineRule="auto"/>
              <w:jc w:val="left"/>
            </w:pPr>
            <w:r>
              <w:rPr>
                <w:sz w:val="21"/>
              </w:rPr>
              <w:t>Challenges and Solutions in Implementing ICT Facilities</w:t>
            </w:r>
          </w:p>
        </w:tc>
        <w:tc>
          <w:tcPr>
            <w:tcW w:type="dxa" w:w="1020"/>
            <w:shd w:val="clear" w:color="auto" w:fill="E8EEF5"/>
          </w:tcPr>
          <w:p>
            <w:pPr>
              <w:spacing w:after="20" w:before="20" w:line="240" w:lineRule="auto"/>
              <w:jc w:val="center"/>
            </w:pPr>
            <w:r>
              <w:rPr>
                <w:sz w:val="21"/>
              </w:rPr>
              <w:t>186</w:t>
            </w:r>
          </w:p>
        </w:tc>
      </w:tr>
      <w:tr>
        <w:tc>
          <w:tcPr>
            <w:tcW w:type="dxa" w:w="850"/>
          </w:tcPr>
          <w:p>
            <w:pPr>
              <w:spacing w:after="20" w:before="20" w:line="240" w:lineRule="auto"/>
              <w:jc w:val="center"/>
            </w:pPr>
            <w:r>
              <w:rPr>
                <w:sz w:val="21"/>
              </w:rPr>
              <w:t>46.7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187</w:t>
            </w:r>
          </w:p>
        </w:tc>
      </w:tr>
      <w:tr>
        <w:tc>
          <w:tcPr>
            <w:tcW w:type="dxa" w:w="850"/>
            <w:shd w:val="clear" w:color="auto" w:fill="E8EEF5"/>
          </w:tcPr>
          <w:p>
            <w:pPr>
              <w:spacing w:after="20" w:before="20" w:line="240" w:lineRule="auto"/>
              <w:jc w:val="center"/>
            </w:pPr>
            <w:r>
              <w:rPr>
                <w:b/>
                <w:sz w:val="21"/>
              </w:rPr>
              <w:t>47</w:t>
            </w:r>
          </w:p>
        </w:tc>
        <w:tc>
          <w:tcPr>
            <w:tcW w:type="dxa" w:w="7540"/>
            <w:shd w:val="clear" w:color="auto" w:fill="E8EEF5"/>
          </w:tcPr>
          <w:p>
            <w:pPr>
              <w:spacing w:after="20" w:before="20" w:line="240" w:lineRule="auto"/>
              <w:jc w:val="left"/>
            </w:pPr>
            <w:r>
              <w:rPr>
                <w:b/>
                <w:sz w:val="21"/>
              </w:rPr>
              <w:t>Infrastructure and Learning Resources (Library Automation)</w:t>
            </w:r>
          </w:p>
        </w:tc>
        <w:tc>
          <w:tcPr>
            <w:tcW w:type="dxa" w:w="1020"/>
            <w:shd w:val="clear" w:color="auto" w:fill="E8EEF5"/>
          </w:tcPr>
          <w:p>
            <w:pPr>
              <w:spacing w:after="20" w:before="20" w:line="240" w:lineRule="auto"/>
              <w:jc w:val="center"/>
            </w:pPr>
            <w:r>
              <w:rPr>
                <w:b/>
                <w:sz w:val="21"/>
              </w:rPr>
              <w:t>188</w:t>
            </w:r>
          </w:p>
        </w:tc>
      </w:tr>
      <w:tr>
        <w:tc>
          <w:tcPr>
            <w:tcW w:type="dxa" w:w="850"/>
          </w:tcPr>
          <w:p>
            <w:pPr>
              <w:spacing w:after="20" w:before="20" w:line="240" w:lineRule="auto"/>
              <w:jc w:val="center"/>
            </w:pPr>
            <w:r>
              <w:rPr>
                <w:sz w:val="21"/>
              </w:rPr>
              <w:t>47.1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188</w:t>
            </w:r>
          </w:p>
        </w:tc>
      </w:tr>
      <w:tr>
        <w:tc>
          <w:tcPr>
            <w:tcW w:type="dxa" w:w="850"/>
            <w:shd w:val="clear" w:color="auto" w:fill="E8EEF5"/>
          </w:tcPr>
          <w:p>
            <w:pPr>
              <w:spacing w:after="20" w:before="20" w:line="240" w:lineRule="auto"/>
              <w:jc w:val="center"/>
            </w:pPr>
            <w:r>
              <w:rPr>
                <w:sz w:val="21"/>
              </w:rPr>
              <w:t>47.2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188</w:t>
            </w:r>
          </w:p>
        </w:tc>
      </w:tr>
      <w:tr>
        <w:tc>
          <w:tcPr>
            <w:tcW w:type="dxa" w:w="850"/>
          </w:tcPr>
          <w:p>
            <w:pPr>
              <w:spacing w:after="20" w:before="20" w:line="240" w:lineRule="auto"/>
              <w:jc w:val="center"/>
            </w:pPr>
            <w:r>
              <w:rPr>
                <w:sz w:val="21"/>
              </w:rPr>
              <w:t>47.3</w:t>
            </w:r>
          </w:p>
        </w:tc>
        <w:tc>
          <w:tcPr>
            <w:tcW w:type="dxa" w:w="7540"/>
          </w:tcPr>
          <w:p>
            <w:pPr>
              <w:spacing w:after="20" w:before="20" w:line="240" w:lineRule="auto"/>
              <w:jc w:val="left"/>
            </w:pPr>
            <w:r>
              <w:rPr>
                <w:sz w:val="21"/>
              </w:rPr>
              <w:t>Key Practices in Library Automation</w:t>
            </w:r>
          </w:p>
        </w:tc>
        <w:tc>
          <w:tcPr>
            <w:tcW w:type="dxa" w:w="1020"/>
          </w:tcPr>
          <w:p>
            <w:pPr>
              <w:spacing w:after="20" w:before="20" w:line="240" w:lineRule="auto"/>
              <w:jc w:val="center"/>
            </w:pPr>
            <w:r>
              <w:rPr>
                <w:sz w:val="21"/>
              </w:rPr>
              <w:t>188</w:t>
            </w:r>
          </w:p>
        </w:tc>
      </w:tr>
      <w:tr>
        <w:tc>
          <w:tcPr>
            <w:tcW w:type="dxa" w:w="850"/>
            <w:shd w:val="clear" w:color="auto" w:fill="E8EEF5"/>
          </w:tcPr>
          <w:p>
            <w:pPr>
              <w:spacing w:after="20" w:before="20" w:line="240" w:lineRule="auto"/>
              <w:jc w:val="center"/>
            </w:pPr>
            <w:r>
              <w:rPr>
                <w:sz w:val="21"/>
              </w:rPr>
              <w:t>47.4</w:t>
            </w:r>
          </w:p>
        </w:tc>
        <w:tc>
          <w:tcPr>
            <w:tcW w:type="dxa" w:w="7540"/>
            <w:shd w:val="clear" w:color="auto" w:fill="E8EEF5"/>
          </w:tcPr>
          <w:p>
            <w:pPr>
              <w:spacing w:after="20" w:before="20" w:line="240" w:lineRule="auto"/>
              <w:jc w:val="left"/>
            </w:pPr>
            <w:r>
              <w:rPr>
                <w:sz w:val="21"/>
              </w:rPr>
              <w:t>Impact of Library Automation</w:t>
            </w:r>
          </w:p>
        </w:tc>
        <w:tc>
          <w:tcPr>
            <w:tcW w:type="dxa" w:w="1020"/>
            <w:shd w:val="clear" w:color="auto" w:fill="E8EEF5"/>
          </w:tcPr>
          <w:p>
            <w:pPr>
              <w:spacing w:after="20" w:before="20" w:line="240" w:lineRule="auto"/>
              <w:jc w:val="center"/>
            </w:pPr>
            <w:r>
              <w:rPr>
                <w:sz w:val="21"/>
              </w:rPr>
              <w:t>190</w:t>
            </w:r>
          </w:p>
        </w:tc>
      </w:tr>
      <w:tr>
        <w:tc>
          <w:tcPr>
            <w:tcW w:type="dxa" w:w="850"/>
          </w:tcPr>
          <w:p>
            <w:pPr>
              <w:spacing w:after="20" w:before="20" w:line="240" w:lineRule="auto"/>
              <w:jc w:val="center"/>
            </w:pPr>
            <w:r>
              <w:rPr>
                <w:sz w:val="21"/>
              </w:rPr>
              <w:t>47.5</w:t>
            </w:r>
          </w:p>
        </w:tc>
        <w:tc>
          <w:tcPr>
            <w:tcW w:type="dxa" w:w="7540"/>
          </w:tcPr>
          <w:p>
            <w:pPr>
              <w:spacing w:after="20" w:before="20" w:line="240" w:lineRule="auto"/>
              <w:jc w:val="left"/>
            </w:pPr>
            <w:r>
              <w:rPr>
                <w:sz w:val="21"/>
              </w:rPr>
              <w:t>Outcomes of Library Automation</w:t>
            </w:r>
          </w:p>
        </w:tc>
        <w:tc>
          <w:tcPr>
            <w:tcW w:type="dxa" w:w="1020"/>
          </w:tcPr>
          <w:p>
            <w:pPr>
              <w:spacing w:after="20" w:before="20" w:line="240" w:lineRule="auto"/>
              <w:jc w:val="center"/>
            </w:pPr>
            <w:r>
              <w:rPr>
                <w:sz w:val="21"/>
              </w:rPr>
              <w:t>191</w:t>
            </w:r>
          </w:p>
        </w:tc>
      </w:tr>
      <w:tr>
        <w:tc>
          <w:tcPr>
            <w:tcW w:type="dxa" w:w="850"/>
            <w:shd w:val="clear" w:color="auto" w:fill="E8EEF5"/>
          </w:tcPr>
          <w:p>
            <w:pPr>
              <w:spacing w:after="20" w:before="20" w:line="240" w:lineRule="auto"/>
              <w:jc w:val="center"/>
            </w:pPr>
            <w:r>
              <w:rPr>
                <w:sz w:val="21"/>
              </w:rPr>
              <w:t>47.6</w:t>
            </w:r>
          </w:p>
        </w:tc>
        <w:tc>
          <w:tcPr>
            <w:tcW w:type="dxa" w:w="7540"/>
            <w:shd w:val="clear" w:color="auto" w:fill="E8EEF5"/>
          </w:tcPr>
          <w:p>
            <w:pPr>
              <w:spacing w:after="20" w:before="20" w:line="240" w:lineRule="auto"/>
              <w:jc w:val="left"/>
            </w:pPr>
            <w:r>
              <w:rPr>
                <w:sz w:val="21"/>
              </w:rPr>
              <w:t>Challenges and Solutions in Library Automation</w:t>
            </w:r>
          </w:p>
        </w:tc>
        <w:tc>
          <w:tcPr>
            <w:tcW w:type="dxa" w:w="1020"/>
            <w:shd w:val="clear" w:color="auto" w:fill="E8EEF5"/>
          </w:tcPr>
          <w:p>
            <w:pPr>
              <w:spacing w:after="20" w:before="20" w:line="240" w:lineRule="auto"/>
              <w:jc w:val="center"/>
            </w:pPr>
            <w:r>
              <w:rPr>
                <w:sz w:val="21"/>
              </w:rPr>
              <w:t>192</w:t>
            </w:r>
          </w:p>
        </w:tc>
      </w:tr>
      <w:tr>
        <w:tc>
          <w:tcPr>
            <w:tcW w:type="dxa" w:w="850"/>
          </w:tcPr>
          <w:p>
            <w:pPr>
              <w:spacing w:after="20" w:before="20" w:line="240" w:lineRule="auto"/>
              <w:jc w:val="center"/>
            </w:pPr>
            <w:r>
              <w:rPr>
                <w:sz w:val="21"/>
              </w:rPr>
              <w:t>47.7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192</w:t>
            </w:r>
          </w:p>
        </w:tc>
      </w:tr>
      <w:tr>
        <w:tc>
          <w:tcPr>
            <w:tcW w:type="dxa" w:w="850"/>
            <w:shd w:val="clear" w:color="auto" w:fill="E8EEF5"/>
          </w:tcPr>
          <w:p>
            <w:pPr>
              <w:spacing w:after="20" w:before="20" w:line="240" w:lineRule="auto"/>
              <w:jc w:val="center"/>
            </w:pPr>
            <w:r>
              <w:rPr>
                <w:b/>
                <w:sz w:val="21"/>
              </w:rPr>
              <w:t>48</w:t>
            </w:r>
          </w:p>
        </w:tc>
        <w:tc>
          <w:tcPr>
            <w:tcW w:type="dxa" w:w="7540"/>
            <w:shd w:val="clear" w:color="auto" w:fill="E8EEF5"/>
          </w:tcPr>
          <w:p>
            <w:pPr>
              <w:spacing w:after="20" w:before="20" w:line="240" w:lineRule="auto"/>
              <w:jc w:val="left"/>
            </w:pPr>
            <w:r>
              <w:rPr>
                <w:b/>
                <w:sz w:val="21"/>
              </w:rPr>
              <w:t>Infrastructure and Learning Resources (Technology-Enabled Classrooms)</w:t>
            </w:r>
          </w:p>
        </w:tc>
        <w:tc>
          <w:tcPr>
            <w:tcW w:type="dxa" w:w="1020"/>
            <w:shd w:val="clear" w:color="auto" w:fill="E8EEF5"/>
          </w:tcPr>
          <w:p>
            <w:pPr>
              <w:spacing w:after="20" w:before="20" w:line="240" w:lineRule="auto"/>
              <w:jc w:val="center"/>
            </w:pPr>
            <w:r>
              <w:rPr>
                <w:b/>
                <w:sz w:val="21"/>
              </w:rPr>
              <w:t>193</w:t>
            </w:r>
          </w:p>
        </w:tc>
      </w:tr>
      <w:tr>
        <w:tc>
          <w:tcPr>
            <w:tcW w:type="dxa" w:w="850"/>
          </w:tcPr>
          <w:p>
            <w:pPr>
              <w:spacing w:after="20" w:before="20" w:line="240" w:lineRule="auto"/>
              <w:jc w:val="center"/>
            </w:pPr>
            <w:r>
              <w:rPr>
                <w:sz w:val="21"/>
              </w:rPr>
              <w:t>48.1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193</w:t>
            </w:r>
          </w:p>
        </w:tc>
      </w:tr>
      <w:tr>
        <w:tc>
          <w:tcPr>
            <w:tcW w:type="dxa" w:w="850"/>
            <w:shd w:val="clear" w:color="auto" w:fill="E8EEF5"/>
          </w:tcPr>
          <w:p>
            <w:pPr>
              <w:spacing w:after="20" w:before="20" w:line="240" w:lineRule="auto"/>
              <w:jc w:val="center"/>
            </w:pPr>
            <w:r>
              <w:rPr>
                <w:sz w:val="21"/>
              </w:rPr>
              <w:t>48.2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193</w:t>
            </w:r>
          </w:p>
        </w:tc>
      </w:tr>
      <w:tr>
        <w:tc>
          <w:tcPr>
            <w:tcW w:type="dxa" w:w="850"/>
          </w:tcPr>
          <w:p>
            <w:pPr>
              <w:spacing w:after="20" w:before="20" w:line="240" w:lineRule="auto"/>
              <w:jc w:val="center"/>
            </w:pPr>
            <w:r>
              <w:rPr>
                <w:sz w:val="21"/>
              </w:rPr>
              <w:t>48.3</w:t>
            </w:r>
          </w:p>
        </w:tc>
        <w:tc>
          <w:tcPr>
            <w:tcW w:type="dxa" w:w="7540"/>
          </w:tcPr>
          <w:p>
            <w:pPr>
              <w:spacing w:after="20" w:before="20" w:line="240" w:lineRule="auto"/>
              <w:jc w:val="left"/>
            </w:pPr>
            <w:r>
              <w:rPr>
                <w:sz w:val="21"/>
              </w:rPr>
              <w:t>Key Practices in Technology-Enabled Classrooms</w:t>
            </w:r>
          </w:p>
        </w:tc>
        <w:tc>
          <w:tcPr>
            <w:tcW w:type="dxa" w:w="1020"/>
          </w:tcPr>
          <w:p>
            <w:pPr>
              <w:spacing w:after="20" w:before="20" w:line="240" w:lineRule="auto"/>
              <w:jc w:val="center"/>
            </w:pPr>
            <w:r>
              <w:rPr>
                <w:sz w:val="21"/>
              </w:rPr>
              <w:t>193</w:t>
            </w:r>
          </w:p>
        </w:tc>
      </w:tr>
      <w:tr>
        <w:tc>
          <w:tcPr>
            <w:tcW w:type="dxa" w:w="850"/>
            <w:shd w:val="clear" w:color="auto" w:fill="E8EEF5"/>
          </w:tcPr>
          <w:p>
            <w:pPr>
              <w:spacing w:after="20" w:before="20" w:line="240" w:lineRule="auto"/>
              <w:jc w:val="center"/>
            </w:pPr>
            <w:r>
              <w:rPr>
                <w:sz w:val="21"/>
              </w:rPr>
              <w:t>48.4</w:t>
            </w:r>
          </w:p>
        </w:tc>
        <w:tc>
          <w:tcPr>
            <w:tcW w:type="dxa" w:w="7540"/>
            <w:shd w:val="clear" w:color="auto" w:fill="E8EEF5"/>
          </w:tcPr>
          <w:p>
            <w:pPr>
              <w:spacing w:after="20" w:before="20" w:line="240" w:lineRule="auto"/>
              <w:jc w:val="left"/>
            </w:pPr>
            <w:r>
              <w:rPr>
                <w:sz w:val="21"/>
              </w:rPr>
              <w:t>Impact of Technology-Enabled Classrooms</w:t>
            </w:r>
          </w:p>
        </w:tc>
        <w:tc>
          <w:tcPr>
            <w:tcW w:type="dxa" w:w="1020"/>
            <w:shd w:val="clear" w:color="auto" w:fill="E8EEF5"/>
          </w:tcPr>
          <w:p>
            <w:pPr>
              <w:spacing w:after="20" w:before="20" w:line="240" w:lineRule="auto"/>
              <w:jc w:val="center"/>
            </w:pPr>
            <w:r>
              <w:rPr>
                <w:sz w:val="21"/>
              </w:rPr>
              <w:t>194</w:t>
            </w:r>
          </w:p>
        </w:tc>
      </w:tr>
      <w:tr>
        <w:tc>
          <w:tcPr>
            <w:tcW w:type="dxa" w:w="850"/>
          </w:tcPr>
          <w:p>
            <w:pPr>
              <w:spacing w:after="20" w:before="20" w:line="240" w:lineRule="auto"/>
              <w:jc w:val="center"/>
            </w:pPr>
            <w:r>
              <w:rPr>
                <w:sz w:val="21"/>
              </w:rPr>
              <w:t>48.5</w:t>
            </w:r>
          </w:p>
        </w:tc>
        <w:tc>
          <w:tcPr>
            <w:tcW w:type="dxa" w:w="7540"/>
          </w:tcPr>
          <w:p>
            <w:pPr>
              <w:spacing w:after="20" w:before="20" w:line="240" w:lineRule="auto"/>
              <w:jc w:val="left"/>
            </w:pPr>
            <w:r>
              <w:rPr>
                <w:sz w:val="21"/>
              </w:rPr>
              <w:t>Outcomes of Technology-Enabled Classrooms</w:t>
            </w:r>
          </w:p>
        </w:tc>
        <w:tc>
          <w:tcPr>
            <w:tcW w:type="dxa" w:w="1020"/>
          </w:tcPr>
          <w:p>
            <w:pPr>
              <w:spacing w:after="20" w:before="20" w:line="240" w:lineRule="auto"/>
              <w:jc w:val="center"/>
            </w:pPr>
            <w:r>
              <w:rPr>
                <w:sz w:val="21"/>
              </w:rPr>
              <w:t>195</w:t>
            </w:r>
          </w:p>
        </w:tc>
      </w:tr>
      <w:tr>
        <w:tc>
          <w:tcPr>
            <w:tcW w:type="dxa" w:w="850"/>
            <w:shd w:val="clear" w:color="auto" w:fill="E8EEF5"/>
          </w:tcPr>
          <w:p>
            <w:pPr>
              <w:spacing w:after="20" w:before="20" w:line="240" w:lineRule="auto"/>
              <w:jc w:val="center"/>
            </w:pPr>
            <w:r>
              <w:rPr>
                <w:sz w:val="21"/>
              </w:rPr>
              <w:t>48.6</w:t>
            </w:r>
          </w:p>
        </w:tc>
        <w:tc>
          <w:tcPr>
            <w:tcW w:type="dxa" w:w="7540"/>
            <w:shd w:val="clear" w:color="auto" w:fill="E8EEF5"/>
          </w:tcPr>
          <w:p>
            <w:pPr>
              <w:spacing w:after="20" w:before="20" w:line="240" w:lineRule="auto"/>
              <w:jc w:val="left"/>
            </w:pPr>
            <w:r>
              <w:rPr>
                <w:sz w:val="21"/>
              </w:rPr>
              <w:t>Challenges and Solutions in Implementing Technology-Enabled Classrooms</w:t>
            </w:r>
          </w:p>
        </w:tc>
        <w:tc>
          <w:tcPr>
            <w:tcW w:type="dxa" w:w="1020"/>
            <w:shd w:val="clear" w:color="auto" w:fill="E8EEF5"/>
          </w:tcPr>
          <w:p>
            <w:pPr>
              <w:spacing w:after="20" w:before="20" w:line="240" w:lineRule="auto"/>
              <w:jc w:val="center"/>
            </w:pPr>
            <w:r>
              <w:rPr>
                <w:sz w:val="21"/>
              </w:rPr>
              <w:t>196</w:t>
            </w:r>
          </w:p>
        </w:tc>
      </w:tr>
      <w:tr>
        <w:tc>
          <w:tcPr>
            <w:tcW w:type="dxa" w:w="850"/>
          </w:tcPr>
          <w:p>
            <w:pPr>
              <w:spacing w:after="20" w:before="20" w:line="240" w:lineRule="auto"/>
              <w:jc w:val="center"/>
            </w:pPr>
            <w:r>
              <w:rPr>
                <w:sz w:val="21"/>
              </w:rPr>
              <w:t>48.7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197</w:t>
            </w:r>
          </w:p>
        </w:tc>
      </w:tr>
      <w:tr>
        <w:tc>
          <w:tcPr>
            <w:tcW w:type="dxa" w:w="850"/>
            <w:shd w:val="clear" w:color="auto" w:fill="E8EEF5"/>
          </w:tcPr>
          <w:p>
            <w:pPr>
              <w:spacing w:after="20" w:before="20" w:line="240" w:lineRule="auto"/>
              <w:jc w:val="center"/>
            </w:pPr>
            <w:r>
              <w:rPr>
                <w:b/>
                <w:sz w:val="21"/>
              </w:rPr>
              <w:t>49</w:t>
            </w:r>
          </w:p>
        </w:tc>
        <w:tc>
          <w:tcPr>
            <w:tcW w:type="dxa" w:w="7540"/>
            <w:shd w:val="clear" w:color="auto" w:fill="E8EEF5"/>
          </w:tcPr>
          <w:p>
            <w:pPr>
              <w:spacing w:after="20" w:before="20" w:line="240" w:lineRule="auto"/>
              <w:jc w:val="left"/>
            </w:pPr>
            <w:r>
              <w:rPr>
                <w:b/>
                <w:sz w:val="21"/>
              </w:rPr>
              <w:t>Best Practices in Teaching-Learning and Evaluation</w:t>
            </w:r>
          </w:p>
        </w:tc>
        <w:tc>
          <w:tcPr>
            <w:tcW w:type="dxa" w:w="1020"/>
            <w:shd w:val="clear" w:color="auto" w:fill="E8EEF5"/>
          </w:tcPr>
          <w:p>
            <w:pPr>
              <w:spacing w:after="20" w:before="20" w:line="240" w:lineRule="auto"/>
              <w:jc w:val="center"/>
            </w:pPr>
            <w:r>
              <w:rPr>
                <w:b/>
                <w:sz w:val="21"/>
              </w:rPr>
              <w:t>198</w:t>
            </w:r>
          </w:p>
        </w:tc>
      </w:tr>
      <w:tr>
        <w:tc>
          <w:tcPr>
            <w:tcW w:type="dxa" w:w="850"/>
          </w:tcPr>
          <w:p>
            <w:pPr>
              <w:spacing w:after="20" w:before="20" w:line="240" w:lineRule="auto"/>
              <w:jc w:val="center"/>
            </w:pPr>
            <w:r>
              <w:rPr>
                <w:sz w:val="21"/>
              </w:rPr>
              <w:t>49.1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198</w:t>
            </w:r>
          </w:p>
        </w:tc>
      </w:tr>
      <w:tr>
        <w:tc>
          <w:tcPr>
            <w:tcW w:type="dxa" w:w="850"/>
            <w:shd w:val="clear" w:color="auto" w:fill="E8EEF5"/>
          </w:tcPr>
          <w:p>
            <w:pPr>
              <w:spacing w:after="20" w:before="20" w:line="240" w:lineRule="auto"/>
              <w:jc w:val="center"/>
            </w:pPr>
            <w:r>
              <w:rPr>
                <w:sz w:val="21"/>
              </w:rPr>
              <w:t>49.2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198</w:t>
            </w:r>
          </w:p>
        </w:tc>
      </w:tr>
      <w:tr>
        <w:tc>
          <w:tcPr>
            <w:tcW w:type="dxa" w:w="850"/>
          </w:tcPr>
          <w:p>
            <w:pPr>
              <w:spacing w:after="20" w:before="20" w:line="240" w:lineRule="auto"/>
              <w:jc w:val="center"/>
            </w:pPr>
            <w:r>
              <w:rPr>
                <w:sz w:val="21"/>
              </w:rPr>
              <w:t>49.3</w:t>
            </w:r>
          </w:p>
        </w:tc>
        <w:tc>
          <w:tcPr>
            <w:tcW w:type="dxa" w:w="7540"/>
          </w:tcPr>
          <w:p>
            <w:pPr>
              <w:spacing w:after="20" w:before="20" w:line="240" w:lineRule="auto"/>
              <w:jc w:val="left"/>
            </w:pPr>
            <w:r>
              <w:rPr>
                <w:sz w:val="21"/>
              </w:rPr>
              <w:t>Key Components of Best Practices in Teaching-Learning and Evaluation</w:t>
            </w:r>
          </w:p>
        </w:tc>
        <w:tc>
          <w:tcPr>
            <w:tcW w:type="dxa" w:w="1020"/>
          </w:tcPr>
          <w:p>
            <w:pPr>
              <w:spacing w:after="20" w:before="20" w:line="240" w:lineRule="auto"/>
              <w:jc w:val="center"/>
            </w:pPr>
            <w:r>
              <w:rPr>
                <w:sz w:val="21"/>
              </w:rPr>
              <w:t>198</w:t>
            </w:r>
          </w:p>
        </w:tc>
      </w:tr>
      <w:tr>
        <w:tc>
          <w:tcPr>
            <w:tcW w:type="dxa" w:w="850"/>
            <w:shd w:val="clear" w:color="auto" w:fill="E8EEF5"/>
          </w:tcPr>
          <w:p>
            <w:pPr>
              <w:spacing w:after="20" w:before="20" w:line="240" w:lineRule="auto"/>
              <w:jc w:val="center"/>
            </w:pPr>
            <w:r>
              <w:rPr>
                <w:sz w:val="21"/>
              </w:rPr>
              <w:t>49.4</w:t>
            </w:r>
          </w:p>
        </w:tc>
        <w:tc>
          <w:tcPr>
            <w:tcW w:type="dxa" w:w="7540"/>
            <w:shd w:val="clear" w:color="auto" w:fill="E8EEF5"/>
          </w:tcPr>
          <w:p>
            <w:pPr>
              <w:spacing w:after="20" w:before="20" w:line="240" w:lineRule="auto"/>
              <w:jc w:val="left"/>
            </w:pPr>
            <w:r>
              <w:rPr>
                <w:sz w:val="21"/>
              </w:rPr>
              <w:t>Benefits of Best Practices in Teaching-Learning and Evaluation</w:t>
            </w:r>
          </w:p>
        </w:tc>
        <w:tc>
          <w:tcPr>
            <w:tcW w:type="dxa" w:w="1020"/>
            <w:shd w:val="clear" w:color="auto" w:fill="E8EEF5"/>
          </w:tcPr>
          <w:p>
            <w:pPr>
              <w:spacing w:after="20" w:before="20" w:line="240" w:lineRule="auto"/>
              <w:jc w:val="center"/>
            </w:pPr>
            <w:r>
              <w:rPr>
                <w:sz w:val="21"/>
              </w:rPr>
              <w:t>200</w:t>
            </w:r>
          </w:p>
        </w:tc>
      </w:tr>
      <w:tr>
        <w:tc>
          <w:tcPr>
            <w:tcW w:type="dxa" w:w="850"/>
          </w:tcPr>
          <w:p>
            <w:pPr>
              <w:spacing w:after="20" w:before="20" w:line="240" w:lineRule="auto"/>
              <w:jc w:val="center"/>
            </w:pPr>
            <w:r>
              <w:rPr>
                <w:sz w:val="21"/>
              </w:rPr>
              <w:t>49.5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201</w:t>
            </w:r>
          </w:p>
        </w:tc>
      </w:tr>
      <w:tr>
        <w:tc>
          <w:tcPr>
            <w:tcW w:type="dxa" w:w="850"/>
            <w:shd w:val="clear" w:color="auto" w:fill="E8EEF5"/>
          </w:tcPr>
          <w:p>
            <w:pPr>
              <w:spacing w:after="20" w:before="20" w:line="240" w:lineRule="auto"/>
              <w:jc w:val="center"/>
            </w:pPr>
            <w:r>
              <w:rPr>
                <w:sz w:val="21"/>
              </w:rPr>
              <w:t>49.6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201</w:t>
            </w:r>
          </w:p>
        </w:tc>
      </w:tr>
      <w:tr>
        <w:tc>
          <w:tcPr>
            <w:tcW w:type="dxa" w:w="850"/>
          </w:tcPr>
          <w:p>
            <w:pPr>
              <w:spacing w:after="20" w:before="20" w:line="240" w:lineRule="auto"/>
              <w:jc w:val="center"/>
            </w:pPr>
            <w:r>
              <w:rPr>
                <w:b/>
                <w:sz w:val="21"/>
              </w:rPr>
              <w:t>50</w:t>
            </w:r>
          </w:p>
        </w:tc>
        <w:tc>
          <w:tcPr>
            <w:tcW w:type="dxa" w:w="7540"/>
          </w:tcPr>
          <w:p>
            <w:pPr>
              <w:spacing w:after="20" w:before="20" w:line="240" w:lineRule="auto"/>
              <w:jc w:val="left"/>
            </w:pPr>
            <w:r>
              <w:rPr>
                <w:b/>
                <w:sz w:val="21"/>
              </w:rPr>
              <w:t>Institutional Co-ordination for Teamwork</w:t>
            </w:r>
          </w:p>
        </w:tc>
        <w:tc>
          <w:tcPr>
            <w:tcW w:type="dxa" w:w="1020"/>
          </w:tcPr>
          <w:p>
            <w:pPr>
              <w:spacing w:after="20" w:before="20" w:line="240" w:lineRule="auto"/>
              <w:jc w:val="center"/>
            </w:pPr>
            <w:r>
              <w:rPr>
                <w:b/>
                <w:sz w:val="21"/>
              </w:rPr>
              <w:t>202</w:t>
            </w:r>
          </w:p>
        </w:tc>
      </w:tr>
      <w:tr>
        <w:tc>
          <w:tcPr>
            <w:tcW w:type="dxa" w:w="850"/>
            <w:shd w:val="clear" w:color="auto" w:fill="E8EEF5"/>
          </w:tcPr>
          <w:p>
            <w:pPr>
              <w:spacing w:after="20" w:before="20" w:line="240" w:lineRule="auto"/>
              <w:jc w:val="center"/>
            </w:pPr>
            <w:r>
              <w:rPr>
                <w:sz w:val="21"/>
              </w:rPr>
              <w:t>50.1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202</w:t>
            </w:r>
          </w:p>
        </w:tc>
      </w:tr>
      <w:tr>
        <w:tc>
          <w:tcPr>
            <w:tcW w:type="dxa" w:w="850"/>
          </w:tcPr>
          <w:p>
            <w:pPr>
              <w:spacing w:after="20" w:before="20" w:line="240" w:lineRule="auto"/>
              <w:jc w:val="center"/>
            </w:pPr>
            <w:r>
              <w:rPr>
                <w:sz w:val="21"/>
              </w:rPr>
              <w:t>50.2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202</w:t>
            </w:r>
          </w:p>
        </w:tc>
      </w:tr>
      <w:tr>
        <w:tc>
          <w:tcPr>
            <w:tcW w:type="dxa" w:w="850"/>
            <w:shd w:val="clear" w:color="auto" w:fill="E8EEF5"/>
          </w:tcPr>
          <w:p>
            <w:pPr>
              <w:spacing w:after="20" w:before="20" w:line="240" w:lineRule="auto"/>
              <w:jc w:val="center"/>
            </w:pPr>
            <w:r>
              <w:rPr>
                <w:sz w:val="21"/>
              </w:rPr>
              <w:t>50.3</w:t>
            </w:r>
          </w:p>
        </w:tc>
        <w:tc>
          <w:tcPr>
            <w:tcW w:type="dxa" w:w="7540"/>
            <w:shd w:val="clear" w:color="auto" w:fill="E8EEF5"/>
          </w:tcPr>
          <w:p>
            <w:pPr>
              <w:spacing w:after="20" w:before="20" w:line="240" w:lineRule="auto"/>
              <w:jc w:val="left"/>
            </w:pPr>
            <w:r>
              <w:rPr>
                <w:sz w:val="21"/>
              </w:rPr>
              <w:t>Key Components of Institutional Co-ordination for Teamwork</w:t>
            </w:r>
          </w:p>
        </w:tc>
        <w:tc>
          <w:tcPr>
            <w:tcW w:type="dxa" w:w="1020"/>
            <w:shd w:val="clear" w:color="auto" w:fill="E8EEF5"/>
          </w:tcPr>
          <w:p>
            <w:pPr>
              <w:spacing w:after="20" w:before="20" w:line="240" w:lineRule="auto"/>
              <w:jc w:val="center"/>
            </w:pPr>
            <w:r>
              <w:rPr>
                <w:sz w:val="21"/>
              </w:rPr>
              <w:t>202</w:t>
            </w:r>
          </w:p>
        </w:tc>
      </w:tr>
      <w:tr>
        <w:tc>
          <w:tcPr>
            <w:tcW w:type="dxa" w:w="850"/>
          </w:tcPr>
          <w:p>
            <w:pPr>
              <w:spacing w:after="20" w:before="20" w:line="240" w:lineRule="auto"/>
              <w:jc w:val="center"/>
            </w:pPr>
            <w:r>
              <w:rPr>
                <w:sz w:val="21"/>
              </w:rPr>
              <w:t>50.4</w:t>
            </w:r>
          </w:p>
        </w:tc>
        <w:tc>
          <w:tcPr>
            <w:tcW w:type="dxa" w:w="7540"/>
          </w:tcPr>
          <w:p>
            <w:pPr>
              <w:spacing w:after="20" w:before="20" w:line="240" w:lineRule="auto"/>
              <w:jc w:val="left"/>
            </w:pPr>
            <w:r>
              <w:rPr>
                <w:sz w:val="21"/>
              </w:rPr>
              <w:t>Benefits of Institutional Coordination for Teamwork</w:t>
            </w:r>
          </w:p>
        </w:tc>
        <w:tc>
          <w:tcPr>
            <w:tcW w:type="dxa" w:w="1020"/>
          </w:tcPr>
          <w:p>
            <w:pPr>
              <w:spacing w:after="20" w:before="20" w:line="240" w:lineRule="auto"/>
              <w:jc w:val="center"/>
            </w:pPr>
            <w:r>
              <w:rPr>
                <w:sz w:val="21"/>
              </w:rPr>
              <w:t>204</w:t>
            </w:r>
          </w:p>
        </w:tc>
      </w:tr>
      <w:tr>
        <w:tc>
          <w:tcPr>
            <w:tcW w:type="dxa" w:w="850"/>
            <w:shd w:val="clear" w:color="auto" w:fill="E8EEF5"/>
          </w:tcPr>
          <w:p>
            <w:pPr>
              <w:spacing w:after="20" w:before="20" w:line="240" w:lineRule="auto"/>
              <w:jc w:val="center"/>
            </w:pPr>
            <w:r>
              <w:rPr>
                <w:sz w:val="21"/>
              </w:rPr>
              <w:t>50.5</w:t>
            </w:r>
          </w:p>
        </w:tc>
        <w:tc>
          <w:tcPr>
            <w:tcW w:type="dxa" w:w="7540"/>
            <w:shd w:val="clear" w:color="auto" w:fill="E8EEF5"/>
          </w:tcPr>
          <w:p>
            <w:pPr>
              <w:spacing w:after="20" w:before="20" w:line="240" w:lineRule="auto"/>
              <w:jc w:val="left"/>
            </w:pPr>
            <w:r>
              <w:rPr>
                <w:sz w:val="21"/>
              </w:rPr>
              <w:t>Challenges and Solutions</w:t>
            </w:r>
          </w:p>
        </w:tc>
        <w:tc>
          <w:tcPr>
            <w:tcW w:type="dxa" w:w="1020"/>
            <w:shd w:val="clear" w:color="auto" w:fill="E8EEF5"/>
          </w:tcPr>
          <w:p>
            <w:pPr>
              <w:spacing w:after="20" w:before="20" w:line="240" w:lineRule="auto"/>
              <w:jc w:val="center"/>
            </w:pPr>
            <w:r>
              <w:rPr>
                <w:sz w:val="21"/>
              </w:rPr>
              <w:t>205</w:t>
            </w:r>
          </w:p>
        </w:tc>
      </w:tr>
      <w:tr>
        <w:tc>
          <w:tcPr>
            <w:tcW w:type="dxa" w:w="850"/>
          </w:tcPr>
          <w:p>
            <w:pPr>
              <w:spacing w:after="20" w:before="20" w:line="240" w:lineRule="auto"/>
              <w:jc w:val="center"/>
            </w:pPr>
            <w:r>
              <w:rPr>
                <w:sz w:val="21"/>
              </w:rPr>
              <w:t>50.6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205</w:t>
            </w:r>
          </w:p>
        </w:tc>
      </w:tr>
      <w:tr>
        <w:tc>
          <w:tcPr>
            <w:tcW w:type="dxa" w:w="850"/>
            <w:shd w:val="clear" w:color="auto" w:fill="E8EEF5"/>
          </w:tcPr>
          <w:p>
            <w:pPr>
              <w:spacing w:after="20" w:before="20" w:line="240" w:lineRule="auto"/>
              <w:jc w:val="center"/>
            </w:pPr>
            <w:r>
              <w:rPr>
                <w:b/>
                <w:sz w:val="21"/>
              </w:rPr>
              <w:t>51</w:t>
            </w:r>
          </w:p>
        </w:tc>
        <w:tc>
          <w:tcPr>
            <w:tcW w:type="dxa" w:w="7540"/>
            <w:shd w:val="clear" w:color="auto" w:fill="E8EEF5"/>
          </w:tcPr>
          <w:p>
            <w:pPr>
              <w:spacing w:after="20" w:before="20" w:line="240" w:lineRule="auto"/>
              <w:jc w:val="left"/>
            </w:pPr>
            <w:r>
              <w:rPr>
                <w:b/>
                <w:sz w:val="21"/>
              </w:rPr>
              <w:t>Mentoring System for Students</w:t>
            </w:r>
          </w:p>
        </w:tc>
        <w:tc>
          <w:tcPr>
            <w:tcW w:type="dxa" w:w="1020"/>
            <w:shd w:val="clear" w:color="auto" w:fill="E8EEF5"/>
          </w:tcPr>
          <w:p>
            <w:pPr>
              <w:spacing w:after="20" w:before="20" w:line="240" w:lineRule="auto"/>
              <w:jc w:val="center"/>
            </w:pPr>
            <w:r>
              <w:rPr>
                <w:b/>
                <w:sz w:val="21"/>
              </w:rPr>
              <w:t>206</w:t>
            </w:r>
          </w:p>
        </w:tc>
      </w:tr>
      <w:tr>
        <w:tc>
          <w:tcPr>
            <w:tcW w:type="dxa" w:w="850"/>
          </w:tcPr>
          <w:p>
            <w:pPr>
              <w:spacing w:after="20" w:before="20" w:line="240" w:lineRule="auto"/>
              <w:jc w:val="center"/>
            </w:pPr>
            <w:r>
              <w:rPr>
                <w:sz w:val="21"/>
              </w:rPr>
              <w:t>51.1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206</w:t>
            </w:r>
          </w:p>
        </w:tc>
      </w:tr>
      <w:tr>
        <w:tc>
          <w:tcPr>
            <w:tcW w:type="dxa" w:w="850"/>
            <w:shd w:val="clear" w:color="auto" w:fill="E8EEF5"/>
          </w:tcPr>
          <w:p>
            <w:pPr>
              <w:spacing w:after="20" w:before="20" w:line="240" w:lineRule="auto"/>
              <w:jc w:val="center"/>
            </w:pPr>
            <w:r>
              <w:rPr>
                <w:sz w:val="21"/>
              </w:rPr>
              <w:t>51.2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206</w:t>
            </w:r>
          </w:p>
        </w:tc>
      </w:tr>
      <w:tr>
        <w:tc>
          <w:tcPr>
            <w:tcW w:type="dxa" w:w="850"/>
          </w:tcPr>
          <w:p>
            <w:pPr>
              <w:spacing w:after="20" w:before="20" w:line="240" w:lineRule="auto"/>
              <w:jc w:val="center"/>
            </w:pPr>
            <w:r>
              <w:rPr>
                <w:sz w:val="21"/>
              </w:rPr>
              <w:t>51.3</w:t>
            </w:r>
          </w:p>
        </w:tc>
        <w:tc>
          <w:tcPr>
            <w:tcW w:type="dxa" w:w="7540"/>
          </w:tcPr>
          <w:p>
            <w:pPr>
              <w:spacing w:after="20" w:before="20" w:line="240" w:lineRule="auto"/>
              <w:jc w:val="left"/>
            </w:pPr>
            <w:r>
              <w:rPr>
                <w:sz w:val="21"/>
              </w:rPr>
              <w:t>Key Components of the Mentoring System for Students</w:t>
            </w:r>
          </w:p>
        </w:tc>
        <w:tc>
          <w:tcPr>
            <w:tcW w:type="dxa" w:w="1020"/>
          </w:tcPr>
          <w:p>
            <w:pPr>
              <w:spacing w:after="20" w:before="20" w:line="240" w:lineRule="auto"/>
              <w:jc w:val="center"/>
            </w:pPr>
            <w:r>
              <w:rPr>
                <w:sz w:val="21"/>
              </w:rPr>
              <w:t>206</w:t>
            </w:r>
          </w:p>
        </w:tc>
      </w:tr>
      <w:tr>
        <w:tc>
          <w:tcPr>
            <w:tcW w:type="dxa" w:w="850"/>
            <w:shd w:val="clear" w:color="auto" w:fill="E8EEF5"/>
          </w:tcPr>
          <w:p>
            <w:pPr>
              <w:spacing w:after="20" w:before="20" w:line="240" w:lineRule="auto"/>
              <w:jc w:val="center"/>
            </w:pPr>
            <w:r>
              <w:rPr>
                <w:sz w:val="21"/>
              </w:rPr>
              <w:t>51.4</w:t>
            </w:r>
          </w:p>
        </w:tc>
        <w:tc>
          <w:tcPr>
            <w:tcW w:type="dxa" w:w="7540"/>
            <w:shd w:val="clear" w:color="auto" w:fill="E8EEF5"/>
          </w:tcPr>
          <w:p>
            <w:pPr>
              <w:spacing w:after="20" w:before="20" w:line="240" w:lineRule="auto"/>
              <w:jc w:val="left"/>
            </w:pPr>
            <w:r>
              <w:rPr>
                <w:sz w:val="21"/>
              </w:rPr>
              <w:t>Benefits of a Mentoring System for Students</w:t>
            </w:r>
          </w:p>
        </w:tc>
        <w:tc>
          <w:tcPr>
            <w:tcW w:type="dxa" w:w="1020"/>
            <w:shd w:val="clear" w:color="auto" w:fill="E8EEF5"/>
          </w:tcPr>
          <w:p>
            <w:pPr>
              <w:spacing w:after="20" w:before="20" w:line="240" w:lineRule="auto"/>
              <w:jc w:val="center"/>
            </w:pPr>
            <w:r>
              <w:rPr>
                <w:sz w:val="21"/>
              </w:rPr>
              <w:t>208</w:t>
            </w:r>
          </w:p>
        </w:tc>
      </w:tr>
      <w:tr>
        <w:tc>
          <w:tcPr>
            <w:tcW w:type="dxa" w:w="850"/>
          </w:tcPr>
          <w:p>
            <w:pPr>
              <w:spacing w:after="20" w:before="20" w:line="240" w:lineRule="auto"/>
              <w:jc w:val="center"/>
            </w:pPr>
            <w:r>
              <w:rPr>
                <w:sz w:val="21"/>
              </w:rPr>
              <w:t>51.5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209</w:t>
            </w:r>
          </w:p>
        </w:tc>
      </w:tr>
      <w:tr>
        <w:tc>
          <w:tcPr>
            <w:tcW w:type="dxa" w:w="850"/>
            <w:shd w:val="clear" w:color="auto" w:fill="E8EEF5"/>
          </w:tcPr>
          <w:p>
            <w:pPr>
              <w:spacing w:after="20" w:before="20" w:line="240" w:lineRule="auto"/>
              <w:jc w:val="center"/>
            </w:pPr>
            <w:r>
              <w:rPr>
                <w:sz w:val="21"/>
              </w:rPr>
              <w:t>51.6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209</w:t>
            </w:r>
          </w:p>
        </w:tc>
      </w:tr>
      <w:tr>
        <w:tc>
          <w:tcPr>
            <w:tcW w:type="dxa" w:w="850"/>
          </w:tcPr>
          <w:p>
            <w:pPr>
              <w:spacing w:after="20" w:before="20" w:line="240" w:lineRule="auto"/>
              <w:jc w:val="center"/>
            </w:pPr>
            <w:r>
              <w:rPr>
                <w:b/>
                <w:sz w:val="21"/>
              </w:rPr>
              <w:t>52</w:t>
            </w:r>
          </w:p>
        </w:tc>
        <w:tc>
          <w:tcPr>
            <w:tcW w:type="dxa" w:w="7540"/>
          </w:tcPr>
          <w:p>
            <w:pPr>
              <w:spacing w:after="20" w:before="20" w:line="240" w:lineRule="auto"/>
              <w:jc w:val="left"/>
            </w:pPr>
            <w:r>
              <w:rPr>
                <w:b/>
                <w:sz w:val="21"/>
              </w:rPr>
              <w:t>Fieldwork</w:t>
            </w:r>
          </w:p>
        </w:tc>
        <w:tc>
          <w:tcPr>
            <w:tcW w:type="dxa" w:w="1020"/>
          </w:tcPr>
          <w:p>
            <w:pPr>
              <w:spacing w:after="20" w:before="20" w:line="240" w:lineRule="auto"/>
              <w:jc w:val="center"/>
            </w:pPr>
            <w:r>
              <w:rPr>
                <w:b/>
                <w:sz w:val="21"/>
              </w:rPr>
              <w:t>210</w:t>
            </w:r>
          </w:p>
        </w:tc>
      </w:tr>
      <w:tr>
        <w:tc>
          <w:tcPr>
            <w:tcW w:type="dxa" w:w="850"/>
            <w:shd w:val="clear" w:color="auto" w:fill="E8EEF5"/>
          </w:tcPr>
          <w:p>
            <w:pPr>
              <w:spacing w:after="20" w:before="20" w:line="240" w:lineRule="auto"/>
              <w:jc w:val="center"/>
            </w:pPr>
            <w:r>
              <w:rPr>
                <w:sz w:val="21"/>
              </w:rPr>
              <w:t>52.1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210</w:t>
            </w:r>
          </w:p>
        </w:tc>
      </w:tr>
      <w:tr>
        <w:tc>
          <w:tcPr>
            <w:tcW w:type="dxa" w:w="850"/>
          </w:tcPr>
          <w:p>
            <w:pPr>
              <w:spacing w:after="20" w:before="20" w:line="240" w:lineRule="auto"/>
              <w:jc w:val="center"/>
            </w:pPr>
            <w:r>
              <w:rPr>
                <w:sz w:val="21"/>
              </w:rPr>
              <w:t>52.2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210</w:t>
            </w:r>
          </w:p>
        </w:tc>
      </w:tr>
      <w:tr>
        <w:tc>
          <w:tcPr>
            <w:tcW w:type="dxa" w:w="850"/>
            <w:shd w:val="clear" w:color="auto" w:fill="E8EEF5"/>
          </w:tcPr>
          <w:p>
            <w:pPr>
              <w:spacing w:after="20" w:before="20" w:line="240" w:lineRule="auto"/>
              <w:jc w:val="center"/>
            </w:pPr>
            <w:r>
              <w:rPr>
                <w:sz w:val="21"/>
              </w:rPr>
              <w:t>52.3</w:t>
            </w:r>
          </w:p>
        </w:tc>
        <w:tc>
          <w:tcPr>
            <w:tcW w:type="dxa" w:w="7540"/>
            <w:shd w:val="clear" w:color="auto" w:fill="E8EEF5"/>
          </w:tcPr>
          <w:p>
            <w:pPr>
              <w:spacing w:after="20" w:before="20" w:line="240" w:lineRule="auto"/>
              <w:jc w:val="left"/>
            </w:pPr>
            <w:r>
              <w:rPr>
                <w:sz w:val="21"/>
              </w:rPr>
              <w:t>Key Components of Fieldwork</w:t>
            </w:r>
          </w:p>
        </w:tc>
        <w:tc>
          <w:tcPr>
            <w:tcW w:type="dxa" w:w="1020"/>
            <w:shd w:val="clear" w:color="auto" w:fill="E8EEF5"/>
          </w:tcPr>
          <w:p>
            <w:pPr>
              <w:spacing w:after="20" w:before="20" w:line="240" w:lineRule="auto"/>
              <w:jc w:val="center"/>
            </w:pPr>
            <w:r>
              <w:rPr>
                <w:sz w:val="21"/>
              </w:rPr>
              <w:t>210</w:t>
            </w:r>
          </w:p>
        </w:tc>
      </w:tr>
      <w:tr>
        <w:tc>
          <w:tcPr>
            <w:tcW w:type="dxa" w:w="850"/>
          </w:tcPr>
          <w:p>
            <w:pPr>
              <w:spacing w:after="20" w:before="20" w:line="240" w:lineRule="auto"/>
              <w:jc w:val="center"/>
            </w:pPr>
            <w:r>
              <w:rPr>
                <w:sz w:val="21"/>
              </w:rPr>
              <w:t>52.4</w:t>
            </w:r>
          </w:p>
        </w:tc>
        <w:tc>
          <w:tcPr>
            <w:tcW w:type="dxa" w:w="7540"/>
          </w:tcPr>
          <w:p>
            <w:pPr>
              <w:spacing w:after="20" w:before="20" w:line="240" w:lineRule="auto"/>
              <w:jc w:val="left"/>
            </w:pPr>
            <w:r>
              <w:rPr>
                <w:sz w:val="21"/>
              </w:rPr>
              <w:t>Benefits of Fieldwork</w:t>
            </w:r>
          </w:p>
        </w:tc>
        <w:tc>
          <w:tcPr>
            <w:tcW w:type="dxa" w:w="1020"/>
          </w:tcPr>
          <w:p>
            <w:pPr>
              <w:spacing w:after="20" w:before="20" w:line="240" w:lineRule="auto"/>
              <w:jc w:val="center"/>
            </w:pPr>
            <w:r>
              <w:rPr>
                <w:sz w:val="21"/>
              </w:rPr>
              <w:t>211</w:t>
            </w:r>
          </w:p>
        </w:tc>
      </w:tr>
      <w:tr>
        <w:tc>
          <w:tcPr>
            <w:tcW w:type="dxa" w:w="850"/>
            <w:shd w:val="clear" w:color="auto" w:fill="E8EEF5"/>
          </w:tcPr>
          <w:p>
            <w:pPr>
              <w:spacing w:after="20" w:before="20" w:line="240" w:lineRule="auto"/>
              <w:jc w:val="center"/>
            </w:pPr>
            <w:r>
              <w:rPr>
                <w:sz w:val="21"/>
              </w:rPr>
              <w:t>52.5</w:t>
            </w:r>
          </w:p>
        </w:tc>
        <w:tc>
          <w:tcPr>
            <w:tcW w:type="dxa" w:w="7540"/>
            <w:shd w:val="clear" w:color="auto" w:fill="E8EEF5"/>
          </w:tcPr>
          <w:p>
            <w:pPr>
              <w:spacing w:after="20" w:before="20" w:line="240" w:lineRule="auto"/>
              <w:jc w:val="left"/>
            </w:pPr>
            <w:r>
              <w:rPr>
                <w:sz w:val="21"/>
              </w:rPr>
              <w:t>Challenges and Solutions in Fieldwork</w:t>
            </w:r>
          </w:p>
        </w:tc>
        <w:tc>
          <w:tcPr>
            <w:tcW w:type="dxa" w:w="1020"/>
            <w:shd w:val="clear" w:color="auto" w:fill="E8EEF5"/>
          </w:tcPr>
          <w:p>
            <w:pPr>
              <w:spacing w:after="20" w:before="20" w:line="240" w:lineRule="auto"/>
              <w:jc w:val="center"/>
            </w:pPr>
            <w:r>
              <w:rPr>
                <w:sz w:val="21"/>
              </w:rPr>
              <w:t>212</w:t>
            </w:r>
          </w:p>
        </w:tc>
      </w:tr>
      <w:tr>
        <w:tc>
          <w:tcPr>
            <w:tcW w:type="dxa" w:w="850"/>
          </w:tcPr>
          <w:p>
            <w:pPr>
              <w:spacing w:after="20" w:before="20" w:line="240" w:lineRule="auto"/>
              <w:jc w:val="center"/>
            </w:pPr>
            <w:r>
              <w:rPr>
                <w:sz w:val="21"/>
              </w:rPr>
              <w:t>52.6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212</w:t>
            </w:r>
          </w:p>
        </w:tc>
      </w:tr>
      <w:tr>
        <w:tc>
          <w:tcPr>
            <w:tcW w:type="dxa" w:w="850"/>
            <w:shd w:val="clear" w:color="auto" w:fill="E8EEF5"/>
          </w:tcPr>
          <w:p>
            <w:pPr>
              <w:spacing w:after="20" w:before="20" w:line="240" w:lineRule="auto"/>
              <w:jc w:val="center"/>
            </w:pPr>
            <w:r>
              <w:rPr>
                <w:b/>
                <w:sz w:val="21"/>
              </w:rPr>
              <w:t>53</w:t>
            </w:r>
          </w:p>
        </w:tc>
        <w:tc>
          <w:tcPr>
            <w:tcW w:type="dxa" w:w="7540"/>
            <w:shd w:val="clear" w:color="auto" w:fill="E8EEF5"/>
          </w:tcPr>
          <w:p>
            <w:pPr>
              <w:spacing w:after="20" w:before="20" w:line="240" w:lineRule="auto"/>
              <w:jc w:val="left"/>
            </w:pPr>
            <w:r>
              <w:rPr>
                <w:b/>
                <w:sz w:val="21"/>
              </w:rPr>
              <w:t>Widening Access to Higher Education</w:t>
            </w:r>
          </w:p>
        </w:tc>
        <w:tc>
          <w:tcPr>
            <w:tcW w:type="dxa" w:w="1020"/>
            <w:shd w:val="clear" w:color="auto" w:fill="E8EEF5"/>
          </w:tcPr>
          <w:p>
            <w:pPr>
              <w:spacing w:after="20" w:before="20" w:line="240" w:lineRule="auto"/>
              <w:jc w:val="center"/>
            </w:pPr>
            <w:r>
              <w:rPr>
                <w:b/>
                <w:sz w:val="21"/>
              </w:rPr>
              <w:t>214</w:t>
            </w:r>
          </w:p>
        </w:tc>
      </w:tr>
      <w:tr>
        <w:tc>
          <w:tcPr>
            <w:tcW w:type="dxa" w:w="850"/>
          </w:tcPr>
          <w:p>
            <w:pPr>
              <w:spacing w:after="20" w:before="20" w:line="240" w:lineRule="auto"/>
              <w:jc w:val="center"/>
            </w:pPr>
            <w:r>
              <w:rPr>
                <w:sz w:val="21"/>
              </w:rPr>
              <w:t>53.1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214</w:t>
            </w:r>
          </w:p>
        </w:tc>
      </w:tr>
      <w:tr>
        <w:tc>
          <w:tcPr>
            <w:tcW w:type="dxa" w:w="850"/>
            <w:shd w:val="clear" w:color="auto" w:fill="E8EEF5"/>
          </w:tcPr>
          <w:p>
            <w:pPr>
              <w:spacing w:after="20" w:before="20" w:line="240" w:lineRule="auto"/>
              <w:jc w:val="center"/>
            </w:pPr>
            <w:r>
              <w:rPr>
                <w:sz w:val="21"/>
              </w:rPr>
              <w:t>53.2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214</w:t>
            </w:r>
          </w:p>
        </w:tc>
      </w:tr>
      <w:tr>
        <w:tc>
          <w:tcPr>
            <w:tcW w:type="dxa" w:w="850"/>
          </w:tcPr>
          <w:p>
            <w:pPr>
              <w:spacing w:after="20" w:before="20" w:line="240" w:lineRule="auto"/>
              <w:jc w:val="center"/>
            </w:pPr>
            <w:r>
              <w:rPr>
                <w:sz w:val="21"/>
              </w:rPr>
              <w:t>53.3</w:t>
            </w:r>
          </w:p>
        </w:tc>
        <w:tc>
          <w:tcPr>
            <w:tcW w:type="dxa" w:w="7540"/>
          </w:tcPr>
          <w:p>
            <w:pPr>
              <w:spacing w:after="20" w:before="20" w:line="240" w:lineRule="auto"/>
              <w:jc w:val="left"/>
            </w:pPr>
            <w:r>
              <w:rPr>
                <w:sz w:val="21"/>
              </w:rPr>
              <w:t>Key Components of Widening Access to Higher Education</w:t>
            </w:r>
          </w:p>
        </w:tc>
        <w:tc>
          <w:tcPr>
            <w:tcW w:type="dxa" w:w="1020"/>
          </w:tcPr>
          <w:p>
            <w:pPr>
              <w:spacing w:after="20" w:before="20" w:line="240" w:lineRule="auto"/>
              <w:jc w:val="center"/>
            </w:pPr>
            <w:r>
              <w:rPr>
                <w:sz w:val="21"/>
              </w:rPr>
              <w:t>214</w:t>
            </w:r>
          </w:p>
        </w:tc>
      </w:tr>
      <w:tr>
        <w:tc>
          <w:tcPr>
            <w:tcW w:type="dxa" w:w="850"/>
            <w:shd w:val="clear" w:color="auto" w:fill="E8EEF5"/>
          </w:tcPr>
          <w:p>
            <w:pPr>
              <w:spacing w:after="20" w:before="20" w:line="240" w:lineRule="auto"/>
              <w:jc w:val="center"/>
            </w:pPr>
            <w:r>
              <w:rPr>
                <w:sz w:val="21"/>
              </w:rPr>
              <w:t>53.4</w:t>
            </w:r>
          </w:p>
        </w:tc>
        <w:tc>
          <w:tcPr>
            <w:tcW w:type="dxa" w:w="7540"/>
            <w:shd w:val="clear" w:color="auto" w:fill="E8EEF5"/>
          </w:tcPr>
          <w:p>
            <w:pPr>
              <w:spacing w:after="20" w:before="20" w:line="240" w:lineRule="auto"/>
              <w:jc w:val="left"/>
            </w:pPr>
            <w:r>
              <w:rPr>
                <w:sz w:val="21"/>
              </w:rPr>
              <w:t>Benefits of Widening Access to Higher Education</w:t>
            </w:r>
          </w:p>
        </w:tc>
        <w:tc>
          <w:tcPr>
            <w:tcW w:type="dxa" w:w="1020"/>
            <w:shd w:val="clear" w:color="auto" w:fill="E8EEF5"/>
          </w:tcPr>
          <w:p>
            <w:pPr>
              <w:spacing w:after="20" w:before="20" w:line="240" w:lineRule="auto"/>
              <w:jc w:val="center"/>
            </w:pPr>
            <w:r>
              <w:rPr>
                <w:sz w:val="21"/>
              </w:rPr>
              <w:t>216</w:t>
            </w:r>
          </w:p>
        </w:tc>
      </w:tr>
      <w:tr>
        <w:tc>
          <w:tcPr>
            <w:tcW w:type="dxa" w:w="850"/>
          </w:tcPr>
          <w:p>
            <w:pPr>
              <w:spacing w:after="20" w:before="20" w:line="240" w:lineRule="auto"/>
              <w:jc w:val="center"/>
            </w:pPr>
            <w:r>
              <w:rPr>
                <w:sz w:val="21"/>
              </w:rPr>
              <w:t>53.5</w:t>
            </w:r>
          </w:p>
        </w:tc>
        <w:tc>
          <w:tcPr>
            <w:tcW w:type="dxa" w:w="7540"/>
          </w:tcPr>
          <w:p>
            <w:pPr>
              <w:spacing w:after="20" w:before="20" w:line="240" w:lineRule="auto"/>
              <w:jc w:val="left"/>
            </w:pPr>
            <w:r>
              <w:rPr>
                <w:sz w:val="21"/>
              </w:rPr>
              <w:t>Challenges and Solutions in Widening Access to Higher Education</w:t>
            </w:r>
          </w:p>
        </w:tc>
        <w:tc>
          <w:tcPr>
            <w:tcW w:type="dxa" w:w="1020"/>
          </w:tcPr>
          <w:p>
            <w:pPr>
              <w:spacing w:after="20" w:before="20" w:line="240" w:lineRule="auto"/>
              <w:jc w:val="center"/>
            </w:pPr>
            <w:r>
              <w:rPr>
                <w:sz w:val="21"/>
              </w:rPr>
              <w:t>216</w:t>
            </w:r>
          </w:p>
        </w:tc>
      </w:tr>
      <w:tr>
        <w:tc>
          <w:tcPr>
            <w:tcW w:type="dxa" w:w="850"/>
            <w:shd w:val="clear" w:color="auto" w:fill="E8EEF5"/>
          </w:tcPr>
          <w:p>
            <w:pPr>
              <w:spacing w:after="20" w:before="20" w:line="240" w:lineRule="auto"/>
              <w:jc w:val="center"/>
            </w:pPr>
            <w:r>
              <w:rPr>
                <w:sz w:val="21"/>
              </w:rPr>
              <w:t>53.6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217</w:t>
            </w:r>
          </w:p>
        </w:tc>
      </w:tr>
      <w:tr>
        <w:tc>
          <w:tcPr>
            <w:tcW w:type="dxa" w:w="850"/>
          </w:tcPr>
          <w:p>
            <w:pPr>
              <w:spacing w:after="20" w:before="20" w:line="240" w:lineRule="auto"/>
              <w:jc w:val="center"/>
            </w:pPr>
            <w:r>
              <w:rPr>
                <w:b/>
                <w:sz w:val="21"/>
              </w:rPr>
              <w:t>54</w:t>
            </w:r>
          </w:p>
        </w:tc>
        <w:tc>
          <w:tcPr>
            <w:tcW w:type="dxa" w:w="7540"/>
          </w:tcPr>
          <w:p>
            <w:pPr>
              <w:spacing w:after="20" w:before="20" w:line="240" w:lineRule="auto"/>
              <w:jc w:val="left"/>
            </w:pPr>
            <w:r>
              <w:rPr>
                <w:b/>
                <w:sz w:val="21"/>
              </w:rPr>
              <w:t>Incentives for Holistic Quality Performance</w:t>
            </w:r>
          </w:p>
        </w:tc>
        <w:tc>
          <w:tcPr>
            <w:tcW w:type="dxa" w:w="1020"/>
          </w:tcPr>
          <w:p>
            <w:pPr>
              <w:spacing w:after="20" w:before="20" w:line="240" w:lineRule="auto"/>
              <w:jc w:val="center"/>
            </w:pPr>
            <w:r>
              <w:rPr>
                <w:b/>
                <w:sz w:val="21"/>
              </w:rPr>
              <w:t>218</w:t>
            </w:r>
          </w:p>
        </w:tc>
      </w:tr>
      <w:tr>
        <w:tc>
          <w:tcPr>
            <w:tcW w:type="dxa" w:w="850"/>
            <w:shd w:val="clear" w:color="auto" w:fill="E8EEF5"/>
          </w:tcPr>
          <w:p>
            <w:pPr>
              <w:spacing w:after="20" w:before="20" w:line="240" w:lineRule="auto"/>
              <w:jc w:val="center"/>
            </w:pPr>
            <w:r>
              <w:rPr>
                <w:sz w:val="21"/>
              </w:rPr>
              <w:t>54.1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218</w:t>
            </w:r>
          </w:p>
        </w:tc>
      </w:tr>
      <w:tr>
        <w:tc>
          <w:tcPr>
            <w:tcW w:type="dxa" w:w="850"/>
          </w:tcPr>
          <w:p>
            <w:pPr>
              <w:spacing w:after="20" w:before="20" w:line="240" w:lineRule="auto"/>
              <w:jc w:val="center"/>
            </w:pPr>
            <w:r>
              <w:rPr>
                <w:sz w:val="21"/>
              </w:rPr>
              <w:t>54.2</w:t>
            </w:r>
          </w:p>
        </w:tc>
        <w:tc>
          <w:tcPr>
            <w:tcW w:type="dxa" w:w="7540"/>
          </w:tcPr>
          <w:p>
            <w:pPr>
              <w:spacing w:after="20" w:before="20" w:line="240" w:lineRule="auto"/>
              <w:jc w:val="left"/>
            </w:pPr>
            <w:r>
              <w:rPr>
                <w:sz w:val="21"/>
              </w:rPr>
              <w:t>Key Components of Incentives for Holistic Quality Performance</w:t>
            </w:r>
          </w:p>
        </w:tc>
        <w:tc>
          <w:tcPr>
            <w:tcW w:type="dxa" w:w="1020"/>
          </w:tcPr>
          <w:p>
            <w:pPr>
              <w:spacing w:after="20" w:before="20" w:line="240" w:lineRule="auto"/>
              <w:jc w:val="center"/>
            </w:pPr>
            <w:r>
              <w:rPr>
                <w:sz w:val="21"/>
              </w:rPr>
              <w:t>218</w:t>
            </w:r>
          </w:p>
        </w:tc>
      </w:tr>
      <w:tr>
        <w:tc>
          <w:tcPr>
            <w:tcW w:type="dxa" w:w="850"/>
            <w:shd w:val="clear" w:color="auto" w:fill="E8EEF5"/>
          </w:tcPr>
          <w:p>
            <w:pPr>
              <w:spacing w:after="20" w:before="20" w:line="240" w:lineRule="auto"/>
              <w:jc w:val="center"/>
            </w:pPr>
            <w:r>
              <w:rPr>
                <w:sz w:val="21"/>
              </w:rPr>
              <w:t>54.3</w:t>
            </w:r>
          </w:p>
        </w:tc>
        <w:tc>
          <w:tcPr>
            <w:tcW w:type="dxa" w:w="7540"/>
            <w:shd w:val="clear" w:color="auto" w:fill="E8EEF5"/>
          </w:tcPr>
          <w:p>
            <w:pPr>
              <w:spacing w:after="20" w:before="20" w:line="240" w:lineRule="auto"/>
              <w:jc w:val="left"/>
            </w:pPr>
            <w:r>
              <w:rPr>
                <w:sz w:val="21"/>
              </w:rPr>
              <w:t>Benefits of Incentives for Holistic Quality Performance</w:t>
            </w:r>
          </w:p>
        </w:tc>
        <w:tc>
          <w:tcPr>
            <w:tcW w:type="dxa" w:w="1020"/>
            <w:shd w:val="clear" w:color="auto" w:fill="E8EEF5"/>
          </w:tcPr>
          <w:p>
            <w:pPr>
              <w:spacing w:after="20" w:before="20" w:line="240" w:lineRule="auto"/>
              <w:jc w:val="center"/>
            </w:pPr>
            <w:r>
              <w:rPr>
                <w:sz w:val="21"/>
              </w:rPr>
              <w:t>220</w:t>
            </w:r>
          </w:p>
        </w:tc>
      </w:tr>
      <w:tr>
        <w:tc>
          <w:tcPr>
            <w:tcW w:type="dxa" w:w="850"/>
          </w:tcPr>
          <w:p>
            <w:pPr>
              <w:spacing w:after="20" w:before="20" w:line="240" w:lineRule="auto"/>
              <w:jc w:val="center"/>
            </w:pPr>
            <w:r>
              <w:rPr>
                <w:sz w:val="21"/>
              </w:rPr>
              <w:t>54.4</w:t>
            </w:r>
          </w:p>
        </w:tc>
        <w:tc>
          <w:tcPr>
            <w:tcW w:type="dxa" w:w="7540"/>
          </w:tcPr>
          <w:p>
            <w:pPr>
              <w:spacing w:after="20" w:before="20" w:line="240" w:lineRule="auto"/>
              <w:jc w:val="left"/>
            </w:pPr>
            <w:r>
              <w:rPr>
                <w:sz w:val="21"/>
              </w:rPr>
              <w:t>Challenges and Solutions in Implementing Incentives for Holistic Quality Performance</w:t>
            </w:r>
          </w:p>
        </w:tc>
        <w:tc>
          <w:tcPr>
            <w:tcW w:type="dxa" w:w="1020"/>
          </w:tcPr>
          <w:p>
            <w:pPr>
              <w:spacing w:after="20" w:before="20" w:line="240" w:lineRule="auto"/>
              <w:jc w:val="center"/>
            </w:pPr>
            <w:r>
              <w:rPr>
                <w:sz w:val="21"/>
              </w:rPr>
              <w:t>221</w:t>
            </w:r>
          </w:p>
        </w:tc>
      </w:tr>
      <w:tr>
        <w:tc>
          <w:tcPr>
            <w:tcW w:type="dxa" w:w="850"/>
            <w:shd w:val="clear" w:color="auto" w:fill="E8EEF5"/>
          </w:tcPr>
          <w:p>
            <w:pPr>
              <w:spacing w:after="20" w:before="20" w:line="240" w:lineRule="auto"/>
              <w:jc w:val="center"/>
            </w:pPr>
            <w:r>
              <w:rPr>
                <w:sz w:val="21"/>
              </w:rPr>
              <w:t>54.5</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221</w:t>
            </w:r>
          </w:p>
        </w:tc>
      </w:tr>
      <w:tr>
        <w:tc>
          <w:tcPr>
            <w:tcW w:type="dxa" w:w="850"/>
          </w:tcPr>
          <w:p>
            <w:pPr>
              <w:spacing w:after="20" w:before="20" w:line="240" w:lineRule="auto"/>
              <w:jc w:val="center"/>
            </w:pPr>
            <w:r>
              <w:rPr>
                <w:b/>
                <w:sz w:val="21"/>
              </w:rPr>
              <w:t>55</w:t>
            </w:r>
          </w:p>
        </w:tc>
        <w:tc>
          <w:tcPr>
            <w:tcW w:type="dxa" w:w="7540"/>
          </w:tcPr>
          <w:p>
            <w:pPr>
              <w:spacing w:after="20" w:before="20" w:line="240" w:lineRule="auto"/>
              <w:jc w:val="left"/>
            </w:pPr>
            <w:r>
              <w:rPr>
                <w:b/>
                <w:sz w:val="21"/>
              </w:rPr>
              <w:t>Value Education</w:t>
            </w:r>
          </w:p>
        </w:tc>
        <w:tc>
          <w:tcPr>
            <w:tcW w:type="dxa" w:w="1020"/>
          </w:tcPr>
          <w:p>
            <w:pPr>
              <w:spacing w:after="20" w:before="20" w:line="240" w:lineRule="auto"/>
              <w:jc w:val="center"/>
            </w:pPr>
            <w:r>
              <w:rPr>
                <w:b/>
                <w:sz w:val="21"/>
              </w:rPr>
              <w:t>222</w:t>
            </w:r>
          </w:p>
        </w:tc>
      </w:tr>
      <w:tr>
        <w:tc>
          <w:tcPr>
            <w:tcW w:type="dxa" w:w="850"/>
            <w:shd w:val="clear" w:color="auto" w:fill="E8EEF5"/>
          </w:tcPr>
          <w:p>
            <w:pPr>
              <w:spacing w:after="20" w:before="20" w:line="240" w:lineRule="auto"/>
              <w:jc w:val="center"/>
            </w:pPr>
            <w:r>
              <w:rPr>
                <w:sz w:val="21"/>
              </w:rPr>
              <w:t>55.1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222</w:t>
            </w:r>
          </w:p>
        </w:tc>
      </w:tr>
      <w:tr>
        <w:tc>
          <w:tcPr>
            <w:tcW w:type="dxa" w:w="850"/>
          </w:tcPr>
          <w:p>
            <w:pPr>
              <w:spacing w:after="20" w:before="20" w:line="240" w:lineRule="auto"/>
              <w:jc w:val="center"/>
            </w:pPr>
            <w:r>
              <w:rPr>
                <w:sz w:val="21"/>
              </w:rPr>
              <w:t>55.2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222</w:t>
            </w:r>
          </w:p>
        </w:tc>
      </w:tr>
      <w:tr>
        <w:tc>
          <w:tcPr>
            <w:tcW w:type="dxa" w:w="850"/>
            <w:shd w:val="clear" w:color="auto" w:fill="E8EEF5"/>
          </w:tcPr>
          <w:p>
            <w:pPr>
              <w:spacing w:after="20" w:before="20" w:line="240" w:lineRule="auto"/>
              <w:jc w:val="center"/>
            </w:pPr>
            <w:r>
              <w:rPr>
                <w:sz w:val="21"/>
              </w:rPr>
              <w:t>55.3</w:t>
            </w:r>
          </w:p>
        </w:tc>
        <w:tc>
          <w:tcPr>
            <w:tcW w:type="dxa" w:w="7540"/>
            <w:shd w:val="clear" w:color="auto" w:fill="E8EEF5"/>
          </w:tcPr>
          <w:p>
            <w:pPr>
              <w:spacing w:after="20" w:before="20" w:line="240" w:lineRule="auto"/>
              <w:jc w:val="left"/>
            </w:pPr>
            <w:r>
              <w:rPr>
                <w:sz w:val="21"/>
              </w:rPr>
              <w:t>Key Components of Value Education</w:t>
            </w:r>
          </w:p>
        </w:tc>
        <w:tc>
          <w:tcPr>
            <w:tcW w:type="dxa" w:w="1020"/>
            <w:shd w:val="clear" w:color="auto" w:fill="E8EEF5"/>
          </w:tcPr>
          <w:p>
            <w:pPr>
              <w:spacing w:after="20" w:before="20" w:line="240" w:lineRule="auto"/>
              <w:jc w:val="center"/>
            </w:pPr>
            <w:r>
              <w:rPr>
                <w:sz w:val="21"/>
              </w:rPr>
              <w:t>222</w:t>
            </w:r>
          </w:p>
        </w:tc>
      </w:tr>
      <w:tr>
        <w:tc>
          <w:tcPr>
            <w:tcW w:type="dxa" w:w="850"/>
          </w:tcPr>
          <w:p>
            <w:pPr>
              <w:spacing w:after="20" w:before="20" w:line="240" w:lineRule="auto"/>
              <w:jc w:val="center"/>
            </w:pPr>
            <w:r>
              <w:rPr>
                <w:sz w:val="21"/>
              </w:rPr>
              <w:t>55.4</w:t>
            </w:r>
          </w:p>
        </w:tc>
        <w:tc>
          <w:tcPr>
            <w:tcW w:type="dxa" w:w="7540"/>
          </w:tcPr>
          <w:p>
            <w:pPr>
              <w:spacing w:after="20" w:before="20" w:line="240" w:lineRule="auto"/>
              <w:jc w:val="left"/>
            </w:pPr>
            <w:r>
              <w:rPr>
                <w:sz w:val="21"/>
              </w:rPr>
              <w:t>Benefits of Value Education</w:t>
            </w:r>
          </w:p>
        </w:tc>
        <w:tc>
          <w:tcPr>
            <w:tcW w:type="dxa" w:w="1020"/>
          </w:tcPr>
          <w:p>
            <w:pPr>
              <w:spacing w:after="20" w:before="20" w:line="240" w:lineRule="auto"/>
              <w:jc w:val="center"/>
            </w:pPr>
            <w:r>
              <w:rPr>
                <w:sz w:val="21"/>
              </w:rPr>
              <w:t>223</w:t>
            </w:r>
          </w:p>
        </w:tc>
      </w:tr>
      <w:tr>
        <w:tc>
          <w:tcPr>
            <w:tcW w:type="dxa" w:w="850"/>
            <w:shd w:val="clear" w:color="auto" w:fill="E8EEF5"/>
          </w:tcPr>
          <w:p>
            <w:pPr>
              <w:spacing w:after="20" w:before="20" w:line="240" w:lineRule="auto"/>
              <w:jc w:val="center"/>
            </w:pPr>
            <w:r>
              <w:rPr>
                <w:sz w:val="21"/>
              </w:rPr>
              <w:t>55.5</w:t>
            </w:r>
          </w:p>
        </w:tc>
        <w:tc>
          <w:tcPr>
            <w:tcW w:type="dxa" w:w="7540"/>
            <w:shd w:val="clear" w:color="auto" w:fill="E8EEF5"/>
          </w:tcPr>
          <w:p>
            <w:pPr>
              <w:spacing w:after="20" w:before="20" w:line="240" w:lineRule="auto"/>
              <w:jc w:val="left"/>
            </w:pPr>
            <w:r>
              <w:rPr>
                <w:sz w:val="21"/>
              </w:rPr>
              <w:t>Challenges and Solutions in Value Education</w:t>
            </w:r>
          </w:p>
        </w:tc>
        <w:tc>
          <w:tcPr>
            <w:tcW w:type="dxa" w:w="1020"/>
            <w:shd w:val="clear" w:color="auto" w:fill="E8EEF5"/>
          </w:tcPr>
          <w:p>
            <w:pPr>
              <w:spacing w:after="20" w:before="20" w:line="240" w:lineRule="auto"/>
              <w:jc w:val="center"/>
            </w:pPr>
            <w:r>
              <w:rPr>
                <w:sz w:val="21"/>
              </w:rPr>
              <w:t>224</w:t>
            </w:r>
          </w:p>
        </w:tc>
      </w:tr>
      <w:tr>
        <w:tc>
          <w:tcPr>
            <w:tcW w:type="dxa" w:w="850"/>
          </w:tcPr>
          <w:p>
            <w:pPr>
              <w:spacing w:after="20" w:before="20" w:line="240" w:lineRule="auto"/>
              <w:jc w:val="center"/>
            </w:pPr>
            <w:r>
              <w:rPr>
                <w:sz w:val="21"/>
              </w:rPr>
              <w:t>55.6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224</w:t>
            </w:r>
          </w:p>
        </w:tc>
      </w:tr>
      <w:tr>
        <w:tc>
          <w:tcPr>
            <w:tcW w:type="dxa" w:w="850"/>
            <w:shd w:val="clear" w:color="auto" w:fill="E8EEF5"/>
          </w:tcPr>
          <w:p>
            <w:pPr>
              <w:spacing w:after="20" w:before="20" w:line="240" w:lineRule="auto"/>
              <w:jc w:val="center"/>
            </w:pPr>
            <w:r>
              <w:rPr>
                <w:b/>
                <w:sz w:val="21"/>
              </w:rPr>
              <w:t>56</w:t>
            </w:r>
          </w:p>
        </w:tc>
        <w:tc>
          <w:tcPr>
            <w:tcW w:type="dxa" w:w="7540"/>
            <w:shd w:val="clear" w:color="auto" w:fill="E8EEF5"/>
          </w:tcPr>
          <w:p>
            <w:pPr>
              <w:spacing w:after="20" w:before="20" w:line="240" w:lineRule="auto"/>
              <w:jc w:val="left"/>
            </w:pPr>
            <w:r>
              <w:rPr>
                <w:b/>
                <w:sz w:val="21"/>
              </w:rPr>
              <w:t>Teacher-Ward Tutorial System</w:t>
            </w:r>
          </w:p>
        </w:tc>
        <w:tc>
          <w:tcPr>
            <w:tcW w:type="dxa" w:w="1020"/>
            <w:shd w:val="clear" w:color="auto" w:fill="E8EEF5"/>
          </w:tcPr>
          <w:p>
            <w:pPr>
              <w:spacing w:after="20" w:before="20" w:line="240" w:lineRule="auto"/>
              <w:jc w:val="center"/>
            </w:pPr>
            <w:r>
              <w:rPr>
                <w:b/>
                <w:sz w:val="21"/>
              </w:rPr>
              <w:t>225</w:t>
            </w:r>
          </w:p>
        </w:tc>
      </w:tr>
      <w:tr>
        <w:tc>
          <w:tcPr>
            <w:tcW w:type="dxa" w:w="850"/>
          </w:tcPr>
          <w:p>
            <w:pPr>
              <w:spacing w:after="20" w:before="20" w:line="240" w:lineRule="auto"/>
              <w:jc w:val="center"/>
            </w:pPr>
            <w:r>
              <w:rPr>
                <w:sz w:val="21"/>
              </w:rPr>
              <w:t>56.1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225</w:t>
            </w:r>
          </w:p>
        </w:tc>
      </w:tr>
      <w:tr>
        <w:tc>
          <w:tcPr>
            <w:tcW w:type="dxa" w:w="850"/>
            <w:shd w:val="clear" w:color="auto" w:fill="E8EEF5"/>
          </w:tcPr>
          <w:p>
            <w:pPr>
              <w:spacing w:after="20" w:before="20" w:line="240" w:lineRule="auto"/>
              <w:jc w:val="center"/>
            </w:pPr>
            <w:r>
              <w:rPr>
                <w:sz w:val="21"/>
              </w:rPr>
              <w:t>56.2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225</w:t>
            </w:r>
          </w:p>
        </w:tc>
      </w:tr>
      <w:tr>
        <w:tc>
          <w:tcPr>
            <w:tcW w:type="dxa" w:w="850"/>
          </w:tcPr>
          <w:p>
            <w:pPr>
              <w:spacing w:after="20" w:before="20" w:line="240" w:lineRule="auto"/>
              <w:jc w:val="center"/>
            </w:pPr>
            <w:r>
              <w:rPr>
                <w:sz w:val="21"/>
              </w:rPr>
              <w:t>56.3</w:t>
            </w:r>
          </w:p>
        </w:tc>
        <w:tc>
          <w:tcPr>
            <w:tcW w:type="dxa" w:w="7540"/>
          </w:tcPr>
          <w:p>
            <w:pPr>
              <w:spacing w:after="20" w:before="20" w:line="240" w:lineRule="auto"/>
              <w:jc w:val="left"/>
            </w:pPr>
            <w:r>
              <w:rPr>
                <w:sz w:val="21"/>
              </w:rPr>
              <w:t>Key Components of the Teacher-Ward Tutorial System</w:t>
            </w:r>
          </w:p>
        </w:tc>
        <w:tc>
          <w:tcPr>
            <w:tcW w:type="dxa" w:w="1020"/>
          </w:tcPr>
          <w:p>
            <w:pPr>
              <w:spacing w:after="20" w:before="20" w:line="240" w:lineRule="auto"/>
              <w:jc w:val="center"/>
            </w:pPr>
            <w:r>
              <w:rPr>
                <w:sz w:val="21"/>
              </w:rPr>
              <w:t>225</w:t>
            </w:r>
          </w:p>
        </w:tc>
      </w:tr>
      <w:tr>
        <w:tc>
          <w:tcPr>
            <w:tcW w:type="dxa" w:w="850"/>
            <w:shd w:val="clear" w:color="auto" w:fill="E8EEF5"/>
          </w:tcPr>
          <w:p>
            <w:pPr>
              <w:spacing w:after="20" w:before="20" w:line="240" w:lineRule="auto"/>
              <w:jc w:val="center"/>
            </w:pPr>
            <w:r>
              <w:rPr>
                <w:sz w:val="21"/>
              </w:rPr>
              <w:t>56.4</w:t>
            </w:r>
          </w:p>
        </w:tc>
        <w:tc>
          <w:tcPr>
            <w:tcW w:type="dxa" w:w="7540"/>
            <w:shd w:val="clear" w:color="auto" w:fill="E8EEF5"/>
          </w:tcPr>
          <w:p>
            <w:pPr>
              <w:spacing w:after="20" w:before="20" w:line="240" w:lineRule="auto"/>
              <w:jc w:val="left"/>
            </w:pPr>
            <w:r>
              <w:rPr>
                <w:sz w:val="21"/>
              </w:rPr>
              <w:t>Benefits of the Teacher-Ward Tutorial System</w:t>
            </w:r>
          </w:p>
        </w:tc>
        <w:tc>
          <w:tcPr>
            <w:tcW w:type="dxa" w:w="1020"/>
            <w:shd w:val="clear" w:color="auto" w:fill="E8EEF5"/>
          </w:tcPr>
          <w:p>
            <w:pPr>
              <w:spacing w:after="20" w:before="20" w:line="240" w:lineRule="auto"/>
              <w:jc w:val="center"/>
            </w:pPr>
            <w:r>
              <w:rPr>
                <w:sz w:val="21"/>
              </w:rPr>
              <w:t>227</w:t>
            </w:r>
          </w:p>
        </w:tc>
      </w:tr>
      <w:tr>
        <w:tc>
          <w:tcPr>
            <w:tcW w:type="dxa" w:w="850"/>
          </w:tcPr>
          <w:p>
            <w:pPr>
              <w:spacing w:after="20" w:before="20" w:line="240" w:lineRule="auto"/>
              <w:jc w:val="center"/>
            </w:pPr>
            <w:r>
              <w:rPr>
                <w:sz w:val="21"/>
              </w:rPr>
              <w:t>56.5</w:t>
            </w:r>
          </w:p>
        </w:tc>
        <w:tc>
          <w:tcPr>
            <w:tcW w:type="dxa" w:w="7540"/>
          </w:tcPr>
          <w:p>
            <w:pPr>
              <w:spacing w:after="20" w:before="20" w:line="240" w:lineRule="auto"/>
              <w:jc w:val="left"/>
            </w:pPr>
            <w:r>
              <w:rPr>
                <w:sz w:val="21"/>
              </w:rPr>
              <w:t>Challenges and Solutions in Implementing the Teacher-Ward Tutorial System</w:t>
            </w:r>
          </w:p>
        </w:tc>
        <w:tc>
          <w:tcPr>
            <w:tcW w:type="dxa" w:w="1020"/>
          </w:tcPr>
          <w:p>
            <w:pPr>
              <w:spacing w:after="20" w:before="20" w:line="240" w:lineRule="auto"/>
              <w:jc w:val="center"/>
            </w:pPr>
            <w:r>
              <w:rPr>
                <w:sz w:val="21"/>
              </w:rPr>
              <w:t>227</w:t>
            </w:r>
          </w:p>
        </w:tc>
      </w:tr>
      <w:tr>
        <w:tc>
          <w:tcPr>
            <w:tcW w:type="dxa" w:w="850"/>
            <w:shd w:val="clear" w:color="auto" w:fill="E8EEF5"/>
          </w:tcPr>
          <w:p>
            <w:pPr>
              <w:spacing w:after="20" w:before="20" w:line="240" w:lineRule="auto"/>
              <w:jc w:val="center"/>
            </w:pPr>
            <w:r>
              <w:rPr>
                <w:sz w:val="21"/>
              </w:rPr>
              <w:t>56.6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228</w:t>
            </w:r>
          </w:p>
        </w:tc>
      </w:tr>
      <w:tr>
        <w:tc>
          <w:tcPr>
            <w:tcW w:type="dxa" w:w="850"/>
          </w:tcPr>
          <w:p>
            <w:pPr>
              <w:spacing w:after="20" w:before="20" w:line="240" w:lineRule="auto"/>
              <w:jc w:val="center"/>
            </w:pPr>
            <w:r>
              <w:rPr>
                <w:b/>
                <w:sz w:val="21"/>
              </w:rPr>
              <w:t>57</w:t>
            </w:r>
          </w:p>
        </w:tc>
        <w:tc>
          <w:tcPr>
            <w:tcW w:type="dxa" w:w="7540"/>
          </w:tcPr>
          <w:p>
            <w:pPr>
              <w:spacing w:after="20" w:before="20" w:line="240" w:lineRule="auto"/>
              <w:jc w:val="left"/>
            </w:pPr>
            <w:r>
              <w:rPr>
                <w:b/>
                <w:sz w:val="21"/>
              </w:rPr>
              <w:t>Evaluation of Teachers by Students</w:t>
            </w:r>
          </w:p>
        </w:tc>
        <w:tc>
          <w:tcPr>
            <w:tcW w:type="dxa" w:w="1020"/>
          </w:tcPr>
          <w:p>
            <w:pPr>
              <w:spacing w:after="20" w:before="20" w:line="240" w:lineRule="auto"/>
              <w:jc w:val="center"/>
            </w:pPr>
            <w:r>
              <w:rPr>
                <w:b/>
                <w:sz w:val="21"/>
              </w:rPr>
              <w:t>229</w:t>
            </w:r>
          </w:p>
        </w:tc>
      </w:tr>
      <w:tr>
        <w:tc>
          <w:tcPr>
            <w:tcW w:type="dxa" w:w="850"/>
            <w:shd w:val="clear" w:color="auto" w:fill="E8EEF5"/>
          </w:tcPr>
          <w:p>
            <w:pPr>
              <w:spacing w:after="20" w:before="20" w:line="240" w:lineRule="auto"/>
              <w:jc w:val="center"/>
            </w:pPr>
            <w:r>
              <w:rPr>
                <w:sz w:val="21"/>
              </w:rPr>
              <w:t>57.1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229</w:t>
            </w:r>
          </w:p>
        </w:tc>
      </w:tr>
      <w:tr>
        <w:tc>
          <w:tcPr>
            <w:tcW w:type="dxa" w:w="850"/>
          </w:tcPr>
          <w:p>
            <w:pPr>
              <w:spacing w:after="20" w:before="20" w:line="240" w:lineRule="auto"/>
              <w:jc w:val="center"/>
            </w:pPr>
            <w:r>
              <w:rPr>
                <w:sz w:val="21"/>
              </w:rPr>
              <w:t>57.2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229</w:t>
            </w:r>
          </w:p>
        </w:tc>
      </w:tr>
      <w:tr>
        <w:tc>
          <w:tcPr>
            <w:tcW w:type="dxa" w:w="850"/>
            <w:shd w:val="clear" w:color="auto" w:fill="E8EEF5"/>
          </w:tcPr>
          <w:p>
            <w:pPr>
              <w:spacing w:after="20" w:before="20" w:line="240" w:lineRule="auto"/>
              <w:jc w:val="center"/>
            </w:pPr>
            <w:r>
              <w:rPr>
                <w:sz w:val="21"/>
              </w:rPr>
              <w:t>57.3</w:t>
            </w:r>
          </w:p>
        </w:tc>
        <w:tc>
          <w:tcPr>
            <w:tcW w:type="dxa" w:w="7540"/>
            <w:shd w:val="clear" w:color="auto" w:fill="E8EEF5"/>
          </w:tcPr>
          <w:p>
            <w:pPr>
              <w:spacing w:after="20" w:before="20" w:line="240" w:lineRule="auto"/>
              <w:jc w:val="left"/>
            </w:pPr>
            <w:r>
              <w:rPr>
                <w:sz w:val="21"/>
              </w:rPr>
              <w:t>Key Components of Teacher Evaluation by Students</w:t>
            </w:r>
          </w:p>
        </w:tc>
        <w:tc>
          <w:tcPr>
            <w:tcW w:type="dxa" w:w="1020"/>
            <w:shd w:val="clear" w:color="auto" w:fill="E8EEF5"/>
          </w:tcPr>
          <w:p>
            <w:pPr>
              <w:spacing w:after="20" w:before="20" w:line="240" w:lineRule="auto"/>
              <w:jc w:val="center"/>
            </w:pPr>
            <w:r>
              <w:rPr>
                <w:sz w:val="21"/>
              </w:rPr>
              <w:t>229</w:t>
            </w:r>
          </w:p>
        </w:tc>
      </w:tr>
      <w:tr>
        <w:tc>
          <w:tcPr>
            <w:tcW w:type="dxa" w:w="850"/>
          </w:tcPr>
          <w:p>
            <w:pPr>
              <w:spacing w:after="20" w:before="20" w:line="240" w:lineRule="auto"/>
              <w:jc w:val="center"/>
            </w:pPr>
            <w:r>
              <w:rPr>
                <w:sz w:val="21"/>
              </w:rPr>
              <w:t>57.4</w:t>
            </w:r>
          </w:p>
        </w:tc>
        <w:tc>
          <w:tcPr>
            <w:tcW w:type="dxa" w:w="7540"/>
          </w:tcPr>
          <w:p>
            <w:pPr>
              <w:spacing w:after="20" w:before="20" w:line="240" w:lineRule="auto"/>
              <w:jc w:val="left"/>
            </w:pPr>
            <w:r>
              <w:rPr>
                <w:sz w:val="21"/>
              </w:rPr>
              <w:t>Benefits of Teacher Evaluation by Students</w:t>
            </w:r>
          </w:p>
        </w:tc>
        <w:tc>
          <w:tcPr>
            <w:tcW w:type="dxa" w:w="1020"/>
          </w:tcPr>
          <w:p>
            <w:pPr>
              <w:spacing w:after="20" w:before="20" w:line="240" w:lineRule="auto"/>
              <w:jc w:val="center"/>
            </w:pPr>
            <w:r>
              <w:rPr>
                <w:sz w:val="21"/>
              </w:rPr>
              <w:t>231</w:t>
            </w:r>
          </w:p>
        </w:tc>
      </w:tr>
      <w:tr>
        <w:tc>
          <w:tcPr>
            <w:tcW w:type="dxa" w:w="850"/>
            <w:shd w:val="clear" w:color="auto" w:fill="E8EEF5"/>
          </w:tcPr>
          <w:p>
            <w:pPr>
              <w:spacing w:after="20" w:before="20" w:line="240" w:lineRule="auto"/>
              <w:jc w:val="center"/>
            </w:pPr>
            <w:r>
              <w:rPr>
                <w:sz w:val="21"/>
              </w:rPr>
              <w:t>57.5</w:t>
            </w:r>
          </w:p>
        </w:tc>
        <w:tc>
          <w:tcPr>
            <w:tcW w:type="dxa" w:w="7540"/>
            <w:shd w:val="clear" w:color="auto" w:fill="E8EEF5"/>
          </w:tcPr>
          <w:p>
            <w:pPr>
              <w:spacing w:after="20" w:before="20" w:line="240" w:lineRule="auto"/>
              <w:jc w:val="left"/>
            </w:pPr>
            <w:r>
              <w:rPr>
                <w:sz w:val="21"/>
              </w:rPr>
              <w:t>Challenges and Solutions in Teacher Evaluation by Students</w:t>
            </w:r>
          </w:p>
        </w:tc>
        <w:tc>
          <w:tcPr>
            <w:tcW w:type="dxa" w:w="1020"/>
            <w:shd w:val="clear" w:color="auto" w:fill="E8EEF5"/>
          </w:tcPr>
          <w:p>
            <w:pPr>
              <w:spacing w:after="20" w:before="20" w:line="240" w:lineRule="auto"/>
              <w:jc w:val="center"/>
            </w:pPr>
            <w:r>
              <w:rPr>
                <w:sz w:val="21"/>
              </w:rPr>
              <w:t>231</w:t>
            </w:r>
          </w:p>
        </w:tc>
      </w:tr>
      <w:tr>
        <w:tc>
          <w:tcPr>
            <w:tcW w:type="dxa" w:w="850"/>
          </w:tcPr>
          <w:p>
            <w:pPr>
              <w:spacing w:after="20" w:before="20" w:line="240" w:lineRule="auto"/>
              <w:jc w:val="center"/>
            </w:pPr>
            <w:r>
              <w:rPr>
                <w:sz w:val="21"/>
              </w:rPr>
              <w:t>57.6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232</w:t>
            </w:r>
          </w:p>
        </w:tc>
      </w:tr>
      <w:tr>
        <w:tc>
          <w:tcPr>
            <w:tcW w:type="dxa" w:w="850"/>
            <w:shd w:val="clear" w:color="auto" w:fill="E8EEF5"/>
          </w:tcPr>
          <w:p>
            <w:pPr>
              <w:spacing w:after="20" w:before="20" w:line="240" w:lineRule="auto"/>
              <w:jc w:val="center"/>
            </w:pPr>
            <w:r>
              <w:rPr>
                <w:b/>
                <w:sz w:val="21"/>
              </w:rPr>
              <w:t>58</w:t>
            </w:r>
          </w:p>
        </w:tc>
        <w:tc>
          <w:tcPr>
            <w:tcW w:type="dxa" w:w="7540"/>
            <w:shd w:val="clear" w:color="auto" w:fill="E8EEF5"/>
          </w:tcPr>
          <w:p>
            <w:pPr>
              <w:spacing w:after="20" w:before="20" w:line="240" w:lineRule="auto"/>
              <w:jc w:val="left"/>
            </w:pPr>
            <w:r>
              <w:rPr>
                <w:b/>
                <w:sz w:val="21"/>
              </w:rPr>
              <w:t>Skill Development in Physical Education with Electronic Media Assistance</w:t>
            </w:r>
          </w:p>
        </w:tc>
        <w:tc>
          <w:tcPr>
            <w:tcW w:type="dxa" w:w="1020"/>
            <w:shd w:val="clear" w:color="auto" w:fill="E8EEF5"/>
          </w:tcPr>
          <w:p>
            <w:pPr>
              <w:spacing w:after="20" w:before="20" w:line="240" w:lineRule="auto"/>
              <w:jc w:val="center"/>
            </w:pPr>
            <w:r>
              <w:rPr>
                <w:b/>
                <w:sz w:val="21"/>
              </w:rPr>
              <w:t>233</w:t>
            </w:r>
          </w:p>
        </w:tc>
      </w:tr>
      <w:tr>
        <w:tc>
          <w:tcPr>
            <w:tcW w:type="dxa" w:w="850"/>
          </w:tcPr>
          <w:p>
            <w:pPr>
              <w:spacing w:after="20" w:before="20" w:line="240" w:lineRule="auto"/>
              <w:jc w:val="center"/>
            </w:pPr>
            <w:r>
              <w:rPr>
                <w:sz w:val="21"/>
              </w:rPr>
              <w:t>58.1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233</w:t>
            </w:r>
          </w:p>
        </w:tc>
      </w:tr>
      <w:tr>
        <w:tc>
          <w:tcPr>
            <w:tcW w:type="dxa" w:w="850"/>
            <w:shd w:val="clear" w:color="auto" w:fill="E8EEF5"/>
          </w:tcPr>
          <w:p>
            <w:pPr>
              <w:spacing w:after="20" w:before="20" w:line="240" w:lineRule="auto"/>
              <w:jc w:val="center"/>
            </w:pPr>
            <w:r>
              <w:rPr>
                <w:sz w:val="21"/>
              </w:rPr>
              <w:t>58.2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233</w:t>
            </w:r>
          </w:p>
        </w:tc>
      </w:tr>
      <w:tr>
        <w:tc>
          <w:tcPr>
            <w:tcW w:type="dxa" w:w="850"/>
          </w:tcPr>
          <w:p>
            <w:pPr>
              <w:spacing w:after="20" w:before="20" w:line="240" w:lineRule="auto"/>
              <w:jc w:val="center"/>
            </w:pPr>
            <w:r>
              <w:rPr>
                <w:sz w:val="21"/>
              </w:rPr>
              <w:t>58.3</w:t>
            </w:r>
          </w:p>
        </w:tc>
        <w:tc>
          <w:tcPr>
            <w:tcW w:type="dxa" w:w="7540"/>
          </w:tcPr>
          <w:p>
            <w:pPr>
              <w:spacing w:after="20" w:before="20" w:line="240" w:lineRule="auto"/>
              <w:jc w:val="left"/>
            </w:pPr>
            <w:r>
              <w:rPr>
                <w:sz w:val="21"/>
              </w:rPr>
              <w:t>Key Components of Skill Development in Physical Education with Electronic Media Assistance</w:t>
            </w:r>
          </w:p>
        </w:tc>
        <w:tc>
          <w:tcPr>
            <w:tcW w:type="dxa" w:w="1020"/>
          </w:tcPr>
          <w:p>
            <w:pPr>
              <w:spacing w:after="20" w:before="20" w:line="240" w:lineRule="auto"/>
              <w:jc w:val="center"/>
            </w:pPr>
            <w:r>
              <w:rPr>
                <w:sz w:val="21"/>
              </w:rPr>
              <w:t>233</w:t>
            </w:r>
          </w:p>
        </w:tc>
      </w:tr>
      <w:tr>
        <w:tc>
          <w:tcPr>
            <w:tcW w:type="dxa" w:w="850"/>
            <w:shd w:val="clear" w:color="auto" w:fill="E8EEF5"/>
          </w:tcPr>
          <w:p>
            <w:pPr>
              <w:spacing w:after="20" w:before="20" w:line="240" w:lineRule="auto"/>
              <w:jc w:val="center"/>
            </w:pPr>
            <w:r>
              <w:rPr>
                <w:sz w:val="21"/>
              </w:rPr>
              <w:t>58.4</w:t>
            </w:r>
          </w:p>
        </w:tc>
        <w:tc>
          <w:tcPr>
            <w:tcW w:type="dxa" w:w="7540"/>
            <w:shd w:val="clear" w:color="auto" w:fill="E8EEF5"/>
          </w:tcPr>
          <w:p>
            <w:pPr>
              <w:spacing w:after="20" w:before="20" w:line="240" w:lineRule="auto"/>
              <w:jc w:val="left"/>
            </w:pPr>
            <w:r>
              <w:rPr>
                <w:sz w:val="21"/>
              </w:rPr>
              <w:t>Strategies for Disseminating Information on Effective Methods of Imparting Physical Education</w:t>
            </w:r>
          </w:p>
        </w:tc>
        <w:tc>
          <w:tcPr>
            <w:tcW w:type="dxa" w:w="1020"/>
            <w:shd w:val="clear" w:color="auto" w:fill="E8EEF5"/>
          </w:tcPr>
          <w:p>
            <w:pPr>
              <w:spacing w:after="20" w:before="20" w:line="240" w:lineRule="auto"/>
              <w:jc w:val="center"/>
            </w:pPr>
            <w:r>
              <w:rPr>
                <w:sz w:val="21"/>
              </w:rPr>
              <w:t>235</w:t>
            </w:r>
          </w:p>
        </w:tc>
      </w:tr>
      <w:tr>
        <w:tc>
          <w:tcPr>
            <w:tcW w:type="dxa" w:w="850"/>
          </w:tcPr>
          <w:p>
            <w:pPr>
              <w:spacing w:after="20" w:before="20" w:line="240" w:lineRule="auto"/>
              <w:jc w:val="center"/>
            </w:pPr>
            <w:r>
              <w:rPr>
                <w:sz w:val="21"/>
              </w:rPr>
              <w:t>58.5</w:t>
            </w:r>
          </w:p>
        </w:tc>
        <w:tc>
          <w:tcPr>
            <w:tcW w:type="dxa" w:w="7540"/>
          </w:tcPr>
          <w:p>
            <w:pPr>
              <w:spacing w:after="20" w:before="20" w:line="240" w:lineRule="auto"/>
              <w:jc w:val="left"/>
            </w:pPr>
            <w:r>
              <w:rPr>
                <w:sz w:val="21"/>
              </w:rPr>
              <w:t>Benefits of Skill Development in Physical Education with Electronic Media Assistance</w:t>
            </w:r>
          </w:p>
        </w:tc>
        <w:tc>
          <w:tcPr>
            <w:tcW w:type="dxa" w:w="1020"/>
          </w:tcPr>
          <w:p>
            <w:pPr>
              <w:spacing w:after="20" w:before="20" w:line="240" w:lineRule="auto"/>
              <w:jc w:val="center"/>
            </w:pPr>
            <w:r>
              <w:rPr>
                <w:sz w:val="21"/>
              </w:rPr>
              <w:t>235</w:t>
            </w:r>
          </w:p>
        </w:tc>
      </w:tr>
      <w:tr>
        <w:tc>
          <w:tcPr>
            <w:tcW w:type="dxa" w:w="850"/>
            <w:shd w:val="clear" w:color="auto" w:fill="E8EEF5"/>
          </w:tcPr>
          <w:p>
            <w:pPr>
              <w:spacing w:after="20" w:before="20" w:line="240" w:lineRule="auto"/>
              <w:jc w:val="center"/>
            </w:pPr>
            <w:r>
              <w:rPr>
                <w:sz w:val="21"/>
              </w:rPr>
              <w:t>58.6</w:t>
            </w:r>
          </w:p>
        </w:tc>
        <w:tc>
          <w:tcPr>
            <w:tcW w:type="dxa" w:w="7540"/>
            <w:shd w:val="clear" w:color="auto" w:fill="E8EEF5"/>
          </w:tcPr>
          <w:p>
            <w:pPr>
              <w:spacing w:after="20" w:before="20" w:line="240" w:lineRule="auto"/>
              <w:jc w:val="left"/>
            </w:pPr>
            <w:r>
              <w:rPr>
                <w:sz w:val="21"/>
              </w:rPr>
              <w:t>Challenges and Solutions in Implementing Electronic Media in Physical Education</w:t>
            </w:r>
          </w:p>
        </w:tc>
        <w:tc>
          <w:tcPr>
            <w:tcW w:type="dxa" w:w="1020"/>
            <w:shd w:val="clear" w:color="auto" w:fill="E8EEF5"/>
          </w:tcPr>
          <w:p>
            <w:pPr>
              <w:spacing w:after="20" w:before="20" w:line="240" w:lineRule="auto"/>
              <w:jc w:val="center"/>
            </w:pPr>
            <w:r>
              <w:rPr>
                <w:sz w:val="21"/>
              </w:rPr>
              <w:t>236</w:t>
            </w:r>
          </w:p>
        </w:tc>
      </w:tr>
      <w:tr>
        <w:tc>
          <w:tcPr>
            <w:tcW w:type="dxa" w:w="850"/>
          </w:tcPr>
          <w:p>
            <w:pPr>
              <w:spacing w:after="20" w:before="20" w:line="240" w:lineRule="auto"/>
              <w:jc w:val="center"/>
            </w:pPr>
            <w:r>
              <w:rPr>
                <w:sz w:val="21"/>
              </w:rPr>
              <w:t>58.7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236</w:t>
            </w:r>
          </w:p>
        </w:tc>
      </w:tr>
      <w:tr>
        <w:tc>
          <w:tcPr>
            <w:tcW w:type="dxa" w:w="850"/>
            <w:shd w:val="clear" w:color="auto" w:fill="E8EEF5"/>
          </w:tcPr>
          <w:p>
            <w:pPr>
              <w:spacing w:after="20" w:before="20" w:line="240" w:lineRule="auto"/>
              <w:jc w:val="center"/>
            </w:pPr>
            <w:r>
              <w:rPr>
                <w:b/>
                <w:sz w:val="21"/>
              </w:rPr>
              <w:t>59</w:t>
            </w:r>
          </w:p>
        </w:tc>
        <w:tc>
          <w:tcPr>
            <w:tcW w:type="dxa" w:w="7540"/>
            <w:shd w:val="clear" w:color="auto" w:fill="E8EEF5"/>
          </w:tcPr>
          <w:p>
            <w:pPr>
              <w:spacing w:after="20" w:before="20" w:line="240" w:lineRule="auto"/>
              <w:jc w:val="left"/>
            </w:pPr>
            <w:r>
              <w:rPr>
                <w:b/>
                <w:sz w:val="21"/>
              </w:rPr>
              <w:t>Teaching-Learning and Evaluation (Continuous Evaluation)</w:t>
            </w:r>
          </w:p>
        </w:tc>
        <w:tc>
          <w:tcPr>
            <w:tcW w:type="dxa" w:w="1020"/>
            <w:shd w:val="clear" w:color="auto" w:fill="E8EEF5"/>
          </w:tcPr>
          <w:p>
            <w:pPr>
              <w:spacing w:after="20" w:before="20" w:line="240" w:lineRule="auto"/>
              <w:jc w:val="center"/>
            </w:pPr>
            <w:r>
              <w:rPr>
                <w:b/>
                <w:sz w:val="21"/>
              </w:rPr>
              <w:t>237</w:t>
            </w:r>
          </w:p>
        </w:tc>
      </w:tr>
      <w:tr>
        <w:tc>
          <w:tcPr>
            <w:tcW w:type="dxa" w:w="850"/>
          </w:tcPr>
          <w:p>
            <w:pPr>
              <w:spacing w:after="20" w:before="20" w:line="240" w:lineRule="auto"/>
              <w:jc w:val="center"/>
            </w:pPr>
            <w:r>
              <w:rPr>
                <w:sz w:val="21"/>
              </w:rPr>
              <w:t>59.1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237</w:t>
            </w:r>
          </w:p>
        </w:tc>
      </w:tr>
      <w:tr>
        <w:tc>
          <w:tcPr>
            <w:tcW w:type="dxa" w:w="850"/>
            <w:shd w:val="clear" w:color="auto" w:fill="E8EEF5"/>
          </w:tcPr>
          <w:p>
            <w:pPr>
              <w:spacing w:after="20" w:before="20" w:line="240" w:lineRule="auto"/>
              <w:jc w:val="center"/>
            </w:pPr>
            <w:r>
              <w:rPr>
                <w:sz w:val="21"/>
              </w:rPr>
              <w:t>59.2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237</w:t>
            </w:r>
          </w:p>
        </w:tc>
      </w:tr>
      <w:tr>
        <w:tc>
          <w:tcPr>
            <w:tcW w:type="dxa" w:w="850"/>
          </w:tcPr>
          <w:p>
            <w:pPr>
              <w:spacing w:after="20" w:before="20" w:line="240" w:lineRule="auto"/>
              <w:jc w:val="center"/>
            </w:pPr>
            <w:r>
              <w:rPr>
                <w:sz w:val="21"/>
              </w:rPr>
              <w:t>59.3</w:t>
            </w:r>
          </w:p>
        </w:tc>
        <w:tc>
          <w:tcPr>
            <w:tcW w:type="dxa" w:w="7540"/>
          </w:tcPr>
          <w:p>
            <w:pPr>
              <w:spacing w:after="20" w:before="20" w:line="240" w:lineRule="auto"/>
              <w:jc w:val="left"/>
            </w:pPr>
            <w:r>
              <w:rPr>
                <w:sz w:val="21"/>
              </w:rPr>
              <w:t>Key Features of Continuous Evaluation</w:t>
            </w:r>
          </w:p>
        </w:tc>
        <w:tc>
          <w:tcPr>
            <w:tcW w:type="dxa" w:w="1020"/>
          </w:tcPr>
          <w:p>
            <w:pPr>
              <w:spacing w:after="20" w:before="20" w:line="240" w:lineRule="auto"/>
              <w:jc w:val="center"/>
            </w:pPr>
            <w:r>
              <w:rPr>
                <w:sz w:val="21"/>
              </w:rPr>
              <w:t>237</w:t>
            </w:r>
          </w:p>
        </w:tc>
      </w:tr>
      <w:tr>
        <w:tc>
          <w:tcPr>
            <w:tcW w:type="dxa" w:w="850"/>
            <w:shd w:val="clear" w:color="auto" w:fill="E8EEF5"/>
          </w:tcPr>
          <w:p>
            <w:pPr>
              <w:spacing w:after="20" w:before="20" w:line="240" w:lineRule="auto"/>
              <w:jc w:val="center"/>
            </w:pPr>
            <w:r>
              <w:rPr>
                <w:sz w:val="21"/>
              </w:rPr>
              <w:t>59.4</w:t>
            </w:r>
          </w:p>
        </w:tc>
        <w:tc>
          <w:tcPr>
            <w:tcW w:type="dxa" w:w="7540"/>
            <w:shd w:val="clear" w:color="auto" w:fill="E8EEF5"/>
          </w:tcPr>
          <w:p>
            <w:pPr>
              <w:spacing w:after="20" w:before="20" w:line="240" w:lineRule="auto"/>
              <w:jc w:val="left"/>
            </w:pPr>
            <w:r>
              <w:rPr>
                <w:sz w:val="21"/>
              </w:rPr>
              <w:t>Key Practices in Continuous Evaluation</w:t>
            </w:r>
          </w:p>
        </w:tc>
        <w:tc>
          <w:tcPr>
            <w:tcW w:type="dxa" w:w="1020"/>
            <w:shd w:val="clear" w:color="auto" w:fill="E8EEF5"/>
          </w:tcPr>
          <w:p>
            <w:pPr>
              <w:spacing w:after="20" w:before="20" w:line="240" w:lineRule="auto"/>
              <w:jc w:val="center"/>
            </w:pPr>
            <w:r>
              <w:rPr>
                <w:sz w:val="21"/>
              </w:rPr>
              <w:t>238</w:t>
            </w:r>
          </w:p>
        </w:tc>
      </w:tr>
      <w:tr>
        <w:tc>
          <w:tcPr>
            <w:tcW w:type="dxa" w:w="850"/>
          </w:tcPr>
          <w:p>
            <w:pPr>
              <w:spacing w:after="20" w:before="20" w:line="240" w:lineRule="auto"/>
              <w:jc w:val="center"/>
            </w:pPr>
            <w:r>
              <w:rPr>
                <w:sz w:val="21"/>
              </w:rPr>
              <w:t>59.5</w:t>
            </w:r>
          </w:p>
        </w:tc>
        <w:tc>
          <w:tcPr>
            <w:tcW w:type="dxa" w:w="7540"/>
          </w:tcPr>
          <w:p>
            <w:pPr>
              <w:spacing w:after="20" w:before="20" w:line="240" w:lineRule="auto"/>
              <w:jc w:val="left"/>
            </w:pPr>
            <w:r>
              <w:rPr>
                <w:sz w:val="21"/>
              </w:rPr>
              <w:t>Impact of Continuous Evaluation</w:t>
            </w:r>
          </w:p>
        </w:tc>
        <w:tc>
          <w:tcPr>
            <w:tcW w:type="dxa" w:w="1020"/>
          </w:tcPr>
          <w:p>
            <w:pPr>
              <w:spacing w:after="20" w:before="20" w:line="240" w:lineRule="auto"/>
              <w:jc w:val="center"/>
            </w:pPr>
            <w:r>
              <w:rPr>
                <w:sz w:val="21"/>
              </w:rPr>
              <w:t>239</w:t>
            </w:r>
          </w:p>
        </w:tc>
      </w:tr>
      <w:tr>
        <w:tc>
          <w:tcPr>
            <w:tcW w:type="dxa" w:w="850"/>
            <w:shd w:val="clear" w:color="auto" w:fill="E8EEF5"/>
          </w:tcPr>
          <w:p>
            <w:pPr>
              <w:spacing w:after="20" w:before="20" w:line="240" w:lineRule="auto"/>
              <w:jc w:val="center"/>
            </w:pPr>
            <w:r>
              <w:rPr>
                <w:sz w:val="21"/>
              </w:rPr>
              <w:t>59.6</w:t>
            </w:r>
          </w:p>
        </w:tc>
        <w:tc>
          <w:tcPr>
            <w:tcW w:type="dxa" w:w="7540"/>
            <w:shd w:val="clear" w:color="auto" w:fill="E8EEF5"/>
          </w:tcPr>
          <w:p>
            <w:pPr>
              <w:spacing w:after="20" w:before="20" w:line="240" w:lineRule="auto"/>
              <w:jc w:val="left"/>
            </w:pPr>
            <w:r>
              <w:rPr>
                <w:sz w:val="21"/>
              </w:rPr>
              <w:t>Outcomes of Continuous Evaluation</w:t>
            </w:r>
          </w:p>
        </w:tc>
        <w:tc>
          <w:tcPr>
            <w:tcW w:type="dxa" w:w="1020"/>
            <w:shd w:val="clear" w:color="auto" w:fill="E8EEF5"/>
          </w:tcPr>
          <w:p>
            <w:pPr>
              <w:spacing w:after="20" w:before="20" w:line="240" w:lineRule="auto"/>
              <w:jc w:val="center"/>
            </w:pPr>
            <w:r>
              <w:rPr>
                <w:sz w:val="21"/>
              </w:rPr>
              <w:t>240</w:t>
            </w:r>
          </w:p>
        </w:tc>
      </w:tr>
      <w:tr>
        <w:tc>
          <w:tcPr>
            <w:tcW w:type="dxa" w:w="850"/>
          </w:tcPr>
          <w:p>
            <w:pPr>
              <w:spacing w:after="20" w:before="20" w:line="240" w:lineRule="auto"/>
              <w:jc w:val="center"/>
            </w:pPr>
            <w:r>
              <w:rPr>
                <w:sz w:val="21"/>
              </w:rPr>
              <w:t>59.7</w:t>
            </w:r>
          </w:p>
        </w:tc>
        <w:tc>
          <w:tcPr>
            <w:tcW w:type="dxa" w:w="7540"/>
          </w:tcPr>
          <w:p>
            <w:pPr>
              <w:spacing w:after="20" w:before="20" w:line="240" w:lineRule="auto"/>
              <w:jc w:val="left"/>
            </w:pPr>
            <w:r>
              <w:rPr>
                <w:sz w:val="21"/>
              </w:rPr>
              <w:t>Challenges and Solutions in Continuous Evaluation</w:t>
            </w:r>
          </w:p>
        </w:tc>
        <w:tc>
          <w:tcPr>
            <w:tcW w:type="dxa" w:w="1020"/>
          </w:tcPr>
          <w:p>
            <w:pPr>
              <w:spacing w:after="20" w:before="20" w:line="240" w:lineRule="auto"/>
              <w:jc w:val="center"/>
            </w:pPr>
            <w:r>
              <w:rPr>
                <w:sz w:val="21"/>
              </w:rPr>
              <w:t>241</w:t>
            </w:r>
          </w:p>
        </w:tc>
      </w:tr>
      <w:tr>
        <w:tc>
          <w:tcPr>
            <w:tcW w:type="dxa" w:w="850"/>
            <w:shd w:val="clear" w:color="auto" w:fill="E8EEF5"/>
          </w:tcPr>
          <w:p>
            <w:pPr>
              <w:spacing w:after="20" w:before="20" w:line="240" w:lineRule="auto"/>
              <w:jc w:val="center"/>
            </w:pPr>
            <w:r>
              <w:rPr>
                <w:sz w:val="21"/>
              </w:rPr>
              <w:t>59.8</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241</w:t>
            </w:r>
          </w:p>
        </w:tc>
      </w:tr>
      <w:tr>
        <w:tc>
          <w:tcPr>
            <w:tcW w:type="dxa" w:w="850"/>
          </w:tcPr>
          <w:p>
            <w:pPr>
              <w:spacing w:after="20" w:before="20" w:line="240" w:lineRule="auto"/>
              <w:jc w:val="center"/>
            </w:pPr>
            <w:r>
              <w:rPr>
                <w:b/>
                <w:sz w:val="21"/>
              </w:rPr>
              <w:t>60</w:t>
            </w:r>
          </w:p>
        </w:tc>
        <w:tc>
          <w:tcPr>
            <w:tcW w:type="dxa" w:w="7540"/>
          </w:tcPr>
          <w:p>
            <w:pPr>
              <w:spacing w:after="20" w:before="20" w:line="240" w:lineRule="auto"/>
              <w:jc w:val="left"/>
            </w:pPr>
            <w:r>
              <w:rPr>
                <w:b/>
                <w:sz w:val="21"/>
              </w:rPr>
              <w:t>Teaching-Learning and Evaluation (Innovative Pedagogy)</w:t>
            </w:r>
          </w:p>
        </w:tc>
        <w:tc>
          <w:tcPr>
            <w:tcW w:type="dxa" w:w="1020"/>
          </w:tcPr>
          <w:p>
            <w:pPr>
              <w:spacing w:after="20" w:before="20" w:line="240" w:lineRule="auto"/>
              <w:jc w:val="center"/>
            </w:pPr>
            <w:r>
              <w:rPr>
                <w:b/>
                <w:sz w:val="21"/>
              </w:rPr>
              <w:t>242</w:t>
            </w:r>
          </w:p>
        </w:tc>
      </w:tr>
      <w:tr>
        <w:tc>
          <w:tcPr>
            <w:tcW w:type="dxa" w:w="850"/>
            <w:shd w:val="clear" w:color="auto" w:fill="E8EEF5"/>
          </w:tcPr>
          <w:p>
            <w:pPr>
              <w:spacing w:after="20" w:before="20" w:line="240" w:lineRule="auto"/>
              <w:jc w:val="center"/>
            </w:pPr>
            <w:r>
              <w:rPr>
                <w:sz w:val="21"/>
              </w:rPr>
              <w:t>60.1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242</w:t>
            </w:r>
          </w:p>
        </w:tc>
      </w:tr>
      <w:tr>
        <w:tc>
          <w:tcPr>
            <w:tcW w:type="dxa" w:w="850"/>
          </w:tcPr>
          <w:p>
            <w:pPr>
              <w:spacing w:after="20" w:before="20" w:line="240" w:lineRule="auto"/>
              <w:jc w:val="center"/>
            </w:pPr>
            <w:r>
              <w:rPr>
                <w:sz w:val="21"/>
              </w:rPr>
              <w:t>60.2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242</w:t>
            </w:r>
          </w:p>
        </w:tc>
      </w:tr>
      <w:tr>
        <w:tc>
          <w:tcPr>
            <w:tcW w:type="dxa" w:w="850"/>
            <w:shd w:val="clear" w:color="auto" w:fill="E8EEF5"/>
          </w:tcPr>
          <w:p>
            <w:pPr>
              <w:spacing w:after="20" w:before="20" w:line="240" w:lineRule="auto"/>
              <w:jc w:val="center"/>
            </w:pPr>
            <w:r>
              <w:rPr>
                <w:sz w:val="21"/>
              </w:rPr>
              <w:t>60.3</w:t>
            </w:r>
          </w:p>
        </w:tc>
        <w:tc>
          <w:tcPr>
            <w:tcW w:type="dxa" w:w="7540"/>
            <w:shd w:val="clear" w:color="auto" w:fill="E8EEF5"/>
          </w:tcPr>
          <w:p>
            <w:pPr>
              <w:spacing w:after="20" w:before="20" w:line="240" w:lineRule="auto"/>
              <w:jc w:val="left"/>
            </w:pPr>
            <w:r>
              <w:rPr>
                <w:sz w:val="21"/>
              </w:rPr>
              <w:t>Key Innovative Pedagogical Practices</w:t>
            </w:r>
          </w:p>
        </w:tc>
        <w:tc>
          <w:tcPr>
            <w:tcW w:type="dxa" w:w="1020"/>
            <w:shd w:val="clear" w:color="auto" w:fill="E8EEF5"/>
          </w:tcPr>
          <w:p>
            <w:pPr>
              <w:spacing w:after="20" w:before="20" w:line="240" w:lineRule="auto"/>
              <w:jc w:val="center"/>
            </w:pPr>
            <w:r>
              <w:rPr>
                <w:sz w:val="21"/>
              </w:rPr>
              <w:t>242</w:t>
            </w:r>
          </w:p>
        </w:tc>
      </w:tr>
      <w:tr>
        <w:tc>
          <w:tcPr>
            <w:tcW w:type="dxa" w:w="850"/>
          </w:tcPr>
          <w:p>
            <w:pPr>
              <w:spacing w:after="20" w:before="20" w:line="240" w:lineRule="auto"/>
              <w:jc w:val="center"/>
            </w:pPr>
            <w:r>
              <w:rPr>
                <w:sz w:val="21"/>
              </w:rPr>
              <w:t>60.4</w:t>
            </w:r>
          </w:p>
        </w:tc>
        <w:tc>
          <w:tcPr>
            <w:tcW w:type="dxa" w:w="7540"/>
          </w:tcPr>
          <w:p>
            <w:pPr>
              <w:spacing w:after="20" w:before="20" w:line="240" w:lineRule="auto"/>
              <w:jc w:val="left"/>
            </w:pPr>
            <w:r>
              <w:rPr>
                <w:sz w:val="21"/>
              </w:rPr>
              <w:t>Impact of Innovative Pedagogy</w:t>
            </w:r>
          </w:p>
        </w:tc>
        <w:tc>
          <w:tcPr>
            <w:tcW w:type="dxa" w:w="1020"/>
          </w:tcPr>
          <w:p>
            <w:pPr>
              <w:spacing w:after="20" w:before="20" w:line="240" w:lineRule="auto"/>
              <w:jc w:val="center"/>
            </w:pPr>
            <w:r>
              <w:rPr>
                <w:sz w:val="21"/>
              </w:rPr>
              <w:t>244</w:t>
            </w:r>
          </w:p>
        </w:tc>
      </w:tr>
      <w:tr>
        <w:tc>
          <w:tcPr>
            <w:tcW w:type="dxa" w:w="850"/>
            <w:shd w:val="clear" w:color="auto" w:fill="E8EEF5"/>
          </w:tcPr>
          <w:p>
            <w:pPr>
              <w:spacing w:after="20" w:before="20" w:line="240" w:lineRule="auto"/>
              <w:jc w:val="center"/>
            </w:pPr>
            <w:r>
              <w:rPr>
                <w:sz w:val="21"/>
              </w:rPr>
              <w:t>60.5</w:t>
            </w:r>
          </w:p>
        </w:tc>
        <w:tc>
          <w:tcPr>
            <w:tcW w:type="dxa" w:w="7540"/>
            <w:shd w:val="clear" w:color="auto" w:fill="E8EEF5"/>
          </w:tcPr>
          <w:p>
            <w:pPr>
              <w:spacing w:after="20" w:before="20" w:line="240" w:lineRule="auto"/>
              <w:jc w:val="left"/>
            </w:pPr>
            <w:r>
              <w:rPr>
                <w:sz w:val="21"/>
              </w:rPr>
              <w:t>Outcomes of Innovative Pedagogy</w:t>
            </w:r>
          </w:p>
        </w:tc>
        <w:tc>
          <w:tcPr>
            <w:tcW w:type="dxa" w:w="1020"/>
            <w:shd w:val="clear" w:color="auto" w:fill="E8EEF5"/>
          </w:tcPr>
          <w:p>
            <w:pPr>
              <w:spacing w:after="20" w:before="20" w:line="240" w:lineRule="auto"/>
              <w:jc w:val="center"/>
            </w:pPr>
            <w:r>
              <w:rPr>
                <w:sz w:val="21"/>
              </w:rPr>
              <w:t>245</w:t>
            </w:r>
          </w:p>
        </w:tc>
      </w:tr>
      <w:tr>
        <w:tc>
          <w:tcPr>
            <w:tcW w:type="dxa" w:w="850"/>
          </w:tcPr>
          <w:p>
            <w:pPr>
              <w:spacing w:after="20" w:before="20" w:line="240" w:lineRule="auto"/>
              <w:jc w:val="center"/>
            </w:pPr>
            <w:r>
              <w:rPr>
                <w:sz w:val="21"/>
              </w:rPr>
              <w:t>60.6</w:t>
            </w:r>
          </w:p>
        </w:tc>
        <w:tc>
          <w:tcPr>
            <w:tcW w:type="dxa" w:w="7540"/>
          </w:tcPr>
          <w:p>
            <w:pPr>
              <w:spacing w:after="20" w:before="20" w:line="240" w:lineRule="auto"/>
              <w:jc w:val="left"/>
            </w:pPr>
            <w:r>
              <w:rPr>
                <w:sz w:val="21"/>
              </w:rPr>
              <w:t>Challenges and Solutions in Implementing Innovative Pedagogy</w:t>
            </w:r>
          </w:p>
        </w:tc>
        <w:tc>
          <w:tcPr>
            <w:tcW w:type="dxa" w:w="1020"/>
          </w:tcPr>
          <w:p>
            <w:pPr>
              <w:spacing w:after="20" w:before="20" w:line="240" w:lineRule="auto"/>
              <w:jc w:val="center"/>
            </w:pPr>
            <w:r>
              <w:rPr>
                <w:sz w:val="21"/>
              </w:rPr>
              <w:t>246</w:t>
            </w:r>
          </w:p>
        </w:tc>
      </w:tr>
      <w:tr>
        <w:tc>
          <w:tcPr>
            <w:tcW w:type="dxa" w:w="850"/>
            <w:shd w:val="clear" w:color="auto" w:fill="E8EEF5"/>
          </w:tcPr>
          <w:p>
            <w:pPr>
              <w:spacing w:after="20" w:before="20" w:line="240" w:lineRule="auto"/>
              <w:jc w:val="center"/>
            </w:pPr>
            <w:r>
              <w:rPr>
                <w:sz w:val="21"/>
              </w:rPr>
              <w:t>60.7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246</w:t>
            </w:r>
          </w:p>
        </w:tc>
      </w:tr>
      <w:tr>
        <w:tc>
          <w:tcPr>
            <w:tcW w:type="dxa" w:w="850"/>
          </w:tcPr>
          <w:p>
            <w:pPr>
              <w:spacing w:after="20" w:before="20" w:line="240" w:lineRule="auto"/>
              <w:jc w:val="center"/>
            </w:pPr>
            <w:r>
              <w:rPr>
                <w:b/>
                <w:sz w:val="21"/>
              </w:rPr>
              <w:t>61</w:t>
            </w:r>
          </w:p>
        </w:tc>
        <w:tc>
          <w:tcPr>
            <w:tcW w:type="dxa" w:w="7540"/>
          </w:tcPr>
          <w:p>
            <w:pPr>
              <w:spacing w:after="20" w:before="20" w:line="240" w:lineRule="auto"/>
              <w:jc w:val="left"/>
            </w:pPr>
            <w:r>
              <w:rPr>
                <w:b/>
                <w:sz w:val="21"/>
              </w:rPr>
              <w:t>Teaching-Learning and Evaluation (Learning Management Systems)</w:t>
            </w:r>
          </w:p>
        </w:tc>
        <w:tc>
          <w:tcPr>
            <w:tcW w:type="dxa" w:w="1020"/>
          </w:tcPr>
          <w:p>
            <w:pPr>
              <w:spacing w:after="20" w:before="20" w:line="240" w:lineRule="auto"/>
              <w:jc w:val="center"/>
            </w:pPr>
            <w:r>
              <w:rPr>
                <w:b/>
                <w:sz w:val="21"/>
              </w:rPr>
              <w:t>247</w:t>
            </w:r>
          </w:p>
        </w:tc>
      </w:tr>
      <w:tr>
        <w:tc>
          <w:tcPr>
            <w:tcW w:type="dxa" w:w="850"/>
            <w:shd w:val="clear" w:color="auto" w:fill="E8EEF5"/>
          </w:tcPr>
          <w:p>
            <w:pPr>
              <w:spacing w:after="20" w:before="20" w:line="240" w:lineRule="auto"/>
              <w:jc w:val="center"/>
            </w:pPr>
            <w:r>
              <w:rPr>
                <w:sz w:val="21"/>
              </w:rPr>
              <w:t>61.1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247</w:t>
            </w:r>
          </w:p>
        </w:tc>
      </w:tr>
      <w:tr>
        <w:tc>
          <w:tcPr>
            <w:tcW w:type="dxa" w:w="850"/>
          </w:tcPr>
          <w:p>
            <w:pPr>
              <w:spacing w:after="20" w:before="20" w:line="240" w:lineRule="auto"/>
              <w:jc w:val="center"/>
            </w:pPr>
            <w:r>
              <w:rPr>
                <w:sz w:val="21"/>
              </w:rPr>
              <w:t>61.2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247</w:t>
            </w:r>
          </w:p>
        </w:tc>
      </w:tr>
      <w:tr>
        <w:tc>
          <w:tcPr>
            <w:tcW w:type="dxa" w:w="850"/>
            <w:shd w:val="clear" w:color="auto" w:fill="E8EEF5"/>
          </w:tcPr>
          <w:p>
            <w:pPr>
              <w:spacing w:after="20" w:before="20" w:line="240" w:lineRule="auto"/>
              <w:jc w:val="center"/>
            </w:pPr>
            <w:r>
              <w:rPr>
                <w:sz w:val="21"/>
              </w:rPr>
              <w:t>61.3</w:t>
            </w:r>
          </w:p>
        </w:tc>
        <w:tc>
          <w:tcPr>
            <w:tcW w:type="dxa" w:w="7540"/>
            <w:shd w:val="clear" w:color="auto" w:fill="E8EEF5"/>
          </w:tcPr>
          <w:p>
            <w:pPr>
              <w:spacing w:after="20" w:before="20" w:line="240" w:lineRule="auto"/>
              <w:jc w:val="left"/>
            </w:pPr>
            <w:r>
              <w:rPr>
                <w:sz w:val="21"/>
              </w:rPr>
              <w:t>Key Features of Learning Management Systems (LMS)</w:t>
            </w:r>
          </w:p>
        </w:tc>
        <w:tc>
          <w:tcPr>
            <w:tcW w:type="dxa" w:w="1020"/>
            <w:shd w:val="clear" w:color="auto" w:fill="E8EEF5"/>
          </w:tcPr>
          <w:p>
            <w:pPr>
              <w:spacing w:after="20" w:before="20" w:line="240" w:lineRule="auto"/>
              <w:jc w:val="center"/>
            </w:pPr>
            <w:r>
              <w:rPr>
                <w:sz w:val="21"/>
              </w:rPr>
              <w:t>247</w:t>
            </w:r>
          </w:p>
        </w:tc>
      </w:tr>
      <w:tr>
        <w:tc>
          <w:tcPr>
            <w:tcW w:type="dxa" w:w="850"/>
          </w:tcPr>
          <w:p>
            <w:pPr>
              <w:spacing w:after="20" w:before="20" w:line="240" w:lineRule="auto"/>
              <w:jc w:val="center"/>
            </w:pPr>
            <w:r>
              <w:rPr>
                <w:sz w:val="21"/>
              </w:rPr>
              <w:t>61.4</w:t>
            </w:r>
          </w:p>
        </w:tc>
        <w:tc>
          <w:tcPr>
            <w:tcW w:type="dxa" w:w="7540"/>
          </w:tcPr>
          <w:p>
            <w:pPr>
              <w:spacing w:after="20" w:before="20" w:line="240" w:lineRule="auto"/>
              <w:jc w:val="left"/>
            </w:pPr>
            <w:r>
              <w:rPr>
                <w:sz w:val="21"/>
              </w:rPr>
              <w:t>Impact of LMS on Education</w:t>
            </w:r>
          </w:p>
        </w:tc>
        <w:tc>
          <w:tcPr>
            <w:tcW w:type="dxa" w:w="1020"/>
          </w:tcPr>
          <w:p>
            <w:pPr>
              <w:spacing w:after="20" w:before="20" w:line="240" w:lineRule="auto"/>
              <w:jc w:val="center"/>
            </w:pPr>
            <w:r>
              <w:rPr>
                <w:sz w:val="21"/>
              </w:rPr>
              <w:t>249</w:t>
            </w:r>
          </w:p>
        </w:tc>
      </w:tr>
      <w:tr>
        <w:tc>
          <w:tcPr>
            <w:tcW w:type="dxa" w:w="850"/>
            <w:shd w:val="clear" w:color="auto" w:fill="E8EEF5"/>
          </w:tcPr>
          <w:p>
            <w:pPr>
              <w:spacing w:after="20" w:before="20" w:line="240" w:lineRule="auto"/>
              <w:jc w:val="center"/>
            </w:pPr>
            <w:r>
              <w:rPr>
                <w:sz w:val="21"/>
              </w:rPr>
              <w:t>61.5</w:t>
            </w:r>
          </w:p>
        </w:tc>
        <w:tc>
          <w:tcPr>
            <w:tcW w:type="dxa" w:w="7540"/>
            <w:shd w:val="clear" w:color="auto" w:fill="E8EEF5"/>
          </w:tcPr>
          <w:p>
            <w:pPr>
              <w:spacing w:after="20" w:before="20" w:line="240" w:lineRule="auto"/>
              <w:jc w:val="left"/>
            </w:pPr>
            <w:r>
              <w:rPr>
                <w:sz w:val="21"/>
              </w:rPr>
              <w:t>Outcomes of Implementing Learning Management Systems (LMS)</w:t>
            </w:r>
          </w:p>
        </w:tc>
        <w:tc>
          <w:tcPr>
            <w:tcW w:type="dxa" w:w="1020"/>
            <w:shd w:val="clear" w:color="auto" w:fill="E8EEF5"/>
          </w:tcPr>
          <w:p>
            <w:pPr>
              <w:spacing w:after="20" w:before="20" w:line="240" w:lineRule="auto"/>
              <w:jc w:val="center"/>
            </w:pPr>
            <w:r>
              <w:rPr>
                <w:sz w:val="21"/>
              </w:rPr>
              <w:t>249</w:t>
            </w:r>
          </w:p>
        </w:tc>
      </w:tr>
      <w:tr>
        <w:tc>
          <w:tcPr>
            <w:tcW w:type="dxa" w:w="850"/>
          </w:tcPr>
          <w:p>
            <w:pPr>
              <w:spacing w:after="20" w:before="20" w:line="240" w:lineRule="auto"/>
              <w:jc w:val="center"/>
            </w:pPr>
            <w:r>
              <w:rPr>
                <w:sz w:val="21"/>
              </w:rPr>
              <w:t>61.6</w:t>
            </w:r>
          </w:p>
        </w:tc>
        <w:tc>
          <w:tcPr>
            <w:tcW w:type="dxa" w:w="7540"/>
          </w:tcPr>
          <w:p>
            <w:pPr>
              <w:spacing w:after="20" w:before="20" w:line="240" w:lineRule="auto"/>
              <w:jc w:val="left"/>
            </w:pPr>
            <w:r>
              <w:rPr>
                <w:sz w:val="21"/>
              </w:rPr>
              <w:t>Challenges in Implementing LMS and Solutions</w:t>
            </w:r>
          </w:p>
        </w:tc>
        <w:tc>
          <w:tcPr>
            <w:tcW w:type="dxa" w:w="1020"/>
          </w:tcPr>
          <w:p>
            <w:pPr>
              <w:spacing w:after="20" w:before="20" w:line="240" w:lineRule="auto"/>
              <w:jc w:val="center"/>
            </w:pPr>
            <w:r>
              <w:rPr>
                <w:sz w:val="21"/>
              </w:rPr>
              <w:t>250</w:t>
            </w:r>
          </w:p>
        </w:tc>
      </w:tr>
      <w:tr>
        <w:tc>
          <w:tcPr>
            <w:tcW w:type="dxa" w:w="850"/>
            <w:shd w:val="clear" w:color="auto" w:fill="E8EEF5"/>
          </w:tcPr>
          <w:p>
            <w:pPr>
              <w:spacing w:after="20" w:before="20" w:line="240" w:lineRule="auto"/>
              <w:jc w:val="center"/>
            </w:pPr>
            <w:r>
              <w:rPr>
                <w:sz w:val="21"/>
              </w:rPr>
              <w:t>61.7</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250</w:t>
            </w:r>
          </w:p>
        </w:tc>
      </w:tr>
      <w:tr>
        <w:tc>
          <w:tcPr>
            <w:tcW w:type="dxa" w:w="850"/>
          </w:tcPr>
          <w:p>
            <w:pPr>
              <w:spacing w:after="20" w:before="20" w:line="240" w:lineRule="auto"/>
              <w:jc w:val="center"/>
            </w:pPr>
            <w:r>
              <w:rPr>
                <w:b/>
                <w:sz w:val="21"/>
              </w:rPr>
              <w:t>62</w:t>
            </w:r>
          </w:p>
        </w:tc>
        <w:tc>
          <w:tcPr>
            <w:tcW w:type="dxa" w:w="7540"/>
          </w:tcPr>
          <w:p>
            <w:pPr>
              <w:spacing w:after="20" w:before="20" w:line="240" w:lineRule="auto"/>
              <w:jc w:val="left"/>
            </w:pPr>
            <w:r>
              <w:rPr>
                <w:b/>
                <w:sz w:val="21"/>
              </w:rPr>
              <w:t>Teaching-Learning and Evaluation (Outcome-Based Education)</w:t>
            </w:r>
          </w:p>
        </w:tc>
        <w:tc>
          <w:tcPr>
            <w:tcW w:type="dxa" w:w="1020"/>
          </w:tcPr>
          <w:p>
            <w:pPr>
              <w:spacing w:after="20" w:before="20" w:line="240" w:lineRule="auto"/>
              <w:jc w:val="center"/>
            </w:pPr>
            <w:r>
              <w:rPr>
                <w:b/>
                <w:sz w:val="21"/>
              </w:rPr>
              <w:t>251</w:t>
            </w:r>
          </w:p>
        </w:tc>
      </w:tr>
      <w:tr>
        <w:tc>
          <w:tcPr>
            <w:tcW w:type="dxa" w:w="850"/>
            <w:shd w:val="clear" w:color="auto" w:fill="E8EEF5"/>
          </w:tcPr>
          <w:p>
            <w:pPr>
              <w:spacing w:after="20" w:before="20" w:line="240" w:lineRule="auto"/>
              <w:jc w:val="center"/>
            </w:pPr>
            <w:r>
              <w:rPr>
                <w:sz w:val="21"/>
              </w:rPr>
              <w:t>62.1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251</w:t>
            </w:r>
          </w:p>
        </w:tc>
      </w:tr>
      <w:tr>
        <w:tc>
          <w:tcPr>
            <w:tcW w:type="dxa" w:w="850"/>
          </w:tcPr>
          <w:p>
            <w:pPr>
              <w:spacing w:after="20" w:before="20" w:line="240" w:lineRule="auto"/>
              <w:jc w:val="center"/>
            </w:pPr>
            <w:r>
              <w:rPr>
                <w:sz w:val="21"/>
              </w:rPr>
              <w:t>62.2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251</w:t>
            </w:r>
          </w:p>
        </w:tc>
      </w:tr>
      <w:tr>
        <w:tc>
          <w:tcPr>
            <w:tcW w:type="dxa" w:w="850"/>
            <w:shd w:val="clear" w:color="auto" w:fill="E8EEF5"/>
          </w:tcPr>
          <w:p>
            <w:pPr>
              <w:spacing w:after="20" w:before="20" w:line="240" w:lineRule="auto"/>
              <w:jc w:val="center"/>
            </w:pPr>
            <w:r>
              <w:rPr>
                <w:sz w:val="21"/>
              </w:rPr>
              <w:t>62.3</w:t>
            </w:r>
          </w:p>
        </w:tc>
        <w:tc>
          <w:tcPr>
            <w:tcW w:type="dxa" w:w="7540"/>
            <w:shd w:val="clear" w:color="auto" w:fill="E8EEF5"/>
          </w:tcPr>
          <w:p>
            <w:pPr>
              <w:spacing w:after="20" w:before="20" w:line="240" w:lineRule="auto"/>
              <w:jc w:val="left"/>
            </w:pPr>
            <w:r>
              <w:rPr>
                <w:sz w:val="21"/>
              </w:rPr>
              <w:t>Key Features of Outcome-Based Education (OBE)</w:t>
            </w:r>
          </w:p>
        </w:tc>
        <w:tc>
          <w:tcPr>
            <w:tcW w:type="dxa" w:w="1020"/>
            <w:shd w:val="clear" w:color="auto" w:fill="E8EEF5"/>
          </w:tcPr>
          <w:p>
            <w:pPr>
              <w:spacing w:after="20" w:before="20" w:line="240" w:lineRule="auto"/>
              <w:jc w:val="center"/>
            </w:pPr>
            <w:r>
              <w:rPr>
                <w:sz w:val="21"/>
              </w:rPr>
              <w:t>251</w:t>
            </w:r>
          </w:p>
        </w:tc>
      </w:tr>
      <w:tr>
        <w:tc>
          <w:tcPr>
            <w:tcW w:type="dxa" w:w="850"/>
          </w:tcPr>
          <w:p>
            <w:pPr>
              <w:spacing w:after="20" w:before="20" w:line="240" w:lineRule="auto"/>
              <w:jc w:val="center"/>
            </w:pPr>
            <w:r>
              <w:rPr>
                <w:sz w:val="21"/>
              </w:rPr>
              <w:t>62.4</w:t>
            </w:r>
          </w:p>
        </w:tc>
        <w:tc>
          <w:tcPr>
            <w:tcW w:type="dxa" w:w="7540"/>
          </w:tcPr>
          <w:p>
            <w:pPr>
              <w:spacing w:after="20" w:before="20" w:line="240" w:lineRule="auto"/>
              <w:jc w:val="left"/>
            </w:pPr>
            <w:r>
              <w:rPr>
                <w:sz w:val="21"/>
              </w:rPr>
              <w:t>Key Practices in OBE</w:t>
            </w:r>
          </w:p>
        </w:tc>
        <w:tc>
          <w:tcPr>
            <w:tcW w:type="dxa" w:w="1020"/>
          </w:tcPr>
          <w:p>
            <w:pPr>
              <w:spacing w:after="20" w:before="20" w:line="240" w:lineRule="auto"/>
              <w:jc w:val="center"/>
            </w:pPr>
            <w:r>
              <w:rPr>
                <w:sz w:val="21"/>
              </w:rPr>
              <w:t>253</w:t>
            </w:r>
          </w:p>
        </w:tc>
      </w:tr>
      <w:tr>
        <w:tc>
          <w:tcPr>
            <w:tcW w:type="dxa" w:w="850"/>
            <w:shd w:val="clear" w:color="auto" w:fill="E8EEF5"/>
          </w:tcPr>
          <w:p>
            <w:pPr>
              <w:spacing w:after="20" w:before="20" w:line="240" w:lineRule="auto"/>
              <w:jc w:val="center"/>
            </w:pPr>
            <w:r>
              <w:rPr>
                <w:sz w:val="21"/>
              </w:rPr>
              <w:t>62.5</w:t>
            </w:r>
          </w:p>
        </w:tc>
        <w:tc>
          <w:tcPr>
            <w:tcW w:type="dxa" w:w="7540"/>
            <w:shd w:val="clear" w:color="auto" w:fill="E8EEF5"/>
          </w:tcPr>
          <w:p>
            <w:pPr>
              <w:spacing w:after="20" w:before="20" w:line="240" w:lineRule="auto"/>
              <w:jc w:val="left"/>
            </w:pPr>
            <w:r>
              <w:rPr>
                <w:sz w:val="21"/>
              </w:rPr>
              <w:t>Impact of Outcome-Based Education</w:t>
            </w:r>
          </w:p>
        </w:tc>
        <w:tc>
          <w:tcPr>
            <w:tcW w:type="dxa" w:w="1020"/>
            <w:shd w:val="clear" w:color="auto" w:fill="E8EEF5"/>
          </w:tcPr>
          <w:p>
            <w:pPr>
              <w:spacing w:after="20" w:before="20" w:line="240" w:lineRule="auto"/>
              <w:jc w:val="center"/>
            </w:pPr>
            <w:r>
              <w:rPr>
                <w:sz w:val="21"/>
              </w:rPr>
              <w:t>253</w:t>
            </w:r>
          </w:p>
        </w:tc>
      </w:tr>
      <w:tr>
        <w:tc>
          <w:tcPr>
            <w:tcW w:type="dxa" w:w="850"/>
          </w:tcPr>
          <w:p>
            <w:pPr>
              <w:spacing w:after="20" w:before="20" w:line="240" w:lineRule="auto"/>
              <w:jc w:val="center"/>
            </w:pPr>
            <w:r>
              <w:rPr>
                <w:sz w:val="21"/>
              </w:rPr>
              <w:t>62.6</w:t>
            </w:r>
          </w:p>
        </w:tc>
        <w:tc>
          <w:tcPr>
            <w:tcW w:type="dxa" w:w="7540"/>
          </w:tcPr>
          <w:p>
            <w:pPr>
              <w:spacing w:after="20" w:before="20" w:line="240" w:lineRule="auto"/>
              <w:jc w:val="left"/>
            </w:pPr>
            <w:r>
              <w:rPr>
                <w:sz w:val="21"/>
              </w:rPr>
              <w:t>Outcomes of Outcome-Based Education</w:t>
            </w:r>
          </w:p>
        </w:tc>
        <w:tc>
          <w:tcPr>
            <w:tcW w:type="dxa" w:w="1020"/>
          </w:tcPr>
          <w:p>
            <w:pPr>
              <w:spacing w:after="20" w:before="20" w:line="240" w:lineRule="auto"/>
              <w:jc w:val="center"/>
            </w:pPr>
            <w:r>
              <w:rPr>
                <w:sz w:val="21"/>
              </w:rPr>
              <w:t>254</w:t>
            </w:r>
          </w:p>
        </w:tc>
      </w:tr>
      <w:tr>
        <w:tc>
          <w:tcPr>
            <w:tcW w:type="dxa" w:w="850"/>
            <w:shd w:val="clear" w:color="auto" w:fill="E8EEF5"/>
          </w:tcPr>
          <w:p>
            <w:pPr>
              <w:spacing w:after="20" w:before="20" w:line="240" w:lineRule="auto"/>
              <w:jc w:val="center"/>
            </w:pPr>
            <w:r>
              <w:rPr>
                <w:sz w:val="21"/>
              </w:rPr>
              <w:t>62.7</w:t>
            </w:r>
          </w:p>
        </w:tc>
        <w:tc>
          <w:tcPr>
            <w:tcW w:type="dxa" w:w="7540"/>
            <w:shd w:val="clear" w:color="auto" w:fill="E8EEF5"/>
          </w:tcPr>
          <w:p>
            <w:pPr>
              <w:spacing w:after="20" w:before="20" w:line="240" w:lineRule="auto"/>
              <w:jc w:val="left"/>
            </w:pPr>
            <w:r>
              <w:rPr>
                <w:sz w:val="21"/>
              </w:rPr>
              <w:t>Challenges and Solutions in Outcome-Based Education</w:t>
            </w:r>
          </w:p>
        </w:tc>
        <w:tc>
          <w:tcPr>
            <w:tcW w:type="dxa" w:w="1020"/>
            <w:shd w:val="clear" w:color="auto" w:fill="E8EEF5"/>
          </w:tcPr>
          <w:p>
            <w:pPr>
              <w:spacing w:after="20" w:before="20" w:line="240" w:lineRule="auto"/>
              <w:jc w:val="center"/>
            </w:pPr>
            <w:r>
              <w:rPr>
                <w:sz w:val="21"/>
              </w:rPr>
              <w:t>255</w:t>
            </w:r>
          </w:p>
        </w:tc>
      </w:tr>
      <w:tr>
        <w:tc>
          <w:tcPr>
            <w:tcW w:type="dxa" w:w="850"/>
          </w:tcPr>
          <w:p>
            <w:pPr>
              <w:spacing w:after="20" w:before="20" w:line="240" w:lineRule="auto"/>
              <w:jc w:val="center"/>
            </w:pPr>
            <w:r>
              <w:rPr>
                <w:sz w:val="21"/>
              </w:rPr>
              <w:t>62.8</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255</w:t>
            </w:r>
          </w:p>
        </w:tc>
      </w:tr>
      <w:tr>
        <w:tc>
          <w:tcPr>
            <w:tcW w:type="dxa" w:w="850"/>
            <w:shd w:val="clear" w:color="auto" w:fill="E8EEF5"/>
          </w:tcPr>
          <w:p>
            <w:pPr>
              <w:spacing w:after="20" w:before="20" w:line="240" w:lineRule="auto"/>
              <w:jc w:val="center"/>
            </w:pPr>
            <w:r>
              <w:rPr>
                <w:b/>
                <w:sz w:val="21"/>
              </w:rPr>
              <w:t>63</w:t>
            </w:r>
          </w:p>
        </w:tc>
        <w:tc>
          <w:tcPr>
            <w:tcW w:type="dxa" w:w="7540"/>
            <w:shd w:val="clear" w:color="auto" w:fill="E8EEF5"/>
          </w:tcPr>
          <w:p>
            <w:pPr>
              <w:spacing w:after="20" w:before="20" w:line="240" w:lineRule="auto"/>
              <w:jc w:val="left"/>
            </w:pPr>
            <w:r>
              <w:rPr>
                <w:b/>
                <w:sz w:val="21"/>
              </w:rPr>
              <w:t>Best Practices in Student Support and Progression</w:t>
            </w:r>
          </w:p>
        </w:tc>
        <w:tc>
          <w:tcPr>
            <w:tcW w:type="dxa" w:w="1020"/>
            <w:shd w:val="clear" w:color="auto" w:fill="E8EEF5"/>
          </w:tcPr>
          <w:p>
            <w:pPr>
              <w:spacing w:after="20" w:before="20" w:line="240" w:lineRule="auto"/>
              <w:jc w:val="center"/>
            </w:pPr>
            <w:r>
              <w:rPr>
                <w:b/>
                <w:sz w:val="21"/>
              </w:rPr>
              <w:t>256</w:t>
            </w:r>
          </w:p>
        </w:tc>
      </w:tr>
      <w:tr>
        <w:tc>
          <w:tcPr>
            <w:tcW w:type="dxa" w:w="850"/>
          </w:tcPr>
          <w:p>
            <w:pPr>
              <w:spacing w:after="20" w:before="20" w:line="240" w:lineRule="auto"/>
              <w:jc w:val="center"/>
            </w:pPr>
            <w:r>
              <w:rPr>
                <w:sz w:val="21"/>
              </w:rPr>
              <w:t>63.1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256</w:t>
            </w:r>
          </w:p>
        </w:tc>
      </w:tr>
      <w:tr>
        <w:tc>
          <w:tcPr>
            <w:tcW w:type="dxa" w:w="850"/>
            <w:shd w:val="clear" w:color="auto" w:fill="E8EEF5"/>
          </w:tcPr>
          <w:p>
            <w:pPr>
              <w:spacing w:after="20" w:before="20" w:line="240" w:lineRule="auto"/>
              <w:jc w:val="center"/>
            </w:pPr>
            <w:r>
              <w:rPr>
                <w:sz w:val="21"/>
              </w:rPr>
              <w:t>63.2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256</w:t>
            </w:r>
          </w:p>
        </w:tc>
      </w:tr>
      <w:tr>
        <w:tc>
          <w:tcPr>
            <w:tcW w:type="dxa" w:w="850"/>
          </w:tcPr>
          <w:p>
            <w:pPr>
              <w:spacing w:after="20" w:before="20" w:line="240" w:lineRule="auto"/>
              <w:jc w:val="center"/>
            </w:pPr>
            <w:r>
              <w:rPr>
                <w:sz w:val="21"/>
              </w:rPr>
              <w:t>63.3</w:t>
            </w:r>
          </w:p>
        </w:tc>
        <w:tc>
          <w:tcPr>
            <w:tcW w:type="dxa" w:w="7540"/>
          </w:tcPr>
          <w:p>
            <w:pPr>
              <w:spacing w:after="20" w:before="20" w:line="240" w:lineRule="auto"/>
              <w:jc w:val="left"/>
            </w:pPr>
            <w:r>
              <w:rPr>
                <w:sz w:val="21"/>
              </w:rPr>
              <w:t>Key Components of Best Practices in Student Support and Progression</w:t>
            </w:r>
          </w:p>
        </w:tc>
        <w:tc>
          <w:tcPr>
            <w:tcW w:type="dxa" w:w="1020"/>
          </w:tcPr>
          <w:p>
            <w:pPr>
              <w:spacing w:after="20" w:before="20" w:line="240" w:lineRule="auto"/>
              <w:jc w:val="center"/>
            </w:pPr>
            <w:r>
              <w:rPr>
                <w:sz w:val="21"/>
              </w:rPr>
              <w:t>256</w:t>
            </w:r>
          </w:p>
        </w:tc>
      </w:tr>
      <w:tr>
        <w:tc>
          <w:tcPr>
            <w:tcW w:type="dxa" w:w="850"/>
            <w:shd w:val="clear" w:color="auto" w:fill="E8EEF5"/>
          </w:tcPr>
          <w:p>
            <w:pPr>
              <w:spacing w:after="20" w:before="20" w:line="240" w:lineRule="auto"/>
              <w:jc w:val="center"/>
            </w:pPr>
            <w:r>
              <w:rPr>
                <w:sz w:val="21"/>
              </w:rPr>
              <w:t>63.4</w:t>
            </w:r>
          </w:p>
        </w:tc>
        <w:tc>
          <w:tcPr>
            <w:tcW w:type="dxa" w:w="7540"/>
            <w:shd w:val="clear" w:color="auto" w:fill="E8EEF5"/>
          </w:tcPr>
          <w:p>
            <w:pPr>
              <w:spacing w:after="20" w:before="20" w:line="240" w:lineRule="auto"/>
              <w:jc w:val="left"/>
            </w:pPr>
            <w:r>
              <w:rPr>
                <w:sz w:val="21"/>
              </w:rPr>
              <w:t>Benefits of Best Practices in Student Support and Progression</w:t>
            </w:r>
          </w:p>
        </w:tc>
        <w:tc>
          <w:tcPr>
            <w:tcW w:type="dxa" w:w="1020"/>
            <w:shd w:val="clear" w:color="auto" w:fill="E8EEF5"/>
          </w:tcPr>
          <w:p>
            <w:pPr>
              <w:spacing w:after="20" w:before="20" w:line="240" w:lineRule="auto"/>
              <w:jc w:val="center"/>
            </w:pPr>
            <w:r>
              <w:rPr>
                <w:sz w:val="21"/>
              </w:rPr>
              <w:t>258</w:t>
            </w:r>
          </w:p>
        </w:tc>
      </w:tr>
      <w:tr>
        <w:tc>
          <w:tcPr>
            <w:tcW w:type="dxa" w:w="850"/>
          </w:tcPr>
          <w:p>
            <w:pPr>
              <w:spacing w:after="20" w:before="20" w:line="240" w:lineRule="auto"/>
              <w:jc w:val="center"/>
            </w:pPr>
            <w:r>
              <w:rPr>
                <w:sz w:val="21"/>
              </w:rPr>
              <w:t>63.5</w:t>
            </w:r>
          </w:p>
        </w:tc>
        <w:tc>
          <w:tcPr>
            <w:tcW w:type="dxa" w:w="7540"/>
          </w:tcPr>
          <w:p>
            <w:pPr>
              <w:spacing w:after="20" w:before="20" w:line="240" w:lineRule="auto"/>
              <w:jc w:val="left"/>
            </w:pPr>
            <w:r>
              <w:rPr>
                <w:sz w:val="21"/>
              </w:rPr>
              <w:t>Challenges and Solutions in Implementing Best Practices</w:t>
            </w:r>
          </w:p>
        </w:tc>
        <w:tc>
          <w:tcPr>
            <w:tcW w:type="dxa" w:w="1020"/>
          </w:tcPr>
          <w:p>
            <w:pPr>
              <w:spacing w:after="20" w:before="20" w:line="240" w:lineRule="auto"/>
              <w:jc w:val="center"/>
            </w:pPr>
            <w:r>
              <w:rPr>
                <w:sz w:val="21"/>
              </w:rPr>
              <w:t>258</w:t>
            </w:r>
          </w:p>
        </w:tc>
      </w:tr>
      <w:tr>
        <w:tc>
          <w:tcPr>
            <w:tcW w:type="dxa" w:w="850"/>
            <w:shd w:val="clear" w:color="auto" w:fill="E8EEF5"/>
          </w:tcPr>
          <w:p>
            <w:pPr>
              <w:spacing w:after="20" w:before="20" w:line="240" w:lineRule="auto"/>
              <w:jc w:val="center"/>
            </w:pPr>
            <w:r>
              <w:rPr>
                <w:sz w:val="21"/>
              </w:rPr>
              <w:t>63.6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259</w:t>
            </w:r>
          </w:p>
        </w:tc>
      </w:tr>
      <w:tr>
        <w:tc>
          <w:tcPr>
            <w:tcW w:type="dxa" w:w="850"/>
          </w:tcPr>
          <w:p>
            <w:pPr>
              <w:spacing w:after="20" w:before="20" w:line="240" w:lineRule="auto"/>
              <w:jc w:val="center"/>
            </w:pPr>
            <w:r>
              <w:rPr>
                <w:b/>
                <w:sz w:val="21"/>
              </w:rPr>
              <w:t>64</w:t>
            </w:r>
          </w:p>
        </w:tc>
        <w:tc>
          <w:tcPr>
            <w:tcW w:type="dxa" w:w="7540"/>
          </w:tcPr>
          <w:p>
            <w:pPr>
              <w:spacing w:after="20" w:before="20" w:line="240" w:lineRule="auto"/>
              <w:jc w:val="left"/>
            </w:pPr>
            <w:r>
              <w:rPr>
                <w:b/>
                <w:sz w:val="21"/>
              </w:rPr>
              <w:t>Student Counselling</w:t>
            </w:r>
          </w:p>
        </w:tc>
        <w:tc>
          <w:tcPr>
            <w:tcW w:type="dxa" w:w="1020"/>
          </w:tcPr>
          <w:p>
            <w:pPr>
              <w:spacing w:after="20" w:before="20" w:line="240" w:lineRule="auto"/>
              <w:jc w:val="center"/>
            </w:pPr>
            <w:r>
              <w:rPr>
                <w:b/>
                <w:sz w:val="21"/>
              </w:rPr>
              <w:t>260</w:t>
            </w:r>
          </w:p>
        </w:tc>
      </w:tr>
      <w:tr>
        <w:tc>
          <w:tcPr>
            <w:tcW w:type="dxa" w:w="850"/>
            <w:shd w:val="clear" w:color="auto" w:fill="E8EEF5"/>
          </w:tcPr>
          <w:p>
            <w:pPr>
              <w:spacing w:after="20" w:before="20" w:line="240" w:lineRule="auto"/>
              <w:jc w:val="center"/>
            </w:pPr>
            <w:r>
              <w:rPr>
                <w:sz w:val="21"/>
              </w:rPr>
              <w:t>64.1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260</w:t>
            </w:r>
          </w:p>
        </w:tc>
      </w:tr>
      <w:tr>
        <w:tc>
          <w:tcPr>
            <w:tcW w:type="dxa" w:w="850"/>
          </w:tcPr>
          <w:p>
            <w:pPr>
              <w:spacing w:after="20" w:before="20" w:line="240" w:lineRule="auto"/>
              <w:jc w:val="center"/>
            </w:pPr>
            <w:r>
              <w:rPr>
                <w:sz w:val="21"/>
              </w:rPr>
              <w:t>64.2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260</w:t>
            </w:r>
          </w:p>
        </w:tc>
      </w:tr>
      <w:tr>
        <w:tc>
          <w:tcPr>
            <w:tcW w:type="dxa" w:w="850"/>
            <w:shd w:val="clear" w:color="auto" w:fill="E8EEF5"/>
          </w:tcPr>
          <w:p>
            <w:pPr>
              <w:spacing w:after="20" w:before="20" w:line="240" w:lineRule="auto"/>
              <w:jc w:val="center"/>
            </w:pPr>
            <w:r>
              <w:rPr>
                <w:sz w:val="21"/>
              </w:rPr>
              <w:t>64.3</w:t>
            </w:r>
          </w:p>
        </w:tc>
        <w:tc>
          <w:tcPr>
            <w:tcW w:type="dxa" w:w="7540"/>
            <w:shd w:val="clear" w:color="auto" w:fill="E8EEF5"/>
          </w:tcPr>
          <w:p>
            <w:pPr>
              <w:spacing w:after="20" w:before="20" w:line="240" w:lineRule="auto"/>
              <w:jc w:val="left"/>
            </w:pPr>
            <w:r>
              <w:rPr>
                <w:sz w:val="21"/>
              </w:rPr>
              <w:t>Key Components of Student Counselling Services</w:t>
            </w:r>
          </w:p>
        </w:tc>
        <w:tc>
          <w:tcPr>
            <w:tcW w:type="dxa" w:w="1020"/>
            <w:shd w:val="clear" w:color="auto" w:fill="E8EEF5"/>
          </w:tcPr>
          <w:p>
            <w:pPr>
              <w:spacing w:after="20" w:before="20" w:line="240" w:lineRule="auto"/>
              <w:jc w:val="center"/>
            </w:pPr>
            <w:r>
              <w:rPr>
                <w:sz w:val="21"/>
              </w:rPr>
              <w:t>260</w:t>
            </w:r>
          </w:p>
        </w:tc>
      </w:tr>
      <w:tr>
        <w:tc>
          <w:tcPr>
            <w:tcW w:type="dxa" w:w="850"/>
          </w:tcPr>
          <w:p>
            <w:pPr>
              <w:spacing w:after="20" w:before="20" w:line="240" w:lineRule="auto"/>
              <w:jc w:val="center"/>
            </w:pPr>
            <w:r>
              <w:rPr>
                <w:sz w:val="21"/>
              </w:rPr>
              <w:t>64.4</w:t>
            </w:r>
          </w:p>
        </w:tc>
        <w:tc>
          <w:tcPr>
            <w:tcW w:type="dxa" w:w="7540"/>
          </w:tcPr>
          <w:p>
            <w:pPr>
              <w:spacing w:after="20" w:before="20" w:line="240" w:lineRule="auto"/>
              <w:jc w:val="left"/>
            </w:pPr>
            <w:r>
              <w:rPr>
                <w:sz w:val="21"/>
              </w:rPr>
              <w:t>Benefits of Student Counseling Services</w:t>
            </w:r>
          </w:p>
        </w:tc>
        <w:tc>
          <w:tcPr>
            <w:tcW w:type="dxa" w:w="1020"/>
          </w:tcPr>
          <w:p>
            <w:pPr>
              <w:spacing w:after="20" w:before="20" w:line="240" w:lineRule="auto"/>
              <w:jc w:val="center"/>
            </w:pPr>
            <w:r>
              <w:rPr>
                <w:sz w:val="21"/>
              </w:rPr>
              <w:t>262</w:t>
            </w:r>
          </w:p>
        </w:tc>
      </w:tr>
      <w:tr>
        <w:tc>
          <w:tcPr>
            <w:tcW w:type="dxa" w:w="850"/>
            <w:shd w:val="clear" w:color="auto" w:fill="E8EEF5"/>
          </w:tcPr>
          <w:p>
            <w:pPr>
              <w:spacing w:after="20" w:before="20" w:line="240" w:lineRule="auto"/>
              <w:jc w:val="center"/>
            </w:pPr>
            <w:r>
              <w:rPr>
                <w:sz w:val="21"/>
              </w:rPr>
              <w:t>64.5</w:t>
            </w:r>
          </w:p>
        </w:tc>
        <w:tc>
          <w:tcPr>
            <w:tcW w:type="dxa" w:w="7540"/>
            <w:shd w:val="clear" w:color="auto" w:fill="E8EEF5"/>
          </w:tcPr>
          <w:p>
            <w:pPr>
              <w:spacing w:after="20" w:before="20" w:line="240" w:lineRule="auto"/>
              <w:jc w:val="left"/>
            </w:pPr>
            <w:r>
              <w:rPr>
                <w:sz w:val="21"/>
              </w:rPr>
              <w:t>Challenges and Solutions in Student Counseling</w:t>
            </w:r>
          </w:p>
        </w:tc>
        <w:tc>
          <w:tcPr>
            <w:tcW w:type="dxa" w:w="1020"/>
            <w:shd w:val="clear" w:color="auto" w:fill="E8EEF5"/>
          </w:tcPr>
          <w:p>
            <w:pPr>
              <w:spacing w:after="20" w:before="20" w:line="240" w:lineRule="auto"/>
              <w:jc w:val="center"/>
            </w:pPr>
            <w:r>
              <w:rPr>
                <w:sz w:val="21"/>
              </w:rPr>
              <w:t>262</w:t>
            </w:r>
          </w:p>
        </w:tc>
      </w:tr>
      <w:tr>
        <w:tc>
          <w:tcPr>
            <w:tcW w:type="dxa" w:w="850"/>
          </w:tcPr>
          <w:p>
            <w:pPr>
              <w:spacing w:after="20" w:before="20" w:line="240" w:lineRule="auto"/>
              <w:jc w:val="center"/>
            </w:pPr>
            <w:r>
              <w:rPr>
                <w:sz w:val="21"/>
              </w:rPr>
              <w:t>64.6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263</w:t>
            </w:r>
          </w:p>
        </w:tc>
      </w:tr>
      <w:tr>
        <w:tc>
          <w:tcPr>
            <w:tcW w:type="dxa" w:w="850"/>
            <w:shd w:val="clear" w:color="auto" w:fill="E8EEF5"/>
          </w:tcPr>
          <w:p>
            <w:pPr>
              <w:spacing w:after="20" w:before="20" w:line="240" w:lineRule="auto"/>
              <w:jc w:val="center"/>
            </w:pPr>
            <w:r>
              <w:rPr>
                <w:b/>
                <w:sz w:val="21"/>
              </w:rPr>
              <w:t>65</w:t>
            </w:r>
          </w:p>
        </w:tc>
        <w:tc>
          <w:tcPr>
            <w:tcW w:type="dxa" w:w="7540"/>
            <w:shd w:val="clear" w:color="auto" w:fill="E8EEF5"/>
          </w:tcPr>
          <w:p>
            <w:pPr>
              <w:spacing w:after="20" w:before="20" w:line="240" w:lineRule="auto"/>
              <w:jc w:val="left"/>
            </w:pPr>
            <w:r>
              <w:rPr>
                <w:b/>
                <w:sz w:val="21"/>
              </w:rPr>
              <w:t>Providing Personalized Mentor Assistance to Poor Students</w:t>
            </w:r>
          </w:p>
        </w:tc>
        <w:tc>
          <w:tcPr>
            <w:tcW w:type="dxa" w:w="1020"/>
            <w:shd w:val="clear" w:color="auto" w:fill="E8EEF5"/>
          </w:tcPr>
          <w:p>
            <w:pPr>
              <w:spacing w:after="20" w:before="20" w:line="240" w:lineRule="auto"/>
              <w:jc w:val="center"/>
            </w:pPr>
            <w:r>
              <w:rPr>
                <w:b/>
                <w:sz w:val="21"/>
              </w:rPr>
              <w:t>264</w:t>
            </w:r>
          </w:p>
        </w:tc>
      </w:tr>
      <w:tr>
        <w:tc>
          <w:tcPr>
            <w:tcW w:type="dxa" w:w="850"/>
          </w:tcPr>
          <w:p>
            <w:pPr>
              <w:spacing w:after="20" w:before="20" w:line="240" w:lineRule="auto"/>
              <w:jc w:val="center"/>
            </w:pPr>
            <w:r>
              <w:rPr>
                <w:sz w:val="21"/>
              </w:rPr>
              <w:t>65.1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264</w:t>
            </w:r>
          </w:p>
        </w:tc>
      </w:tr>
      <w:tr>
        <w:tc>
          <w:tcPr>
            <w:tcW w:type="dxa" w:w="850"/>
            <w:shd w:val="clear" w:color="auto" w:fill="E8EEF5"/>
          </w:tcPr>
          <w:p>
            <w:pPr>
              <w:spacing w:after="20" w:before="20" w:line="240" w:lineRule="auto"/>
              <w:jc w:val="center"/>
            </w:pPr>
            <w:r>
              <w:rPr>
                <w:sz w:val="21"/>
              </w:rPr>
              <w:t>65.2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264</w:t>
            </w:r>
          </w:p>
        </w:tc>
      </w:tr>
      <w:tr>
        <w:tc>
          <w:tcPr>
            <w:tcW w:type="dxa" w:w="850"/>
          </w:tcPr>
          <w:p>
            <w:pPr>
              <w:spacing w:after="20" w:before="20" w:line="240" w:lineRule="auto"/>
              <w:jc w:val="center"/>
            </w:pPr>
            <w:r>
              <w:rPr>
                <w:sz w:val="21"/>
              </w:rPr>
              <w:t>65.3</w:t>
            </w:r>
          </w:p>
        </w:tc>
        <w:tc>
          <w:tcPr>
            <w:tcW w:type="dxa" w:w="7540"/>
          </w:tcPr>
          <w:p>
            <w:pPr>
              <w:spacing w:after="20" w:before="20" w:line="240" w:lineRule="auto"/>
              <w:jc w:val="left"/>
            </w:pPr>
            <w:r>
              <w:rPr>
                <w:sz w:val="21"/>
              </w:rPr>
              <w:t>Key Components of Personalized Mentor Assistance for Poor Students</w:t>
            </w:r>
          </w:p>
        </w:tc>
        <w:tc>
          <w:tcPr>
            <w:tcW w:type="dxa" w:w="1020"/>
          </w:tcPr>
          <w:p>
            <w:pPr>
              <w:spacing w:after="20" w:before="20" w:line="240" w:lineRule="auto"/>
              <w:jc w:val="center"/>
            </w:pPr>
            <w:r>
              <w:rPr>
                <w:sz w:val="21"/>
              </w:rPr>
              <w:t>264</w:t>
            </w:r>
          </w:p>
        </w:tc>
      </w:tr>
      <w:tr>
        <w:tc>
          <w:tcPr>
            <w:tcW w:type="dxa" w:w="850"/>
            <w:shd w:val="clear" w:color="auto" w:fill="E8EEF5"/>
          </w:tcPr>
          <w:p>
            <w:pPr>
              <w:spacing w:after="20" w:before="20" w:line="240" w:lineRule="auto"/>
              <w:jc w:val="center"/>
            </w:pPr>
            <w:r>
              <w:rPr>
                <w:sz w:val="21"/>
              </w:rPr>
              <w:t>65.4</w:t>
            </w:r>
          </w:p>
        </w:tc>
        <w:tc>
          <w:tcPr>
            <w:tcW w:type="dxa" w:w="7540"/>
            <w:shd w:val="clear" w:color="auto" w:fill="E8EEF5"/>
          </w:tcPr>
          <w:p>
            <w:pPr>
              <w:spacing w:after="20" w:before="20" w:line="240" w:lineRule="auto"/>
              <w:jc w:val="left"/>
            </w:pPr>
            <w:r>
              <w:rPr>
                <w:sz w:val="21"/>
              </w:rPr>
              <w:t>Benefits of Providing Personalized Mentor Assistance to Poor Students</w:t>
            </w:r>
          </w:p>
        </w:tc>
        <w:tc>
          <w:tcPr>
            <w:tcW w:type="dxa" w:w="1020"/>
            <w:shd w:val="clear" w:color="auto" w:fill="E8EEF5"/>
          </w:tcPr>
          <w:p>
            <w:pPr>
              <w:spacing w:after="20" w:before="20" w:line="240" w:lineRule="auto"/>
              <w:jc w:val="center"/>
            </w:pPr>
            <w:r>
              <w:rPr>
                <w:sz w:val="21"/>
              </w:rPr>
              <w:t>266</w:t>
            </w:r>
          </w:p>
        </w:tc>
      </w:tr>
      <w:tr>
        <w:tc>
          <w:tcPr>
            <w:tcW w:type="dxa" w:w="850"/>
          </w:tcPr>
          <w:p>
            <w:pPr>
              <w:spacing w:after="20" w:before="20" w:line="240" w:lineRule="auto"/>
              <w:jc w:val="center"/>
            </w:pPr>
            <w:r>
              <w:rPr>
                <w:sz w:val="21"/>
              </w:rPr>
              <w:t>65.5</w:t>
            </w:r>
          </w:p>
        </w:tc>
        <w:tc>
          <w:tcPr>
            <w:tcW w:type="dxa" w:w="7540"/>
          </w:tcPr>
          <w:p>
            <w:pPr>
              <w:spacing w:after="20" w:before="20" w:line="240" w:lineRule="auto"/>
              <w:jc w:val="left"/>
            </w:pPr>
            <w:r>
              <w:rPr>
                <w:sz w:val="21"/>
              </w:rPr>
              <w:t>Challenges and Solutions in Providing Personalized Mentor Assistance to Poor Students</w:t>
            </w:r>
          </w:p>
        </w:tc>
        <w:tc>
          <w:tcPr>
            <w:tcW w:type="dxa" w:w="1020"/>
          </w:tcPr>
          <w:p>
            <w:pPr>
              <w:spacing w:after="20" w:before="20" w:line="240" w:lineRule="auto"/>
              <w:jc w:val="center"/>
            </w:pPr>
            <w:r>
              <w:rPr>
                <w:sz w:val="21"/>
              </w:rPr>
              <w:t>266</w:t>
            </w:r>
          </w:p>
        </w:tc>
      </w:tr>
      <w:tr>
        <w:tc>
          <w:tcPr>
            <w:tcW w:type="dxa" w:w="850"/>
            <w:shd w:val="clear" w:color="auto" w:fill="E8EEF5"/>
          </w:tcPr>
          <w:p>
            <w:pPr>
              <w:spacing w:after="20" w:before="20" w:line="240" w:lineRule="auto"/>
              <w:jc w:val="center"/>
            </w:pPr>
            <w:r>
              <w:rPr>
                <w:sz w:val="21"/>
              </w:rPr>
              <w:t>65.6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267</w:t>
            </w:r>
          </w:p>
        </w:tc>
      </w:tr>
      <w:tr>
        <w:tc>
          <w:tcPr>
            <w:tcW w:type="dxa" w:w="850"/>
          </w:tcPr>
          <w:p>
            <w:pPr>
              <w:spacing w:after="20" w:before="20" w:line="240" w:lineRule="auto"/>
              <w:jc w:val="center"/>
            </w:pPr>
            <w:r>
              <w:rPr>
                <w:b/>
                <w:sz w:val="21"/>
              </w:rPr>
              <w:t>66</w:t>
            </w:r>
          </w:p>
        </w:tc>
        <w:tc>
          <w:tcPr>
            <w:tcW w:type="dxa" w:w="7540"/>
          </w:tcPr>
          <w:p>
            <w:pPr>
              <w:spacing w:after="20" w:before="20" w:line="240" w:lineRule="auto"/>
              <w:jc w:val="left"/>
            </w:pPr>
            <w:r>
              <w:rPr>
                <w:b/>
                <w:sz w:val="21"/>
              </w:rPr>
              <w:t>Remedial Teaching</w:t>
            </w:r>
          </w:p>
        </w:tc>
        <w:tc>
          <w:tcPr>
            <w:tcW w:type="dxa" w:w="1020"/>
          </w:tcPr>
          <w:p>
            <w:pPr>
              <w:spacing w:after="20" w:before="20" w:line="240" w:lineRule="auto"/>
              <w:jc w:val="center"/>
            </w:pPr>
            <w:r>
              <w:rPr>
                <w:b/>
                <w:sz w:val="21"/>
              </w:rPr>
              <w:t>268</w:t>
            </w:r>
          </w:p>
        </w:tc>
      </w:tr>
      <w:tr>
        <w:tc>
          <w:tcPr>
            <w:tcW w:type="dxa" w:w="850"/>
            <w:shd w:val="clear" w:color="auto" w:fill="E8EEF5"/>
          </w:tcPr>
          <w:p>
            <w:pPr>
              <w:spacing w:after="20" w:before="20" w:line="240" w:lineRule="auto"/>
              <w:jc w:val="center"/>
            </w:pPr>
            <w:r>
              <w:rPr>
                <w:sz w:val="21"/>
              </w:rPr>
              <w:t>66.1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268</w:t>
            </w:r>
          </w:p>
        </w:tc>
      </w:tr>
      <w:tr>
        <w:tc>
          <w:tcPr>
            <w:tcW w:type="dxa" w:w="850"/>
          </w:tcPr>
          <w:p>
            <w:pPr>
              <w:spacing w:after="20" w:before="20" w:line="240" w:lineRule="auto"/>
              <w:jc w:val="center"/>
            </w:pPr>
            <w:r>
              <w:rPr>
                <w:sz w:val="21"/>
              </w:rPr>
              <w:t>66.2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268</w:t>
            </w:r>
          </w:p>
        </w:tc>
      </w:tr>
      <w:tr>
        <w:tc>
          <w:tcPr>
            <w:tcW w:type="dxa" w:w="850"/>
            <w:shd w:val="clear" w:color="auto" w:fill="E8EEF5"/>
          </w:tcPr>
          <w:p>
            <w:pPr>
              <w:spacing w:after="20" w:before="20" w:line="240" w:lineRule="auto"/>
              <w:jc w:val="center"/>
            </w:pPr>
            <w:r>
              <w:rPr>
                <w:sz w:val="21"/>
              </w:rPr>
              <w:t>66.3</w:t>
            </w:r>
          </w:p>
        </w:tc>
        <w:tc>
          <w:tcPr>
            <w:tcW w:type="dxa" w:w="7540"/>
            <w:shd w:val="clear" w:color="auto" w:fill="E8EEF5"/>
          </w:tcPr>
          <w:p>
            <w:pPr>
              <w:spacing w:after="20" w:before="20" w:line="240" w:lineRule="auto"/>
              <w:jc w:val="left"/>
            </w:pPr>
            <w:r>
              <w:rPr>
                <w:sz w:val="21"/>
              </w:rPr>
              <w:t>Key Components of Remedial Teaching</w:t>
            </w:r>
          </w:p>
        </w:tc>
        <w:tc>
          <w:tcPr>
            <w:tcW w:type="dxa" w:w="1020"/>
            <w:shd w:val="clear" w:color="auto" w:fill="E8EEF5"/>
          </w:tcPr>
          <w:p>
            <w:pPr>
              <w:spacing w:after="20" w:before="20" w:line="240" w:lineRule="auto"/>
              <w:jc w:val="center"/>
            </w:pPr>
            <w:r>
              <w:rPr>
                <w:sz w:val="21"/>
              </w:rPr>
              <w:t>268</w:t>
            </w:r>
          </w:p>
        </w:tc>
      </w:tr>
      <w:tr>
        <w:tc>
          <w:tcPr>
            <w:tcW w:type="dxa" w:w="850"/>
          </w:tcPr>
          <w:p>
            <w:pPr>
              <w:spacing w:after="20" w:before="20" w:line="240" w:lineRule="auto"/>
              <w:jc w:val="center"/>
            </w:pPr>
            <w:r>
              <w:rPr>
                <w:sz w:val="21"/>
              </w:rPr>
              <w:t>66.4</w:t>
            </w:r>
          </w:p>
        </w:tc>
        <w:tc>
          <w:tcPr>
            <w:tcW w:type="dxa" w:w="7540"/>
          </w:tcPr>
          <w:p>
            <w:pPr>
              <w:spacing w:after="20" w:before="20" w:line="240" w:lineRule="auto"/>
              <w:jc w:val="left"/>
            </w:pPr>
            <w:r>
              <w:rPr>
                <w:sz w:val="21"/>
              </w:rPr>
              <w:t>Benefits of Remedial Teaching</w:t>
            </w:r>
          </w:p>
        </w:tc>
        <w:tc>
          <w:tcPr>
            <w:tcW w:type="dxa" w:w="1020"/>
          </w:tcPr>
          <w:p>
            <w:pPr>
              <w:spacing w:after="20" w:before="20" w:line="240" w:lineRule="auto"/>
              <w:jc w:val="center"/>
            </w:pPr>
            <w:r>
              <w:rPr>
                <w:sz w:val="21"/>
              </w:rPr>
              <w:t>270</w:t>
            </w:r>
          </w:p>
        </w:tc>
      </w:tr>
      <w:tr>
        <w:tc>
          <w:tcPr>
            <w:tcW w:type="dxa" w:w="850"/>
            <w:shd w:val="clear" w:color="auto" w:fill="E8EEF5"/>
          </w:tcPr>
          <w:p>
            <w:pPr>
              <w:spacing w:after="20" w:before="20" w:line="240" w:lineRule="auto"/>
              <w:jc w:val="center"/>
            </w:pPr>
            <w:r>
              <w:rPr>
                <w:sz w:val="21"/>
              </w:rPr>
              <w:t>66.5</w:t>
            </w:r>
          </w:p>
        </w:tc>
        <w:tc>
          <w:tcPr>
            <w:tcW w:type="dxa" w:w="7540"/>
            <w:shd w:val="clear" w:color="auto" w:fill="E8EEF5"/>
          </w:tcPr>
          <w:p>
            <w:pPr>
              <w:spacing w:after="20" w:before="20" w:line="240" w:lineRule="auto"/>
              <w:jc w:val="left"/>
            </w:pPr>
            <w:r>
              <w:rPr>
                <w:sz w:val="21"/>
              </w:rPr>
              <w:t>Challenges and Solutions in Implementing Remedial Teaching</w:t>
            </w:r>
          </w:p>
        </w:tc>
        <w:tc>
          <w:tcPr>
            <w:tcW w:type="dxa" w:w="1020"/>
            <w:shd w:val="clear" w:color="auto" w:fill="E8EEF5"/>
          </w:tcPr>
          <w:p>
            <w:pPr>
              <w:spacing w:after="20" w:before="20" w:line="240" w:lineRule="auto"/>
              <w:jc w:val="center"/>
            </w:pPr>
            <w:r>
              <w:rPr>
                <w:sz w:val="21"/>
              </w:rPr>
              <w:t>270</w:t>
            </w:r>
          </w:p>
        </w:tc>
      </w:tr>
      <w:tr>
        <w:tc>
          <w:tcPr>
            <w:tcW w:type="dxa" w:w="850"/>
          </w:tcPr>
          <w:p>
            <w:pPr>
              <w:spacing w:after="20" w:before="20" w:line="240" w:lineRule="auto"/>
              <w:jc w:val="center"/>
            </w:pPr>
            <w:r>
              <w:rPr>
                <w:sz w:val="21"/>
              </w:rPr>
              <w:t>66.6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271</w:t>
            </w:r>
          </w:p>
        </w:tc>
      </w:tr>
      <w:tr>
        <w:tc>
          <w:tcPr>
            <w:tcW w:type="dxa" w:w="850"/>
            <w:shd w:val="clear" w:color="auto" w:fill="E8EEF5"/>
          </w:tcPr>
          <w:p>
            <w:pPr>
              <w:spacing w:after="20" w:before="20" w:line="240" w:lineRule="auto"/>
              <w:jc w:val="center"/>
            </w:pPr>
            <w:r>
              <w:rPr>
                <w:b/>
                <w:sz w:val="21"/>
              </w:rPr>
              <w:t>67</w:t>
            </w:r>
          </w:p>
        </w:tc>
        <w:tc>
          <w:tcPr>
            <w:tcW w:type="dxa" w:w="7540"/>
            <w:shd w:val="clear" w:color="auto" w:fill="E8EEF5"/>
          </w:tcPr>
          <w:p>
            <w:pPr>
              <w:spacing w:after="20" w:before="20" w:line="240" w:lineRule="auto"/>
              <w:jc w:val="left"/>
            </w:pPr>
            <w:r>
              <w:rPr>
                <w:b/>
                <w:sz w:val="21"/>
              </w:rPr>
              <w:t>Student Support and Progression (Alumni Engagement)</w:t>
            </w:r>
          </w:p>
        </w:tc>
        <w:tc>
          <w:tcPr>
            <w:tcW w:type="dxa" w:w="1020"/>
            <w:shd w:val="clear" w:color="auto" w:fill="E8EEF5"/>
          </w:tcPr>
          <w:p>
            <w:pPr>
              <w:spacing w:after="20" w:before="20" w:line="240" w:lineRule="auto"/>
              <w:jc w:val="center"/>
            </w:pPr>
            <w:r>
              <w:rPr>
                <w:b/>
                <w:sz w:val="21"/>
              </w:rPr>
              <w:t>272</w:t>
            </w:r>
          </w:p>
        </w:tc>
      </w:tr>
      <w:tr>
        <w:tc>
          <w:tcPr>
            <w:tcW w:type="dxa" w:w="850"/>
          </w:tcPr>
          <w:p>
            <w:pPr>
              <w:spacing w:after="20" w:before="20" w:line="240" w:lineRule="auto"/>
              <w:jc w:val="center"/>
            </w:pPr>
            <w:r>
              <w:rPr>
                <w:sz w:val="21"/>
              </w:rPr>
              <w:t>67.1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272</w:t>
            </w:r>
          </w:p>
        </w:tc>
      </w:tr>
      <w:tr>
        <w:tc>
          <w:tcPr>
            <w:tcW w:type="dxa" w:w="850"/>
            <w:shd w:val="clear" w:color="auto" w:fill="E8EEF5"/>
          </w:tcPr>
          <w:p>
            <w:pPr>
              <w:spacing w:after="20" w:before="20" w:line="240" w:lineRule="auto"/>
              <w:jc w:val="center"/>
            </w:pPr>
            <w:r>
              <w:rPr>
                <w:sz w:val="21"/>
              </w:rPr>
              <w:t>67.2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272</w:t>
            </w:r>
          </w:p>
        </w:tc>
      </w:tr>
      <w:tr>
        <w:tc>
          <w:tcPr>
            <w:tcW w:type="dxa" w:w="850"/>
          </w:tcPr>
          <w:p>
            <w:pPr>
              <w:spacing w:after="20" w:before="20" w:line="240" w:lineRule="auto"/>
              <w:jc w:val="center"/>
            </w:pPr>
            <w:r>
              <w:rPr>
                <w:sz w:val="21"/>
              </w:rPr>
              <w:t>67.3</w:t>
            </w:r>
          </w:p>
        </w:tc>
        <w:tc>
          <w:tcPr>
            <w:tcW w:type="dxa" w:w="7540"/>
          </w:tcPr>
          <w:p>
            <w:pPr>
              <w:spacing w:after="20" w:before="20" w:line="240" w:lineRule="auto"/>
              <w:jc w:val="left"/>
            </w:pPr>
            <w:r>
              <w:rPr>
                <w:sz w:val="21"/>
              </w:rPr>
              <w:t>Key Practices in Alumni Engagement</w:t>
            </w:r>
          </w:p>
        </w:tc>
        <w:tc>
          <w:tcPr>
            <w:tcW w:type="dxa" w:w="1020"/>
          </w:tcPr>
          <w:p>
            <w:pPr>
              <w:spacing w:after="20" w:before="20" w:line="240" w:lineRule="auto"/>
              <w:jc w:val="center"/>
            </w:pPr>
            <w:r>
              <w:rPr>
                <w:sz w:val="21"/>
              </w:rPr>
              <w:t>272</w:t>
            </w:r>
          </w:p>
        </w:tc>
      </w:tr>
      <w:tr>
        <w:tc>
          <w:tcPr>
            <w:tcW w:type="dxa" w:w="850"/>
            <w:shd w:val="clear" w:color="auto" w:fill="E8EEF5"/>
          </w:tcPr>
          <w:p>
            <w:pPr>
              <w:spacing w:after="20" w:before="20" w:line="240" w:lineRule="auto"/>
              <w:jc w:val="center"/>
            </w:pPr>
            <w:r>
              <w:rPr>
                <w:sz w:val="21"/>
              </w:rPr>
              <w:t>67.4</w:t>
            </w:r>
          </w:p>
        </w:tc>
        <w:tc>
          <w:tcPr>
            <w:tcW w:type="dxa" w:w="7540"/>
            <w:shd w:val="clear" w:color="auto" w:fill="E8EEF5"/>
          </w:tcPr>
          <w:p>
            <w:pPr>
              <w:spacing w:after="20" w:before="20" w:line="240" w:lineRule="auto"/>
              <w:jc w:val="left"/>
            </w:pPr>
            <w:r>
              <w:rPr>
                <w:sz w:val="21"/>
              </w:rPr>
              <w:t>Impact of Alumni Engagement</w:t>
            </w:r>
          </w:p>
        </w:tc>
        <w:tc>
          <w:tcPr>
            <w:tcW w:type="dxa" w:w="1020"/>
            <w:shd w:val="clear" w:color="auto" w:fill="E8EEF5"/>
          </w:tcPr>
          <w:p>
            <w:pPr>
              <w:spacing w:after="20" w:before="20" w:line="240" w:lineRule="auto"/>
              <w:jc w:val="center"/>
            </w:pPr>
            <w:r>
              <w:rPr>
                <w:sz w:val="21"/>
              </w:rPr>
              <w:t>274</w:t>
            </w:r>
          </w:p>
        </w:tc>
      </w:tr>
      <w:tr>
        <w:tc>
          <w:tcPr>
            <w:tcW w:type="dxa" w:w="850"/>
          </w:tcPr>
          <w:p>
            <w:pPr>
              <w:spacing w:after="20" w:before="20" w:line="240" w:lineRule="auto"/>
              <w:jc w:val="center"/>
            </w:pPr>
            <w:r>
              <w:rPr>
                <w:sz w:val="21"/>
              </w:rPr>
              <w:t>67.5</w:t>
            </w:r>
          </w:p>
        </w:tc>
        <w:tc>
          <w:tcPr>
            <w:tcW w:type="dxa" w:w="7540"/>
          </w:tcPr>
          <w:p>
            <w:pPr>
              <w:spacing w:after="20" w:before="20" w:line="240" w:lineRule="auto"/>
              <w:jc w:val="left"/>
            </w:pPr>
            <w:r>
              <w:rPr>
                <w:sz w:val="21"/>
              </w:rPr>
              <w:t>Outcomes of Alumni Engagement</w:t>
            </w:r>
          </w:p>
        </w:tc>
        <w:tc>
          <w:tcPr>
            <w:tcW w:type="dxa" w:w="1020"/>
          </w:tcPr>
          <w:p>
            <w:pPr>
              <w:spacing w:after="20" w:before="20" w:line="240" w:lineRule="auto"/>
              <w:jc w:val="center"/>
            </w:pPr>
            <w:r>
              <w:rPr>
                <w:sz w:val="21"/>
              </w:rPr>
              <w:t>275</w:t>
            </w:r>
          </w:p>
        </w:tc>
      </w:tr>
      <w:tr>
        <w:tc>
          <w:tcPr>
            <w:tcW w:type="dxa" w:w="850"/>
            <w:shd w:val="clear" w:color="auto" w:fill="E8EEF5"/>
          </w:tcPr>
          <w:p>
            <w:pPr>
              <w:spacing w:after="20" w:before="20" w:line="240" w:lineRule="auto"/>
              <w:jc w:val="center"/>
            </w:pPr>
            <w:r>
              <w:rPr>
                <w:sz w:val="21"/>
              </w:rPr>
              <w:t>67.6</w:t>
            </w:r>
          </w:p>
        </w:tc>
        <w:tc>
          <w:tcPr>
            <w:tcW w:type="dxa" w:w="7540"/>
            <w:shd w:val="clear" w:color="auto" w:fill="E8EEF5"/>
          </w:tcPr>
          <w:p>
            <w:pPr>
              <w:spacing w:after="20" w:before="20" w:line="240" w:lineRule="auto"/>
              <w:jc w:val="left"/>
            </w:pPr>
            <w:r>
              <w:rPr>
                <w:sz w:val="21"/>
              </w:rPr>
              <w:t>Challenges and Solutions in Alumni Engagement</w:t>
            </w:r>
          </w:p>
        </w:tc>
        <w:tc>
          <w:tcPr>
            <w:tcW w:type="dxa" w:w="1020"/>
            <w:shd w:val="clear" w:color="auto" w:fill="E8EEF5"/>
          </w:tcPr>
          <w:p>
            <w:pPr>
              <w:spacing w:after="20" w:before="20" w:line="240" w:lineRule="auto"/>
              <w:jc w:val="center"/>
            </w:pPr>
            <w:r>
              <w:rPr>
                <w:sz w:val="21"/>
              </w:rPr>
              <w:t>276</w:t>
            </w:r>
          </w:p>
        </w:tc>
      </w:tr>
      <w:tr>
        <w:tc>
          <w:tcPr>
            <w:tcW w:type="dxa" w:w="850"/>
          </w:tcPr>
          <w:p>
            <w:pPr>
              <w:spacing w:after="20" w:before="20" w:line="240" w:lineRule="auto"/>
              <w:jc w:val="center"/>
            </w:pPr>
            <w:r>
              <w:rPr>
                <w:sz w:val="21"/>
              </w:rPr>
              <w:t>67.7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276</w:t>
            </w:r>
          </w:p>
        </w:tc>
      </w:tr>
      <w:tr>
        <w:tc>
          <w:tcPr>
            <w:tcW w:type="dxa" w:w="850"/>
            <w:shd w:val="clear" w:color="auto" w:fill="E8EEF5"/>
          </w:tcPr>
          <w:p>
            <w:pPr>
              <w:spacing w:after="20" w:before="20" w:line="240" w:lineRule="auto"/>
              <w:jc w:val="center"/>
            </w:pPr>
            <w:r>
              <w:rPr>
                <w:b/>
                <w:sz w:val="21"/>
              </w:rPr>
              <w:t>68</w:t>
            </w:r>
          </w:p>
        </w:tc>
        <w:tc>
          <w:tcPr>
            <w:tcW w:type="dxa" w:w="7540"/>
            <w:shd w:val="clear" w:color="auto" w:fill="E8EEF5"/>
          </w:tcPr>
          <w:p>
            <w:pPr>
              <w:spacing w:after="20" w:before="20" w:line="240" w:lineRule="auto"/>
              <w:jc w:val="left"/>
            </w:pPr>
            <w:r>
              <w:rPr>
                <w:b/>
                <w:sz w:val="21"/>
              </w:rPr>
              <w:t>Student Support and Progression (Career Development)</w:t>
            </w:r>
          </w:p>
        </w:tc>
        <w:tc>
          <w:tcPr>
            <w:tcW w:type="dxa" w:w="1020"/>
            <w:shd w:val="clear" w:color="auto" w:fill="E8EEF5"/>
          </w:tcPr>
          <w:p>
            <w:pPr>
              <w:spacing w:after="20" w:before="20" w:line="240" w:lineRule="auto"/>
              <w:jc w:val="center"/>
            </w:pPr>
            <w:r>
              <w:rPr>
                <w:b/>
                <w:sz w:val="21"/>
              </w:rPr>
              <w:t>277</w:t>
            </w:r>
          </w:p>
        </w:tc>
      </w:tr>
      <w:tr>
        <w:tc>
          <w:tcPr>
            <w:tcW w:type="dxa" w:w="850"/>
          </w:tcPr>
          <w:p>
            <w:pPr>
              <w:spacing w:after="20" w:before="20" w:line="240" w:lineRule="auto"/>
              <w:jc w:val="center"/>
            </w:pPr>
            <w:r>
              <w:rPr>
                <w:sz w:val="21"/>
              </w:rPr>
              <w:t>68.1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277</w:t>
            </w:r>
          </w:p>
        </w:tc>
      </w:tr>
      <w:tr>
        <w:tc>
          <w:tcPr>
            <w:tcW w:type="dxa" w:w="850"/>
            <w:shd w:val="clear" w:color="auto" w:fill="E8EEF5"/>
          </w:tcPr>
          <w:p>
            <w:pPr>
              <w:spacing w:after="20" w:before="20" w:line="240" w:lineRule="auto"/>
              <w:jc w:val="center"/>
            </w:pPr>
            <w:r>
              <w:rPr>
                <w:sz w:val="21"/>
              </w:rPr>
              <w:t>68.2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277</w:t>
            </w:r>
          </w:p>
        </w:tc>
      </w:tr>
      <w:tr>
        <w:tc>
          <w:tcPr>
            <w:tcW w:type="dxa" w:w="850"/>
          </w:tcPr>
          <w:p>
            <w:pPr>
              <w:spacing w:after="20" w:before="20" w:line="240" w:lineRule="auto"/>
              <w:jc w:val="center"/>
            </w:pPr>
            <w:r>
              <w:rPr>
                <w:sz w:val="21"/>
              </w:rPr>
              <w:t>68.3</w:t>
            </w:r>
          </w:p>
        </w:tc>
        <w:tc>
          <w:tcPr>
            <w:tcW w:type="dxa" w:w="7540"/>
          </w:tcPr>
          <w:p>
            <w:pPr>
              <w:spacing w:after="20" w:before="20" w:line="240" w:lineRule="auto"/>
              <w:jc w:val="left"/>
            </w:pPr>
            <w:r>
              <w:rPr>
                <w:sz w:val="21"/>
              </w:rPr>
              <w:t>Key Practices in Career Development</w:t>
            </w:r>
          </w:p>
        </w:tc>
        <w:tc>
          <w:tcPr>
            <w:tcW w:type="dxa" w:w="1020"/>
          </w:tcPr>
          <w:p>
            <w:pPr>
              <w:spacing w:after="20" w:before="20" w:line="240" w:lineRule="auto"/>
              <w:jc w:val="center"/>
            </w:pPr>
            <w:r>
              <w:rPr>
                <w:sz w:val="21"/>
              </w:rPr>
              <w:t>277</w:t>
            </w:r>
          </w:p>
        </w:tc>
      </w:tr>
      <w:tr>
        <w:tc>
          <w:tcPr>
            <w:tcW w:type="dxa" w:w="850"/>
            <w:shd w:val="clear" w:color="auto" w:fill="E8EEF5"/>
          </w:tcPr>
          <w:p>
            <w:pPr>
              <w:spacing w:after="20" w:before="20" w:line="240" w:lineRule="auto"/>
              <w:jc w:val="center"/>
            </w:pPr>
            <w:r>
              <w:rPr>
                <w:sz w:val="21"/>
              </w:rPr>
              <w:t>68.4</w:t>
            </w:r>
          </w:p>
        </w:tc>
        <w:tc>
          <w:tcPr>
            <w:tcW w:type="dxa" w:w="7540"/>
            <w:shd w:val="clear" w:color="auto" w:fill="E8EEF5"/>
          </w:tcPr>
          <w:p>
            <w:pPr>
              <w:spacing w:after="20" w:before="20" w:line="240" w:lineRule="auto"/>
              <w:jc w:val="left"/>
            </w:pPr>
            <w:r>
              <w:rPr>
                <w:sz w:val="21"/>
              </w:rPr>
              <w:t>Impact of Career Development Initiatives</w:t>
            </w:r>
          </w:p>
        </w:tc>
        <w:tc>
          <w:tcPr>
            <w:tcW w:type="dxa" w:w="1020"/>
            <w:shd w:val="clear" w:color="auto" w:fill="E8EEF5"/>
          </w:tcPr>
          <w:p>
            <w:pPr>
              <w:spacing w:after="20" w:before="20" w:line="240" w:lineRule="auto"/>
              <w:jc w:val="center"/>
            </w:pPr>
            <w:r>
              <w:rPr>
                <w:sz w:val="21"/>
              </w:rPr>
              <w:t>280</w:t>
            </w:r>
          </w:p>
        </w:tc>
      </w:tr>
      <w:tr>
        <w:tc>
          <w:tcPr>
            <w:tcW w:type="dxa" w:w="850"/>
          </w:tcPr>
          <w:p>
            <w:pPr>
              <w:spacing w:after="20" w:before="20" w:line="240" w:lineRule="auto"/>
              <w:jc w:val="center"/>
            </w:pPr>
            <w:r>
              <w:rPr>
                <w:sz w:val="21"/>
              </w:rPr>
              <w:t>68.5</w:t>
            </w:r>
          </w:p>
        </w:tc>
        <w:tc>
          <w:tcPr>
            <w:tcW w:type="dxa" w:w="7540"/>
          </w:tcPr>
          <w:p>
            <w:pPr>
              <w:spacing w:after="20" w:before="20" w:line="240" w:lineRule="auto"/>
              <w:jc w:val="left"/>
            </w:pPr>
            <w:r>
              <w:rPr>
                <w:sz w:val="21"/>
              </w:rPr>
              <w:t>Outcomes of Career Development Programs</w:t>
            </w:r>
          </w:p>
        </w:tc>
        <w:tc>
          <w:tcPr>
            <w:tcW w:type="dxa" w:w="1020"/>
          </w:tcPr>
          <w:p>
            <w:pPr>
              <w:spacing w:after="20" w:before="20" w:line="240" w:lineRule="auto"/>
              <w:jc w:val="center"/>
            </w:pPr>
            <w:r>
              <w:rPr>
                <w:sz w:val="21"/>
              </w:rPr>
              <w:t>280</w:t>
            </w:r>
          </w:p>
        </w:tc>
      </w:tr>
      <w:tr>
        <w:tc>
          <w:tcPr>
            <w:tcW w:type="dxa" w:w="850"/>
            <w:shd w:val="clear" w:color="auto" w:fill="E8EEF5"/>
          </w:tcPr>
          <w:p>
            <w:pPr>
              <w:spacing w:after="20" w:before="20" w:line="240" w:lineRule="auto"/>
              <w:jc w:val="center"/>
            </w:pPr>
            <w:r>
              <w:rPr>
                <w:sz w:val="21"/>
              </w:rPr>
              <w:t>68.6</w:t>
            </w:r>
          </w:p>
        </w:tc>
        <w:tc>
          <w:tcPr>
            <w:tcW w:type="dxa" w:w="7540"/>
            <w:shd w:val="clear" w:color="auto" w:fill="E8EEF5"/>
          </w:tcPr>
          <w:p>
            <w:pPr>
              <w:spacing w:after="20" w:before="20" w:line="240" w:lineRule="auto"/>
              <w:jc w:val="left"/>
            </w:pPr>
            <w:r>
              <w:rPr>
                <w:sz w:val="21"/>
              </w:rPr>
              <w:t>Challenges and Solutions in Career Development</w:t>
            </w:r>
          </w:p>
        </w:tc>
        <w:tc>
          <w:tcPr>
            <w:tcW w:type="dxa" w:w="1020"/>
            <w:shd w:val="clear" w:color="auto" w:fill="E8EEF5"/>
          </w:tcPr>
          <w:p>
            <w:pPr>
              <w:spacing w:after="20" w:before="20" w:line="240" w:lineRule="auto"/>
              <w:jc w:val="center"/>
            </w:pPr>
            <w:r>
              <w:rPr>
                <w:sz w:val="21"/>
              </w:rPr>
              <w:t>281</w:t>
            </w:r>
          </w:p>
        </w:tc>
      </w:tr>
      <w:tr>
        <w:tc>
          <w:tcPr>
            <w:tcW w:type="dxa" w:w="850"/>
          </w:tcPr>
          <w:p>
            <w:pPr>
              <w:spacing w:after="20" w:before="20" w:line="240" w:lineRule="auto"/>
              <w:jc w:val="center"/>
            </w:pPr>
            <w:r>
              <w:rPr>
                <w:sz w:val="21"/>
              </w:rPr>
              <w:t>68.7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282</w:t>
            </w:r>
          </w:p>
        </w:tc>
      </w:tr>
      <w:tr>
        <w:tc>
          <w:tcPr>
            <w:tcW w:type="dxa" w:w="850"/>
            <w:shd w:val="clear" w:color="auto" w:fill="E8EEF5"/>
          </w:tcPr>
          <w:p>
            <w:pPr>
              <w:spacing w:after="20" w:before="20" w:line="240" w:lineRule="auto"/>
              <w:jc w:val="center"/>
            </w:pPr>
            <w:r>
              <w:rPr>
                <w:b/>
                <w:sz w:val="21"/>
              </w:rPr>
              <w:t>69</w:t>
            </w:r>
          </w:p>
        </w:tc>
        <w:tc>
          <w:tcPr>
            <w:tcW w:type="dxa" w:w="7540"/>
            <w:shd w:val="clear" w:color="auto" w:fill="E8EEF5"/>
          </w:tcPr>
          <w:p>
            <w:pPr>
              <w:spacing w:after="20" w:before="20" w:line="240" w:lineRule="auto"/>
              <w:jc w:val="left"/>
            </w:pPr>
            <w:r>
              <w:rPr>
                <w:b/>
                <w:sz w:val="21"/>
              </w:rPr>
              <w:t>Student Support and Progression (Scholarships and Financial Aid)</w:t>
            </w:r>
          </w:p>
        </w:tc>
        <w:tc>
          <w:tcPr>
            <w:tcW w:type="dxa" w:w="1020"/>
            <w:shd w:val="clear" w:color="auto" w:fill="E8EEF5"/>
          </w:tcPr>
          <w:p>
            <w:pPr>
              <w:spacing w:after="20" w:before="20" w:line="240" w:lineRule="auto"/>
              <w:jc w:val="center"/>
            </w:pPr>
            <w:r>
              <w:rPr>
                <w:b/>
                <w:sz w:val="21"/>
              </w:rPr>
              <w:t>283</w:t>
            </w:r>
          </w:p>
        </w:tc>
      </w:tr>
      <w:tr>
        <w:tc>
          <w:tcPr>
            <w:tcW w:type="dxa" w:w="850"/>
          </w:tcPr>
          <w:p>
            <w:pPr>
              <w:spacing w:after="20" w:before="20" w:line="240" w:lineRule="auto"/>
              <w:jc w:val="center"/>
            </w:pPr>
            <w:r>
              <w:rPr>
                <w:sz w:val="21"/>
              </w:rPr>
              <w:t>69.1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283</w:t>
            </w:r>
          </w:p>
        </w:tc>
      </w:tr>
      <w:tr>
        <w:tc>
          <w:tcPr>
            <w:tcW w:type="dxa" w:w="850"/>
            <w:shd w:val="clear" w:color="auto" w:fill="E8EEF5"/>
          </w:tcPr>
          <w:p>
            <w:pPr>
              <w:spacing w:after="20" w:before="20" w:line="240" w:lineRule="auto"/>
              <w:jc w:val="center"/>
            </w:pPr>
            <w:r>
              <w:rPr>
                <w:sz w:val="21"/>
              </w:rPr>
              <w:t>69.2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283</w:t>
            </w:r>
          </w:p>
        </w:tc>
      </w:tr>
      <w:tr>
        <w:tc>
          <w:tcPr>
            <w:tcW w:type="dxa" w:w="850"/>
          </w:tcPr>
          <w:p>
            <w:pPr>
              <w:spacing w:after="20" w:before="20" w:line="240" w:lineRule="auto"/>
              <w:jc w:val="center"/>
            </w:pPr>
            <w:r>
              <w:rPr>
                <w:sz w:val="21"/>
              </w:rPr>
              <w:t>69.3</w:t>
            </w:r>
          </w:p>
        </w:tc>
        <w:tc>
          <w:tcPr>
            <w:tcW w:type="dxa" w:w="7540"/>
          </w:tcPr>
          <w:p>
            <w:pPr>
              <w:spacing w:after="20" w:before="20" w:line="240" w:lineRule="auto"/>
              <w:jc w:val="left"/>
            </w:pPr>
            <w:r>
              <w:rPr>
                <w:sz w:val="21"/>
              </w:rPr>
              <w:t>Key Practices in Scholarships and Financial Aid</w:t>
            </w:r>
          </w:p>
        </w:tc>
        <w:tc>
          <w:tcPr>
            <w:tcW w:type="dxa" w:w="1020"/>
          </w:tcPr>
          <w:p>
            <w:pPr>
              <w:spacing w:after="20" w:before="20" w:line="240" w:lineRule="auto"/>
              <w:jc w:val="center"/>
            </w:pPr>
            <w:r>
              <w:rPr>
                <w:sz w:val="21"/>
              </w:rPr>
              <w:t>283</w:t>
            </w:r>
          </w:p>
        </w:tc>
      </w:tr>
      <w:tr>
        <w:tc>
          <w:tcPr>
            <w:tcW w:type="dxa" w:w="850"/>
            <w:shd w:val="clear" w:color="auto" w:fill="E8EEF5"/>
          </w:tcPr>
          <w:p>
            <w:pPr>
              <w:spacing w:after="20" w:before="20" w:line="240" w:lineRule="auto"/>
              <w:jc w:val="center"/>
            </w:pPr>
            <w:r>
              <w:rPr>
                <w:sz w:val="21"/>
              </w:rPr>
              <w:t>69.4</w:t>
            </w:r>
          </w:p>
        </w:tc>
        <w:tc>
          <w:tcPr>
            <w:tcW w:type="dxa" w:w="7540"/>
            <w:shd w:val="clear" w:color="auto" w:fill="E8EEF5"/>
          </w:tcPr>
          <w:p>
            <w:pPr>
              <w:spacing w:after="20" w:before="20" w:line="240" w:lineRule="auto"/>
              <w:jc w:val="left"/>
            </w:pPr>
            <w:r>
              <w:rPr>
                <w:sz w:val="21"/>
              </w:rPr>
              <w:t>Impact of Scholarships and Financial Aid</w:t>
            </w:r>
          </w:p>
        </w:tc>
        <w:tc>
          <w:tcPr>
            <w:tcW w:type="dxa" w:w="1020"/>
            <w:shd w:val="clear" w:color="auto" w:fill="E8EEF5"/>
          </w:tcPr>
          <w:p>
            <w:pPr>
              <w:spacing w:after="20" w:before="20" w:line="240" w:lineRule="auto"/>
              <w:jc w:val="center"/>
            </w:pPr>
            <w:r>
              <w:rPr>
                <w:sz w:val="21"/>
              </w:rPr>
              <w:t>285</w:t>
            </w:r>
          </w:p>
        </w:tc>
      </w:tr>
      <w:tr>
        <w:tc>
          <w:tcPr>
            <w:tcW w:type="dxa" w:w="850"/>
          </w:tcPr>
          <w:p>
            <w:pPr>
              <w:spacing w:after="20" w:before="20" w:line="240" w:lineRule="auto"/>
              <w:jc w:val="center"/>
            </w:pPr>
            <w:r>
              <w:rPr>
                <w:sz w:val="21"/>
              </w:rPr>
              <w:t>69.5</w:t>
            </w:r>
          </w:p>
        </w:tc>
        <w:tc>
          <w:tcPr>
            <w:tcW w:type="dxa" w:w="7540"/>
          </w:tcPr>
          <w:p>
            <w:pPr>
              <w:spacing w:after="20" w:before="20" w:line="240" w:lineRule="auto"/>
              <w:jc w:val="left"/>
            </w:pPr>
            <w:r>
              <w:rPr>
                <w:sz w:val="21"/>
              </w:rPr>
              <w:t>Outcomes of Scholarships and Financial Aid Programs</w:t>
            </w:r>
          </w:p>
        </w:tc>
        <w:tc>
          <w:tcPr>
            <w:tcW w:type="dxa" w:w="1020"/>
          </w:tcPr>
          <w:p>
            <w:pPr>
              <w:spacing w:after="20" w:before="20" w:line="240" w:lineRule="auto"/>
              <w:jc w:val="center"/>
            </w:pPr>
            <w:r>
              <w:rPr>
                <w:sz w:val="21"/>
              </w:rPr>
              <w:t>286</w:t>
            </w:r>
          </w:p>
        </w:tc>
      </w:tr>
      <w:tr>
        <w:tc>
          <w:tcPr>
            <w:tcW w:type="dxa" w:w="850"/>
            <w:shd w:val="clear" w:color="auto" w:fill="E8EEF5"/>
          </w:tcPr>
          <w:p>
            <w:pPr>
              <w:spacing w:after="20" w:before="20" w:line="240" w:lineRule="auto"/>
              <w:jc w:val="center"/>
            </w:pPr>
            <w:r>
              <w:rPr>
                <w:sz w:val="21"/>
              </w:rPr>
              <w:t>69.6</w:t>
            </w:r>
          </w:p>
        </w:tc>
        <w:tc>
          <w:tcPr>
            <w:tcW w:type="dxa" w:w="7540"/>
            <w:shd w:val="clear" w:color="auto" w:fill="E8EEF5"/>
          </w:tcPr>
          <w:p>
            <w:pPr>
              <w:spacing w:after="20" w:before="20" w:line="240" w:lineRule="auto"/>
              <w:jc w:val="left"/>
            </w:pPr>
            <w:r>
              <w:rPr>
                <w:sz w:val="21"/>
              </w:rPr>
              <w:t>Challenges and Solutions in Scholarships and Financial Aid</w:t>
            </w:r>
          </w:p>
        </w:tc>
        <w:tc>
          <w:tcPr>
            <w:tcW w:type="dxa" w:w="1020"/>
            <w:shd w:val="clear" w:color="auto" w:fill="E8EEF5"/>
          </w:tcPr>
          <w:p>
            <w:pPr>
              <w:spacing w:after="20" w:before="20" w:line="240" w:lineRule="auto"/>
              <w:jc w:val="center"/>
            </w:pPr>
            <w:r>
              <w:rPr>
                <w:sz w:val="21"/>
              </w:rPr>
              <w:t>287</w:t>
            </w:r>
          </w:p>
        </w:tc>
      </w:tr>
      <w:tr>
        <w:tc>
          <w:tcPr>
            <w:tcW w:type="dxa" w:w="850"/>
          </w:tcPr>
          <w:p>
            <w:pPr>
              <w:spacing w:after="20" w:before="20" w:line="240" w:lineRule="auto"/>
              <w:jc w:val="center"/>
            </w:pPr>
            <w:r>
              <w:rPr>
                <w:sz w:val="21"/>
              </w:rPr>
              <w:t>69.7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288</w:t>
            </w:r>
          </w:p>
        </w:tc>
      </w:tr>
      <w:tr>
        <w:tc>
          <w:tcPr>
            <w:tcW w:type="dxa" w:w="850"/>
            <w:shd w:val="clear" w:color="auto" w:fill="E8EEF5"/>
          </w:tcPr>
          <w:p>
            <w:pPr>
              <w:spacing w:after="20" w:before="20" w:line="240" w:lineRule="auto"/>
              <w:jc w:val="center"/>
            </w:pPr>
            <w:r>
              <w:rPr>
                <w:b/>
                <w:sz w:val="21"/>
              </w:rPr>
              <w:t>70</w:t>
            </w:r>
          </w:p>
        </w:tc>
        <w:tc>
          <w:tcPr>
            <w:tcW w:type="dxa" w:w="7540"/>
            <w:shd w:val="clear" w:color="auto" w:fill="E8EEF5"/>
          </w:tcPr>
          <w:p>
            <w:pPr>
              <w:spacing w:after="20" w:before="20" w:line="240" w:lineRule="auto"/>
              <w:jc w:val="left"/>
            </w:pPr>
            <w:r>
              <w:rPr>
                <w:b/>
                <w:sz w:val="21"/>
              </w:rPr>
              <w:t>Best Practices in Research, Consultancy, and Extension</w:t>
            </w:r>
          </w:p>
        </w:tc>
        <w:tc>
          <w:tcPr>
            <w:tcW w:type="dxa" w:w="1020"/>
            <w:shd w:val="clear" w:color="auto" w:fill="E8EEF5"/>
          </w:tcPr>
          <w:p>
            <w:pPr>
              <w:spacing w:after="20" w:before="20" w:line="240" w:lineRule="auto"/>
              <w:jc w:val="center"/>
            </w:pPr>
            <w:r>
              <w:rPr>
                <w:b/>
                <w:sz w:val="21"/>
              </w:rPr>
              <w:t>289</w:t>
            </w:r>
          </w:p>
        </w:tc>
      </w:tr>
      <w:tr>
        <w:tc>
          <w:tcPr>
            <w:tcW w:type="dxa" w:w="850"/>
          </w:tcPr>
          <w:p>
            <w:pPr>
              <w:spacing w:after="20" w:before="20" w:line="240" w:lineRule="auto"/>
              <w:jc w:val="center"/>
            </w:pPr>
            <w:r>
              <w:rPr>
                <w:sz w:val="21"/>
              </w:rPr>
              <w:t>70.1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289</w:t>
            </w:r>
          </w:p>
        </w:tc>
      </w:tr>
      <w:tr>
        <w:tc>
          <w:tcPr>
            <w:tcW w:type="dxa" w:w="850"/>
            <w:shd w:val="clear" w:color="auto" w:fill="E8EEF5"/>
          </w:tcPr>
          <w:p>
            <w:pPr>
              <w:spacing w:after="20" w:before="20" w:line="240" w:lineRule="auto"/>
              <w:jc w:val="center"/>
            </w:pPr>
            <w:r>
              <w:rPr>
                <w:sz w:val="21"/>
              </w:rPr>
              <w:t>70.2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289</w:t>
            </w:r>
          </w:p>
        </w:tc>
      </w:tr>
      <w:tr>
        <w:tc>
          <w:tcPr>
            <w:tcW w:type="dxa" w:w="850"/>
          </w:tcPr>
          <w:p>
            <w:pPr>
              <w:spacing w:after="20" w:before="20" w:line="240" w:lineRule="auto"/>
              <w:jc w:val="center"/>
            </w:pPr>
            <w:r>
              <w:rPr>
                <w:sz w:val="21"/>
              </w:rPr>
              <w:t>70.3</w:t>
            </w:r>
          </w:p>
        </w:tc>
        <w:tc>
          <w:tcPr>
            <w:tcW w:type="dxa" w:w="7540"/>
          </w:tcPr>
          <w:p>
            <w:pPr>
              <w:spacing w:after="20" w:before="20" w:line="240" w:lineRule="auto"/>
              <w:jc w:val="left"/>
            </w:pPr>
            <w:r>
              <w:rPr>
                <w:sz w:val="21"/>
              </w:rPr>
              <w:t>Key Components of Best Practices in Research, Consultancy, and Extension</w:t>
            </w:r>
          </w:p>
        </w:tc>
        <w:tc>
          <w:tcPr>
            <w:tcW w:type="dxa" w:w="1020"/>
          </w:tcPr>
          <w:p>
            <w:pPr>
              <w:spacing w:after="20" w:before="20" w:line="240" w:lineRule="auto"/>
              <w:jc w:val="center"/>
            </w:pPr>
            <w:r>
              <w:rPr>
                <w:sz w:val="21"/>
              </w:rPr>
              <w:t>289</w:t>
            </w:r>
          </w:p>
        </w:tc>
      </w:tr>
      <w:tr>
        <w:tc>
          <w:tcPr>
            <w:tcW w:type="dxa" w:w="850"/>
            <w:shd w:val="clear" w:color="auto" w:fill="E8EEF5"/>
          </w:tcPr>
          <w:p>
            <w:pPr>
              <w:spacing w:after="20" w:before="20" w:line="240" w:lineRule="auto"/>
              <w:jc w:val="center"/>
            </w:pPr>
            <w:r>
              <w:rPr>
                <w:sz w:val="21"/>
              </w:rPr>
              <w:t>70.4</w:t>
            </w:r>
          </w:p>
        </w:tc>
        <w:tc>
          <w:tcPr>
            <w:tcW w:type="dxa" w:w="7540"/>
            <w:shd w:val="clear" w:color="auto" w:fill="E8EEF5"/>
          </w:tcPr>
          <w:p>
            <w:pPr>
              <w:spacing w:after="20" w:before="20" w:line="240" w:lineRule="auto"/>
              <w:jc w:val="left"/>
            </w:pPr>
            <w:r>
              <w:rPr>
                <w:sz w:val="21"/>
              </w:rPr>
              <w:t>Benefits of Best Practices in Research, Consultancy, and Extension</w:t>
            </w:r>
          </w:p>
        </w:tc>
        <w:tc>
          <w:tcPr>
            <w:tcW w:type="dxa" w:w="1020"/>
            <w:shd w:val="clear" w:color="auto" w:fill="E8EEF5"/>
          </w:tcPr>
          <w:p>
            <w:pPr>
              <w:spacing w:after="20" w:before="20" w:line="240" w:lineRule="auto"/>
              <w:jc w:val="center"/>
            </w:pPr>
            <w:r>
              <w:rPr>
                <w:sz w:val="21"/>
              </w:rPr>
              <w:t>291</w:t>
            </w:r>
          </w:p>
        </w:tc>
      </w:tr>
      <w:tr>
        <w:tc>
          <w:tcPr>
            <w:tcW w:type="dxa" w:w="850"/>
          </w:tcPr>
          <w:p>
            <w:pPr>
              <w:spacing w:after="20" w:before="20" w:line="240" w:lineRule="auto"/>
              <w:jc w:val="center"/>
            </w:pPr>
            <w:r>
              <w:rPr>
                <w:sz w:val="21"/>
              </w:rPr>
              <w:t>70.5</w:t>
            </w:r>
          </w:p>
        </w:tc>
        <w:tc>
          <w:tcPr>
            <w:tcW w:type="dxa" w:w="7540"/>
          </w:tcPr>
          <w:p>
            <w:pPr>
              <w:spacing w:after="20" w:before="20" w:line="240" w:lineRule="auto"/>
              <w:jc w:val="left"/>
            </w:pPr>
            <w:r>
              <w:rPr>
                <w:sz w:val="21"/>
              </w:rPr>
              <w:t>Challenges and Solutions in Implementing Best Practices in Research, Consultancy, and Extension</w:t>
            </w:r>
          </w:p>
        </w:tc>
        <w:tc>
          <w:tcPr>
            <w:tcW w:type="dxa" w:w="1020"/>
          </w:tcPr>
          <w:p>
            <w:pPr>
              <w:spacing w:after="20" w:before="20" w:line="240" w:lineRule="auto"/>
              <w:jc w:val="center"/>
            </w:pPr>
            <w:r>
              <w:rPr>
                <w:sz w:val="21"/>
              </w:rPr>
              <w:t>291</w:t>
            </w:r>
          </w:p>
        </w:tc>
      </w:tr>
      <w:tr>
        <w:tc>
          <w:tcPr>
            <w:tcW w:type="dxa" w:w="850"/>
            <w:shd w:val="clear" w:color="auto" w:fill="E8EEF5"/>
          </w:tcPr>
          <w:p>
            <w:pPr>
              <w:spacing w:after="20" w:before="20" w:line="240" w:lineRule="auto"/>
              <w:jc w:val="center"/>
            </w:pPr>
            <w:r>
              <w:rPr>
                <w:sz w:val="21"/>
              </w:rPr>
              <w:t>70.6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292</w:t>
            </w:r>
          </w:p>
        </w:tc>
      </w:tr>
      <w:tr>
        <w:tc>
          <w:tcPr>
            <w:tcW w:type="dxa" w:w="850"/>
          </w:tcPr>
          <w:p>
            <w:pPr>
              <w:spacing w:after="20" w:before="20" w:line="240" w:lineRule="auto"/>
              <w:jc w:val="center"/>
            </w:pPr>
            <w:r>
              <w:rPr>
                <w:b/>
                <w:sz w:val="21"/>
              </w:rPr>
              <w:t>71</w:t>
            </w:r>
          </w:p>
        </w:tc>
        <w:tc>
          <w:tcPr>
            <w:tcW w:type="dxa" w:w="7540"/>
          </w:tcPr>
          <w:p>
            <w:pPr>
              <w:spacing w:after="20" w:before="20" w:line="240" w:lineRule="auto"/>
              <w:jc w:val="left"/>
            </w:pPr>
            <w:r>
              <w:rPr>
                <w:b/>
                <w:sz w:val="21"/>
              </w:rPr>
              <w:t>Developing Research Competencies in Teacher Trainees</w:t>
            </w:r>
          </w:p>
        </w:tc>
        <w:tc>
          <w:tcPr>
            <w:tcW w:type="dxa" w:w="1020"/>
          </w:tcPr>
          <w:p>
            <w:pPr>
              <w:spacing w:after="20" w:before="20" w:line="240" w:lineRule="auto"/>
              <w:jc w:val="center"/>
            </w:pPr>
            <w:r>
              <w:rPr>
                <w:b/>
                <w:sz w:val="21"/>
              </w:rPr>
              <w:t>293</w:t>
            </w:r>
          </w:p>
        </w:tc>
      </w:tr>
      <w:tr>
        <w:tc>
          <w:tcPr>
            <w:tcW w:type="dxa" w:w="850"/>
            <w:shd w:val="clear" w:color="auto" w:fill="E8EEF5"/>
          </w:tcPr>
          <w:p>
            <w:pPr>
              <w:spacing w:after="20" w:before="20" w:line="240" w:lineRule="auto"/>
              <w:jc w:val="center"/>
            </w:pPr>
            <w:r>
              <w:rPr>
                <w:sz w:val="21"/>
              </w:rPr>
              <w:t>71.1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293</w:t>
            </w:r>
          </w:p>
        </w:tc>
      </w:tr>
      <w:tr>
        <w:tc>
          <w:tcPr>
            <w:tcW w:type="dxa" w:w="850"/>
          </w:tcPr>
          <w:p>
            <w:pPr>
              <w:spacing w:after="20" w:before="20" w:line="240" w:lineRule="auto"/>
              <w:jc w:val="center"/>
            </w:pPr>
            <w:r>
              <w:rPr>
                <w:sz w:val="21"/>
              </w:rPr>
              <w:t>71.2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293</w:t>
            </w:r>
          </w:p>
        </w:tc>
      </w:tr>
      <w:tr>
        <w:tc>
          <w:tcPr>
            <w:tcW w:type="dxa" w:w="850"/>
            <w:shd w:val="clear" w:color="auto" w:fill="E8EEF5"/>
          </w:tcPr>
          <w:p>
            <w:pPr>
              <w:spacing w:after="20" w:before="20" w:line="240" w:lineRule="auto"/>
              <w:jc w:val="center"/>
            </w:pPr>
            <w:r>
              <w:rPr>
                <w:sz w:val="21"/>
              </w:rPr>
              <w:t>71.3</w:t>
            </w:r>
          </w:p>
        </w:tc>
        <w:tc>
          <w:tcPr>
            <w:tcW w:type="dxa" w:w="7540"/>
            <w:shd w:val="clear" w:color="auto" w:fill="E8EEF5"/>
          </w:tcPr>
          <w:p>
            <w:pPr>
              <w:spacing w:after="20" w:before="20" w:line="240" w:lineRule="auto"/>
              <w:jc w:val="left"/>
            </w:pPr>
            <w:r>
              <w:rPr>
                <w:sz w:val="21"/>
              </w:rPr>
              <w:t>Key Components of Developing Research Competencies in Teacher Trainees</w:t>
            </w:r>
          </w:p>
        </w:tc>
        <w:tc>
          <w:tcPr>
            <w:tcW w:type="dxa" w:w="1020"/>
            <w:shd w:val="clear" w:color="auto" w:fill="E8EEF5"/>
          </w:tcPr>
          <w:p>
            <w:pPr>
              <w:spacing w:after="20" w:before="20" w:line="240" w:lineRule="auto"/>
              <w:jc w:val="center"/>
            </w:pPr>
            <w:r>
              <w:rPr>
                <w:sz w:val="21"/>
              </w:rPr>
              <w:t>293</w:t>
            </w:r>
          </w:p>
        </w:tc>
      </w:tr>
      <w:tr>
        <w:tc>
          <w:tcPr>
            <w:tcW w:type="dxa" w:w="850"/>
          </w:tcPr>
          <w:p>
            <w:pPr>
              <w:spacing w:after="20" w:before="20" w:line="240" w:lineRule="auto"/>
              <w:jc w:val="center"/>
            </w:pPr>
            <w:r>
              <w:rPr>
                <w:sz w:val="21"/>
              </w:rPr>
              <w:t>71.4</w:t>
            </w:r>
          </w:p>
        </w:tc>
        <w:tc>
          <w:tcPr>
            <w:tcW w:type="dxa" w:w="7540"/>
          </w:tcPr>
          <w:p>
            <w:pPr>
              <w:spacing w:after="20" w:before="20" w:line="240" w:lineRule="auto"/>
              <w:jc w:val="left"/>
            </w:pPr>
            <w:r>
              <w:rPr>
                <w:sz w:val="21"/>
              </w:rPr>
              <w:t>Benefits of Developing Research Competencies in Teacher Trainees</w:t>
            </w:r>
          </w:p>
        </w:tc>
        <w:tc>
          <w:tcPr>
            <w:tcW w:type="dxa" w:w="1020"/>
          </w:tcPr>
          <w:p>
            <w:pPr>
              <w:spacing w:after="20" w:before="20" w:line="240" w:lineRule="auto"/>
              <w:jc w:val="center"/>
            </w:pPr>
            <w:r>
              <w:rPr>
                <w:sz w:val="21"/>
              </w:rPr>
              <w:t>295</w:t>
            </w:r>
          </w:p>
        </w:tc>
      </w:tr>
      <w:tr>
        <w:tc>
          <w:tcPr>
            <w:tcW w:type="dxa" w:w="850"/>
            <w:shd w:val="clear" w:color="auto" w:fill="E8EEF5"/>
          </w:tcPr>
          <w:p>
            <w:pPr>
              <w:spacing w:after="20" w:before="20" w:line="240" w:lineRule="auto"/>
              <w:jc w:val="center"/>
            </w:pPr>
            <w:r>
              <w:rPr>
                <w:sz w:val="21"/>
              </w:rPr>
              <w:t>71.5</w:t>
            </w:r>
          </w:p>
        </w:tc>
        <w:tc>
          <w:tcPr>
            <w:tcW w:type="dxa" w:w="7540"/>
            <w:shd w:val="clear" w:color="auto" w:fill="E8EEF5"/>
          </w:tcPr>
          <w:p>
            <w:pPr>
              <w:spacing w:after="20" w:before="20" w:line="240" w:lineRule="auto"/>
              <w:jc w:val="left"/>
            </w:pPr>
            <w:r>
              <w:rPr>
                <w:sz w:val="21"/>
              </w:rPr>
              <w:t>Challenges and Solutions in Developing Research Competencies</w:t>
            </w:r>
          </w:p>
        </w:tc>
        <w:tc>
          <w:tcPr>
            <w:tcW w:type="dxa" w:w="1020"/>
            <w:shd w:val="clear" w:color="auto" w:fill="E8EEF5"/>
          </w:tcPr>
          <w:p>
            <w:pPr>
              <w:spacing w:after="20" w:before="20" w:line="240" w:lineRule="auto"/>
              <w:jc w:val="center"/>
            </w:pPr>
            <w:r>
              <w:rPr>
                <w:sz w:val="21"/>
              </w:rPr>
              <w:t>295</w:t>
            </w:r>
          </w:p>
        </w:tc>
      </w:tr>
      <w:tr>
        <w:tc>
          <w:tcPr>
            <w:tcW w:type="dxa" w:w="850"/>
          </w:tcPr>
          <w:p>
            <w:pPr>
              <w:spacing w:after="20" w:before="20" w:line="240" w:lineRule="auto"/>
              <w:jc w:val="center"/>
            </w:pPr>
            <w:r>
              <w:rPr>
                <w:sz w:val="21"/>
              </w:rPr>
              <w:t>71.6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296</w:t>
            </w:r>
          </w:p>
        </w:tc>
      </w:tr>
      <w:tr>
        <w:tc>
          <w:tcPr>
            <w:tcW w:type="dxa" w:w="850"/>
            <w:shd w:val="clear" w:color="auto" w:fill="E8EEF5"/>
          </w:tcPr>
          <w:p>
            <w:pPr>
              <w:spacing w:after="20" w:before="20" w:line="240" w:lineRule="auto"/>
              <w:jc w:val="center"/>
            </w:pPr>
            <w:r>
              <w:rPr>
                <w:b/>
                <w:sz w:val="21"/>
              </w:rPr>
              <w:t>72</w:t>
            </w:r>
          </w:p>
        </w:tc>
        <w:tc>
          <w:tcPr>
            <w:tcW w:type="dxa" w:w="7540"/>
            <w:shd w:val="clear" w:color="auto" w:fill="E8EEF5"/>
          </w:tcPr>
          <w:p>
            <w:pPr>
              <w:spacing w:after="20" w:before="20" w:line="240" w:lineRule="auto"/>
              <w:jc w:val="left"/>
            </w:pPr>
            <w:r>
              <w:rPr>
                <w:b/>
                <w:sz w:val="21"/>
              </w:rPr>
              <w:t>Creation of Better Research Ambience</w:t>
            </w:r>
          </w:p>
        </w:tc>
        <w:tc>
          <w:tcPr>
            <w:tcW w:type="dxa" w:w="1020"/>
            <w:shd w:val="clear" w:color="auto" w:fill="E8EEF5"/>
          </w:tcPr>
          <w:p>
            <w:pPr>
              <w:spacing w:after="20" w:before="20" w:line="240" w:lineRule="auto"/>
              <w:jc w:val="center"/>
            </w:pPr>
            <w:r>
              <w:rPr>
                <w:b/>
                <w:sz w:val="21"/>
              </w:rPr>
              <w:t>297</w:t>
            </w:r>
          </w:p>
        </w:tc>
      </w:tr>
      <w:tr>
        <w:tc>
          <w:tcPr>
            <w:tcW w:type="dxa" w:w="850"/>
          </w:tcPr>
          <w:p>
            <w:pPr>
              <w:spacing w:after="20" w:before="20" w:line="240" w:lineRule="auto"/>
              <w:jc w:val="center"/>
            </w:pPr>
            <w:r>
              <w:rPr>
                <w:sz w:val="21"/>
              </w:rPr>
              <w:t>72.1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297</w:t>
            </w:r>
          </w:p>
        </w:tc>
      </w:tr>
      <w:tr>
        <w:tc>
          <w:tcPr>
            <w:tcW w:type="dxa" w:w="850"/>
            <w:shd w:val="clear" w:color="auto" w:fill="E8EEF5"/>
          </w:tcPr>
          <w:p>
            <w:pPr>
              <w:spacing w:after="20" w:before="20" w:line="240" w:lineRule="auto"/>
              <w:jc w:val="center"/>
            </w:pPr>
            <w:r>
              <w:rPr>
                <w:sz w:val="21"/>
              </w:rPr>
              <w:t>72.2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297</w:t>
            </w:r>
          </w:p>
        </w:tc>
      </w:tr>
      <w:tr>
        <w:tc>
          <w:tcPr>
            <w:tcW w:type="dxa" w:w="850"/>
          </w:tcPr>
          <w:p>
            <w:pPr>
              <w:spacing w:after="20" w:before="20" w:line="240" w:lineRule="auto"/>
              <w:jc w:val="center"/>
            </w:pPr>
            <w:r>
              <w:rPr>
                <w:sz w:val="21"/>
              </w:rPr>
              <w:t>72.3</w:t>
            </w:r>
          </w:p>
        </w:tc>
        <w:tc>
          <w:tcPr>
            <w:tcW w:type="dxa" w:w="7540"/>
          </w:tcPr>
          <w:p>
            <w:pPr>
              <w:spacing w:after="20" w:before="20" w:line="240" w:lineRule="auto"/>
              <w:jc w:val="left"/>
            </w:pPr>
            <w:r>
              <w:rPr>
                <w:sz w:val="21"/>
              </w:rPr>
              <w:t>Key Components of a Better Research Ambience</w:t>
            </w:r>
          </w:p>
        </w:tc>
        <w:tc>
          <w:tcPr>
            <w:tcW w:type="dxa" w:w="1020"/>
          </w:tcPr>
          <w:p>
            <w:pPr>
              <w:spacing w:after="20" w:before="20" w:line="240" w:lineRule="auto"/>
              <w:jc w:val="center"/>
            </w:pPr>
            <w:r>
              <w:rPr>
                <w:sz w:val="21"/>
              </w:rPr>
              <w:t>297</w:t>
            </w:r>
          </w:p>
        </w:tc>
      </w:tr>
      <w:tr>
        <w:tc>
          <w:tcPr>
            <w:tcW w:type="dxa" w:w="850"/>
            <w:shd w:val="clear" w:color="auto" w:fill="E8EEF5"/>
          </w:tcPr>
          <w:p>
            <w:pPr>
              <w:spacing w:after="20" w:before="20" w:line="240" w:lineRule="auto"/>
              <w:jc w:val="center"/>
            </w:pPr>
            <w:r>
              <w:rPr>
                <w:sz w:val="21"/>
              </w:rPr>
              <w:t>72.4</w:t>
            </w:r>
          </w:p>
        </w:tc>
        <w:tc>
          <w:tcPr>
            <w:tcW w:type="dxa" w:w="7540"/>
            <w:shd w:val="clear" w:color="auto" w:fill="E8EEF5"/>
          </w:tcPr>
          <w:p>
            <w:pPr>
              <w:spacing w:after="20" w:before="20" w:line="240" w:lineRule="auto"/>
              <w:jc w:val="left"/>
            </w:pPr>
            <w:r>
              <w:rPr>
                <w:sz w:val="21"/>
              </w:rPr>
              <w:t>Benefits of Creating a Better Research Ambience</w:t>
            </w:r>
          </w:p>
        </w:tc>
        <w:tc>
          <w:tcPr>
            <w:tcW w:type="dxa" w:w="1020"/>
            <w:shd w:val="clear" w:color="auto" w:fill="E8EEF5"/>
          </w:tcPr>
          <w:p>
            <w:pPr>
              <w:spacing w:after="20" w:before="20" w:line="240" w:lineRule="auto"/>
              <w:jc w:val="center"/>
            </w:pPr>
            <w:r>
              <w:rPr>
                <w:sz w:val="21"/>
              </w:rPr>
              <w:t>299</w:t>
            </w:r>
          </w:p>
        </w:tc>
      </w:tr>
      <w:tr>
        <w:tc>
          <w:tcPr>
            <w:tcW w:type="dxa" w:w="850"/>
          </w:tcPr>
          <w:p>
            <w:pPr>
              <w:spacing w:after="20" w:before="20" w:line="240" w:lineRule="auto"/>
              <w:jc w:val="center"/>
            </w:pPr>
            <w:r>
              <w:rPr>
                <w:sz w:val="21"/>
              </w:rPr>
              <w:t>72.5</w:t>
            </w:r>
          </w:p>
        </w:tc>
        <w:tc>
          <w:tcPr>
            <w:tcW w:type="dxa" w:w="7540"/>
          </w:tcPr>
          <w:p>
            <w:pPr>
              <w:spacing w:after="20" w:before="20" w:line="240" w:lineRule="auto"/>
              <w:jc w:val="left"/>
            </w:pPr>
            <w:r>
              <w:rPr>
                <w:sz w:val="21"/>
              </w:rPr>
              <w:t>Challenges and Solutions in Creating a Better Research Ambience</w:t>
            </w:r>
          </w:p>
        </w:tc>
        <w:tc>
          <w:tcPr>
            <w:tcW w:type="dxa" w:w="1020"/>
          </w:tcPr>
          <w:p>
            <w:pPr>
              <w:spacing w:after="20" w:before="20" w:line="240" w:lineRule="auto"/>
              <w:jc w:val="center"/>
            </w:pPr>
            <w:r>
              <w:rPr>
                <w:sz w:val="21"/>
              </w:rPr>
              <w:t>299</w:t>
            </w:r>
          </w:p>
        </w:tc>
      </w:tr>
      <w:tr>
        <w:tc>
          <w:tcPr>
            <w:tcW w:type="dxa" w:w="850"/>
            <w:shd w:val="clear" w:color="auto" w:fill="E8EEF5"/>
          </w:tcPr>
          <w:p>
            <w:pPr>
              <w:spacing w:after="20" w:before="20" w:line="240" w:lineRule="auto"/>
              <w:jc w:val="center"/>
            </w:pPr>
            <w:r>
              <w:rPr>
                <w:sz w:val="21"/>
              </w:rPr>
              <w:t>72.6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300</w:t>
            </w:r>
          </w:p>
        </w:tc>
      </w:tr>
      <w:tr>
        <w:tc>
          <w:tcPr>
            <w:tcW w:type="dxa" w:w="850"/>
          </w:tcPr>
          <w:p>
            <w:pPr>
              <w:spacing w:after="20" w:before="20" w:line="240" w:lineRule="auto"/>
              <w:jc w:val="center"/>
            </w:pPr>
            <w:r>
              <w:rPr>
                <w:b/>
                <w:sz w:val="21"/>
              </w:rPr>
              <w:t>73</w:t>
            </w:r>
          </w:p>
        </w:tc>
        <w:tc>
          <w:tcPr>
            <w:tcW w:type="dxa" w:w="7540"/>
          </w:tcPr>
          <w:p>
            <w:pPr>
              <w:spacing w:after="20" w:before="20" w:line="240" w:lineRule="auto"/>
              <w:jc w:val="left"/>
            </w:pPr>
            <w:r>
              <w:rPr>
                <w:b/>
                <w:sz w:val="21"/>
              </w:rPr>
              <w:t>Research Incentives for Faculty</w:t>
            </w:r>
          </w:p>
        </w:tc>
        <w:tc>
          <w:tcPr>
            <w:tcW w:type="dxa" w:w="1020"/>
          </w:tcPr>
          <w:p>
            <w:pPr>
              <w:spacing w:after="20" w:before="20" w:line="240" w:lineRule="auto"/>
              <w:jc w:val="center"/>
            </w:pPr>
            <w:r>
              <w:rPr>
                <w:b/>
                <w:sz w:val="21"/>
              </w:rPr>
              <w:t>301</w:t>
            </w:r>
          </w:p>
        </w:tc>
      </w:tr>
      <w:tr>
        <w:tc>
          <w:tcPr>
            <w:tcW w:type="dxa" w:w="850"/>
            <w:shd w:val="clear" w:color="auto" w:fill="E8EEF5"/>
          </w:tcPr>
          <w:p>
            <w:pPr>
              <w:spacing w:after="20" w:before="20" w:line="240" w:lineRule="auto"/>
              <w:jc w:val="center"/>
            </w:pPr>
            <w:r>
              <w:rPr>
                <w:sz w:val="21"/>
              </w:rPr>
              <w:t>73.1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301</w:t>
            </w:r>
          </w:p>
        </w:tc>
      </w:tr>
      <w:tr>
        <w:tc>
          <w:tcPr>
            <w:tcW w:type="dxa" w:w="850"/>
          </w:tcPr>
          <w:p>
            <w:pPr>
              <w:spacing w:after="20" w:before="20" w:line="240" w:lineRule="auto"/>
              <w:jc w:val="center"/>
            </w:pPr>
            <w:r>
              <w:rPr>
                <w:sz w:val="21"/>
              </w:rPr>
              <w:t>73.2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301</w:t>
            </w:r>
          </w:p>
        </w:tc>
      </w:tr>
      <w:tr>
        <w:tc>
          <w:tcPr>
            <w:tcW w:type="dxa" w:w="850"/>
            <w:shd w:val="clear" w:color="auto" w:fill="E8EEF5"/>
          </w:tcPr>
          <w:p>
            <w:pPr>
              <w:spacing w:after="20" w:before="20" w:line="240" w:lineRule="auto"/>
              <w:jc w:val="center"/>
            </w:pPr>
            <w:r>
              <w:rPr>
                <w:sz w:val="21"/>
              </w:rPr>
              <w:t>73.3</w:t>
            </w:r>
          </w:p>
        </w:tc>
        <w:tc>
          <w:tcPr>
            <w:tcW w:type="dxa" w:w="7540"/>
            <w:shd w:val="clear" w:color="auto" w:fill="E8EEF5"/>
          </w:tcPr>
          <w:p>
            <w:pPr>
              <w:spacing w:after="20" w:before="20" w:line="240" w:lineRule="auto"/>
              <w:jc w:val="left"/>
            </w:pPr>
            <w:r>
              <w:rPr>
                <w:sz w:val="21"/>
              </w:rPr>
              <w:t>Key Components of Research Incentives for Faculty</w:t>
            </w:r>
          </w:p>
        </w:tc>
        <w:tc>
          <w:tcPr>
            <w:tcW w:type="dxa" w:w="1020"/>
            <w:shd w:val="clear" w:color="auto" w:fill="E8EEF5"/>
          </w:tcPr>
          <w:p>
            <w:pPr>
              <w:spacing w:after="20" w:before="20" w:line="240" w:lineRule="auto"/>
              <w:jc w:val="center"/>
            </w:pPr>
            <w:r>
              <w:rPr>
                <w:sz w:val="21"/>
              </w:rPr>
              <w:t>301</w:t>
            </w:r>
          </w:p>
        </w:tc>
      </w:tr>
      <w:tr>
        <w:tc>
          <w:tcPr>
            <w:tcW w:type="dxa" w:w="850"/>
          </w:tcPr>
          <w:p>
            <w:pPr>
              <w:spacing w:after="20" w:before="20" w:line="240" w:lineRule="auto"/>
              <w:jc w:val="center"/>
            </w:pPr>
            <w:r>
              <w:rPr>
                <w:sz w:val="21"/>
              </w:rPr>
              <w:t>73.4</w:t>
            </w:r>
          </w:p>
        </w:tc>
        <w:tc>
          <w:tcPr>
            <w:tcW w:type="dxa" w:w="7540"/>
          </w:tcPr>
          <w:p>
            <w:pPr>
              <w:spacing w:after="20" w:before="20" w:line="240" w:lineRule="auto"/>
              <w:jc w:val="left"/>
            </w:pPr>
            <w:r>
              <w:rPr>
                <w:sz w:val="21"/>
              </w:rPr>
              <w:t>Benefits of Research Incentives for Faculty</w:t>
            </w:r>
          </w:p>
        </w:tc>
        <w:tc>
          <w:tcPr>
            <w:tcW w:type="dxa" w:w="1020"/>
          </w:tcPr>
          <w:p>
            <w:pPr>
              <w:spacing w:after="20" w:before="20" w:line="240" w:lineRule="auto"/>
              <w:jc w:val="center"/>
            </w:pPr>
            <w:r>
              <w:rPr>
                <w:sz w:val="21"/>
              </w:rPr>
              <w:t>303</w:t>
            </w:r>
          </w:p>
        </w:tc>
      </w:tr>
      <w:tr>
        <w:tc>
          <w:tcPr>
            <w:tcW w:type="dxa" w:w="850"/>
            <w:shd w:val="clear" w:color="auto" w:fill="E8EEF5"/>
          </w:tcPr>
          <w:p>
            <w:pPr>
              <w:spacing w:after="20" w:before="20" w:line="240" w:lineRule="auto"/>
              <w:jc w:val="center"/>
            </w:pPr>
            <w:r>
              <w:rPr>
                <w:sz w:val="21"/>
              </w:rPr>
              <w:t>73.5</w:t>
            </w:r>
          </w:p>
        </w:tc>
        <w:tc>
          <w:tcPr>
            <w:tcW w:type="dxa" w:w="7540"/>
            <w:shd w:val="clear" w:color="auto" w:fill="E8EEF5"/>
          </w:tcPr>
          <w:p>
            <w:pPr>
              <w:spacing w:after="20" w:before="20" w:line="240" w:lineRule="auto"/>
              <w:jc w:val="left"/>
            </w:pPr>
            <w:r>
              <w:rPr>
                <w:sz w:val="21"/>
              </w:rPr>
              <w:t>Challenges and Solutions in Providing Research Incentives</w:t>
            </w:r>
          </w:p>
        </w:tc>
        <w:tc>
          <w:tcPr>
            <w:tcW w:type="dxa" w:w="1020"/>
            <w:shd w:val="clear" w:color="auto" w:fill="E8EEF5"/>
          </w:tcPr>
          <w:p>
            <w:pPr>
              <w:spacing w:after="20" w:before="20" w:line="240" w:lineRule="auto"/>
              <w:jc w:val="center"/>
            </w:pPr>
            <w:r>
              <w:rPr>
                <w:sz w:val="21"/>
              </w:rPr>
              <w:t>304</w:t>
            </w:r>
          </w:p>
        </w:tc>
      </w:tr>
      <w:tr>
        <w:tc>
          <w:tcPr>
            <w:tcW w:type="dxa" w:w="850"/>
          </w:tcPr>
          <w:p>
            <w:pPr>
              <w:spacing w:after="20" w:before="20" w:line="240" w:lineRule="auto"/>
              <w:jc w:val="center"/>
            </w:pPr>
            <w:r>
              <w:rPr>
                <w:sz w:val="21"/>
              </w:rPr>
              <w:t>73.6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304</w:t>
            </w:r>
          </w:p>
        </w:tc>
      </w:tr>
      <w:tr>
        <w:tc>
          <w:tcPr>
            <w:tcW w:type="dxa" w:w="850"/>
            <w:shd w:val="clear" w:color="auto" w:fill="E8EEF5"/>
          </w:tcPr>
          <w:p>
            <w:pPr>
              <w:spacing w:after="20" w:before="20" w:line="240" w:lineRule="auto"/>
              <w:jc w:val="center"/>
            </w:pPr>
            <w:r>
              <w:rPr>
                <w:b/>
                <w:sz w:val="21"/>
              </w:rPr>
              <w:t>74</w:t>
            </w:r>
          </w:p>
        </w:tc>
        <w:tc>
          <w:tcPr>
            <w:tcW w:type="dxa" w:w="7540"/>
            <w:shd w:val="clear" w:color="auto" w:fill="E8EEF5"/>
          </w:tcPr>
          <w:p>
            <w:pPr>
              <w:spacing w:after="20" w:before="20" w:line="240" w:lineRule="auto"/>
              <w:jc w:val="left"/>
            </w:pPr>
            <w:r>
              <w:rPr>
                <w:b/>
                <w:sz w:val="21"/>
              </w:rPr>
              <w:t>Creation of Research Culture among Undergraduate Students</w:t>
            </w:r>
          </w:p>
        </w:tc>
        <w:tc>
          <w:tcPr>
            <w:tcW w:type="dxa" w:w="1020"/>
            <w:shd w:val="clear" w:color="auto" w:fill="E8EEF5"/>
          </w:tcPr>
          <w:p>
            <w:pPr>
              <w:spacing w:after="20" w:before="20" w:line="240" w:lineRule="auto"/>
              <w:jc w:val="center"/>
            </w:pPr>
            <w:r>
              <w:rPr>
                <w:b/>
                <w:sz w:val="21"/>
              </w:rPr>
              <w:t>305</w:t>
            </w:r>
          </w:p>
        </w:tc>
      </w:tr>
      <w:tr>
        <w:tc>
          <w:tcPr>
            <w:tcW w:type="dxa" w:w="850"/>
          </w:tcPr>
          <w:p>
            <w:pPr>
              <w:spacing w:after="20" w:before="20" w:line="240" w:lineRule="auto"/>
              <w:jc w:val="center"/>
            </w:pPr>
            <w:r>
              <w:rPr>
                <w:sz w:val="21"/>
              </w:rPr>
              <w:t>74.1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305</w:t>
            </w:r>
          </w:p>
        </w:tc>
      </w:tr>
      <w:tr>
        <w:tc>
          <w:tcPr>
            <w:tcW w:type="dxa" w:w="850"/>
            <w:shd w:val="clear" w:color="auto" w:fill="E8EEF5"/>
          </w:tcPr>
          <w:p>
            <w:pPr>
              <w:spacing w:after="20" w:before="20" w:line="240" w:lineRule="auto"/>
              <w:jc w:val="center"/>
            </w:pPr>
            <w:r>
              <w:rPr>
                <w:sz w:val="21"/>
              </w:rPr>
              <w:t>74.2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305</w:t>
            </w:r>
          </w:p>
        </w:tc>
      </w:tr>
      <w:tr>
        <w:tc>
          <w:tcPr>
            <w:tcW w:type="dxa" w:w="850"/>
          </w:tcPr>
          <w:p>
            <w:pPr>
              <w:spacing w:after="20" w:before="20" w:line="240" w:lineRule="auto"/>
              <w:jc w:val="center"/>
            </w:pPr>
            <w:r>
              <w:rPr>
                <w:sz w:val="21"/>
              </w:rPr>
              <w:t>74.3</w:t>
            </w:r>
          </w:p>
        </w:tc>
        <w:tc>
          <w:tcPr>
            <w:tcW w:type="dxa" w:w="7540"/>
          </w:tcPr>
          <w:p>
            <w:pPr>
              <w:spacing w:after="20" w:before="20" w:line="240" w:lineRule="auto"/>
              <w:jc w:val="left"/>
            </w:pPr>
            <w:r>
              <w:rPr>
                <w:sz w:val="21"/>
              </w:rPr>
              <w:t>Key Components of Creating a Research Culture Among Undergraduate Students</w:t>
            </w:r>
          </w:p>
        </w:tc>
        <w:tc>
          <w:tcPr>
            <w:tcW w:type="dxa" w:w="1020"/>
          </w:tcPr>
          <w:p>
            <w:pPr>
              <w:spacing w:after="20" w:before="20" w:line="240" w:lineRule="auto"/>
              <w:jc w:val="center"/>
            </w:pPr>
            <w:r>
              <w:rPr>
                <w:sz w:val="21"/>
              </w:rPr>
              <w:t>305</w:t>
            </w:r>
          </w:p>
        </w:tc>
      </w:tr>
      <w:tr>
        <w:tc>
          <w:tcPr>
            <w:tcW w:type="dxa" w:w="850"/>
            <w:shd w:val="clear" w:color="auto" w:fill="E8EEF5"/>
          </w:tcPr>
          <w:p>
            <w:pPr>
              <w:spacing w:after="20" w:before="20" w:line="240" w:lineRule="auto"/>
              <w:jc w:val="center"/>
            </w:pPr>
            <w:r>
              <w:rPr>
                <w:sz w:val="21"/>
              </w:rPr>
              <w:t>74.4</w:t>
            </w:r>
          </w:p>
        </w:tc>
        <w:tc>
          <w:tcPr>
            <w:tcW w:type="dxa" w:w="7540"/>
            <w:shd w:val="clear" w:color="auto" w:fill="E8EEF5"/>
          </w:tcPr>
          <w:p>
            <w:pPr>
              <w:spacing w:after="20" w:before="20" w:line="240" w:lineRule="auto"/>
              <w:jc w:val="left"/>
            </w:pPr>
            <w:r>
              <w:rPr>
                <w:sz w:val="21"/>
              </w:rPr>
              <w:t>Benefits of Developing a Research Culture Among Undergraduate Students</w:t>
            </w:r>
          </w:p>
        </w:tc>
        <w:tc>
          <w:tcPr>
            <w:tcW w:type="dxa" w:w="1020"/>
            <w:shd w:val="clear" w:color="auto" w:fill="E8EEF5"/>
          </w:tcPr>
          <w:p>
            <w:pPr>
              <w:spacing w:after="20" w:before="20" w:line="240" w:lineRule="auto"/>
              <w:jc w:val="center"/>
            </w:pPr>
            <w:r>
              <w:rPr>
                <w:sz w:val="21"/>
              </w:rPr>
              <w:t>307</w:t>
            </w:r>
          </w:p>
        </w:tc>
      </w:tr>
      <w:tr>
        <w:tc>
          <w:tcPr>
            <w:tcW w:type="dxa" w:w="850"/>
          </w:tcPr>
          <w:p>
            <w:pPr>
              <w:spacing w:after="20" w:before="20" w:line="240" w:lineRule="auto"/>
              <w:jc w:val="center"/>
            </w:pPr>
            <w:r>
              <w:rPr>
                <w:sz w:val="21"/>
              </w:rPr>
              <w:t>74.5</w:t>
            </w:r>
          </w:p>
        </w:tc>
        <w:tc>
          <w:tcPr>
            <w:tcW w:type="dxa" w:w="7540"/>
          </w:tcPr>
          <w:p>
            <w:pPr>
              <w:spacing w:after="20" w:before="20" w:line="240" w:lineRule="auto"/>
              <w:jc w:val="left"/>
            </w:pPr>
            <w:r>
              <w:rPr>
                <w:sz w:val="21"/>
              </w:rPr>
              <w:t>Challenges and Solutions in Developing a Research Culture Among Undergraduate Students</w:t>
            </w:r>
          </w:p>
        </w:tc>
        <w:tc>
          <w:tcPr>
            <w:tcW w:type="dxa" w:w="1020"/>
          </w:tcPr>
          <w:p>
            <w:pPr>
              <w:spacing w:after="20" w:before="20" w:line="240" w:lineRule="auto"/>
              <w:jc w:val="center"/>
            </w:pPr>
            <w:r>
              <w:rPr>
                <w:sz w:val="21"/>
              </w:rPr>
              <w:t>308</w:t>
            </w:r>
          </w:p>
        </w:tc>
      </w:tr>
      <w:tr>
        <w:tc>
          <w:tcPr>
            <w:tcW w:type="dxa" w:w="850"/>
            <w:shd w:val="clear" w:color="auto" w:fill="E8EEF5"/>
          </w:tcPr>
          <w:p>
            <w:pPr>
              <w:spacing w:after="20" w:before="20" w:line="240" w:lineRule="auto"/>
              <w:jc w:val="center"/>
            </w:pPr>
            <w:r>
              <w:rPr>
                <w:sz w:val="21"/>
              </w:rPr>
              <w:t>74.6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308</w:t>
            </w:r>
          </w:p>
        </w:tc>
      </w:tr>
      <w:tr>
        <w:tc>
          <w:tcPr>
            <w:tcW w:type="dxa" w:w="850"/>
          </w:tcPr>
          <w:p>
            <w:pPr>
              <w:spacing w:after="20" w:before="20" w:line="240" w:lineRule="auto"/>
              <w:jc w:val="center"/>
            </w:pPr>
            <w:r>
              <w:rPr>
                <w:b/>
                <w:sz w:val="21"/>
              </w:rPr>
              <w:t>75</w:t>
            </w:r>
          </w:p>
        </w:tc>
        <w:tc>
          <w:tcPr>
            <w:tcW w:type="dxa" w:w="7540"/>
          </w:tcPr>
          <w:p>
            <w:pPr>
              <w:spacing w:after="20" w:before="20" w:line="240" w:lineRule="auto"/>
              <w:jc w:val="left"/>
            </w:pPr>
            <w:r>
              <w:rPr>
                <w:b/>
                <w:sz w:val="21"/>
              </w:rPr>
              <w:t>University-Industry Interaction</w:t>
            </w:r>
          </w:p>
        </w:tc>
        <w:tc>
          <w:tcPr>
            <w:tcW w:type="dxa" w:w="1020"/>
          </w:tcPr>
          <w:p>
            <w:pPr>
              <w:spacing w:after="20" w:before="20" w:line="240" w:lineRule="auto"/>
              <w:jc w:val="center"/>
            </w:pPr>
            <w:r>
              <w:rPr>
                <w:b/>
                <w:sz w:val="21"/>
              </w:rPr>
              <w:t>309</w:t>
            </w:r>
          </w:p>
        </w:tc>
      </w:tr>
      <w:tr>
        <w:tc>
          <w:tcPr>
            <w:tcW w:type="dxa" w:w="850"/>
            <w:shd w:val="clear" w:color="auto" w:fill="E8EEF5"/>
          </w:tcPr>
          <w:p>
            <w:pPr>
              <w:spacing w:after="20" w:before="20" w:line="240" w:lineRule="auto"/>
              <w:jc w:val="center"/>
            </w:pPr>
            <w:r>
              <w:rPr>
                <w:sz w:val="21"/>
              </w:rPr>
              <w:t>75.1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309</w:t>
            </w:r>
          </w:p>
        </w:tc>
      </w:tr>
      <w:tr>
        <w:tc>
          <w:tcPr>
            <w:tcW w:type="dxa" w:w="850"/>
          </w:tcPr>
          <w:p>
            <w:pPr>
              <w:spacing w:after="20" w:before="20" w:line="240" w:lineRule="auto"/>
              <w:jc w:val="center"/>
            </w:pPr>
            <w:r>
              <w:rPr>
                <w:sz w:val="21"/>
              </w:rPr>
              <w:t>75.2</w:t>
            </w:r>
          </w:p>
        </w:tc>
        <w:tc>
          <w:tcPr>
            <w:tcW w:type="dxa" w:w="7540"/>
          </w:tcPr>
          <w:p>
            <w:pPr>
              <w:spacing w:after="20" w:before="20" w:line="240" w:lineRule="auto"/>
              <w:jc w:val="left"/>
            </w:pPr>
            <w:r>
              <w:rPr>
                <w:sz w:val="21"/>
              </w:rPr>
              <w:t>Objective</w:t>
            </w:r>
          </w:p>
        </w:tc>
        <w:tc>
          <w:tcPr>
            <w:tcW w:type="dxa" w:w="1020"/>
          </w:tcPr>
          <w:p>
            <w:pPr>
              <w:spacing w:after="20" w:before="20" w:line="240" w:lineRule="auto"/>
              <w:jc w:val="center"/>
            </w:pPr>
            <w:r>
              <w:rPr>
                <w:sz w:val="21"/>
              </w:rPr>
              <w:t>309</w:t>
            </w:r>
          </w:p>
        </w:tc>
      </w:tr>
      <w:tr>
        <w:tc>
          <w:tcPr>
            <w:tcW w:type="dxa" w:w="850"/>
            <w:shd w:val="clear" w:color="auto" w:fill="E8EEF5"/>
          </w:tcPr>
          <w:p>
            <w:pPr>
              <w:spacing w:after="20" w:before="20" w:line="240" w:lineRule="auto"/>
              <w:jc w:val="center"/>
            </w:pPr>
            <w:r>
              <w:rPr>
                <w:sz w:val="21"/>
              </w:rPr>
              <w:t>75.3</w:t>
            </w:r>
          </w:p>
        </w:tc>
        <w:tc>
          <w:tcPr>
            <w:tcW w:type="dxa" w:w="7540"/>
            <w:shd w:val="clear" w:color="auto" w:fill="E8EEF5"/>
          </w:tcPr>
          <w:p>
            <w:pPr>
              <w:spacing w:after="20" w:before="20" w:line="240" w:lineRule="auto"/>
              <w:jc w:val="left"/>
            </w:pPr>
            <w:r>
              <w:rPr>
                <w:sz w:val="21"/>
              </w:rPr>
              <w:t>Key Components of University-Industry Interaction</w:t>
            </w:r>
          </w:p>
        </w:tc>
        <w:tc>
          <w:tcPr>
            <w:tcW w:type="dxa" w:w="1020"/>
            <w:shd w:val="clear" w:color="auto" w:fill="E8EEF5"/>
          </w:tcPr>
          <w:p>
            <w:pPr>
              <w:spacing w:after="20" w:before="20" w:line="240" w:lineRule="auto"/>
              <w:jc w:val="center"/>
            </w:pPr>
            <w:r>
              <w:rPr>
                <w:sz w:val="21"/>
              </w:rPr>
              <w:t>309</w:t>
            </w:r>
          </w:p>
        </w:tc>
      </w:tr>
      <w:tr>
        <w:tc>
          <w:tcPr>
            <w:tcW w:type="dxa" w:w="850"/>
          </w:tcPr>
          <w:p>
            <w:pPr>
              <w:spacing w:after="20" w:before="20" w:line="240" w:lineRule="auto"/>
              <w:jc w:val="center"/>
            </w:pPr>
            <w:r>
              <w:rPr>
                <w:sz w:val="21"/>
              </w:rPr>
              <w:t>75.4</w:t>
            </w:r>
          </w:p>
        </w:tc>
        <w:tc>
          <w:tcPr>
            <w:tcW w:type="dxa" w:w="7540"/>
          </w:tcPr>
          <w:p>
            <w:pPr>
              <w:spacing w:after="20" w:before="20" w:line="240" w:lineRule="auto"/>
              <w:jc w:val="left"/>
            </w:pPr>
            <w:r>
              <w:rPr>
                <w:sz w:val="21"/>
              </w:rPr>
              <w:t>Benefits of University-Industry Interaction</w:t>
            </w:r>
          </w:p>
        </w:tc>
        <w:tc>
          <w:tcPr>
            <w:tcW w:type="dxa" w:w="1020"/>
          </w:tcPr>
          <w:p>
            <w:pPr>
              <w:spacing w:after="20" w:before="20" w:line="240" w:lineRule="auto"/>
              <w:jc w:val="center"/>
            </w:pPr>
            <w:r>
              <w:rPr>
                <w:sz w:val="21"/>
              </w:rPr>
              <w:t>311</w:t>
            </w:r>
          </w:p>
        </w:tc>
      </w:tr>
      <w:tr>
        <w:tc>
          <w:tcPr>
            <w:tcW w:type="dxa" w:w="850"/>
            <w:shd w:val="clear" w:color="auto" w:fill="E8EEF5"/>
          </w:tcPr>
          <w:p>
            <w:pPr>
              <w:spacing w:after="20" w:before="20" w:line="240" w:lineRule="auto"/>
              <w:jc w:val="center"/>
            </w:pPr>
            <w:r>
              <w:rPr>
                <w:sz w:val="21"/>
              </w:rPr>
              <w:t>75.5</w:t>
            </w:r>
          </w:p>
        </w:tc>
        <w:tc>
          <w:tcPr>
            <w:tcW w:type="dxa" w:w="7540"/>
            <w:shd w:val="clear" w:color="auto" w:fill="E8EEF5"/>
          </w:tcPr>
          <w:p>
            <w:pPr>
              <w:spacing w:after="20" w:before="20" w:line="240" w:lineRule="auto"/>
              <w:jc w:val="left"/>
            </w:pPr>
            <w:r>
              <w:rPr>
                <w:sz w:val="21"/>
              </w:rPr>
              <w:t>Challenges in University-Industry Interaction and Solutions</w:t>
            </w:r>
          </w:p>
        </w:tc>
        <w:tc>
          <w:tcPr>
            <w:tcW w:type="dxa" w:w="1020"/>
            <w:shd w:val="clear" w:color="auto" w:fill="E8EEF5"/>
          </w:tcPr>
          <w:p>
            <w:pPr>
              <w:spacing w:after="20" w:before="20" w:line="240" w:lineRule="auto"/>
              <w:jc w:val="center"/>
            </w:pPr>
            <w:r>
              <w:rPr>
                <w:sz w:val="21"/>
              </w:rPr>
              <w:t>312</w:t>
            </w:r>
          </w:p>
        </w:tc>
      </w:tr>
      <w:tr>
        <w:tc>
          <w:tcPr>
            <w:tcW w:type="dxa" w:w="850"/>
          </w:tcPr>
          <w:p>
            <w:pPr>
              <w:spacing w:after="20" w:before="20" w:line="240" w:lineRule="auto"/>
              <w:jc w:val="center"/>
            </w:pPr>
            <w:r>
              <w:rPr>
                <w:sz w:val="21"/>
              </w:rPr>
              <w:t>75.6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312</w:t>
            </w:r>
          </w:p>
        </w:tc>
      </w:tr>
      <w:tr>
        <w:tc>
          <w:tcPr>
            <w:tcW w:type="dxa" w:w="850"/>
            <w:shd w:val="clear" w:color="auto" w:fill="E8EEF5"/>
          </w:tcPr>
          <w:p>
            <w:pPr>
              <w:spacing w:after="20" w:before="20" w:line="240" w:lineRule="auto"/>
              <w:jc w:val="center"/>
            </w:pPr>
            <w:r>
              <w:rPr>
                <w:b/>
                <w:sz w:val="21"/>
              </w:rPr>
              <w:t>76</w:t>
            </w:r>
          </w:p>
        </w:tc>
        <w:tc>
          <w:tcPr>
            <w:tcW w:type="dxa" w:w="7540"/>
            <w:shd w:val="clear" w:color="auto" w:fill="E8EEF5"/>
          </w:tcPr>
          <w:p>
            <w:pPr>
              <w:spacing w:after="20" w:before="20" w:line="240" w:lineRule="auto"/>
              <w:jc w:val="left"/>
            </w:pPr>
            <w:r>
              <w:rPr>
                <w:b/>
                <w:sz w:val="21"/>
              </w:rPr>
              <w:t>Giving Best to the Least</w:t>
            </w:r>
          </w:p>
        </w:tc>
        <w:tc>
          <w:tcPr>
            <w:tcW w:type="dxa" w:w="1020"/>
            <w:shd w:val="clear" w:color="auto" w:fill="E8EEF5"/>
          </w:tcPr>
          <w:p>
            <w:pPr>
              <w:spacing w:after="20" w:before="20" w:line="240" w:lineRule="auto"/>
              <w:jc w:val="center"/>
            </w:pPr>
            <w:r>
              <w:rPr>
                <w:b/>
                <w:sz w:val="21"/>
              </w:rPr>
              <w:t>313</w:t>
            </w:r>
          </w:p>
        </w:tc>
      </w:tr>
      <w:tr>
        <w:tc>
          <w:tcPr>
            <w:tcW w:type="dxa" w:w="850"/>
          </w:tcPr>
          <w:p>
            <w:pPr>
              <w:spacing w:after="20" w:before="20" w:line="240" w:lineRule="auto"/>
              <w:jc w:val="center"/>
            </w:pPr>
            <w:r>
              <w:rPr>
                <w:sz w:val="21"/>
              </w:rPr>
              <w:t>76.1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313</w:t>
            </w:r>
          </w:p>
        </w:tc>
      </w:tr>
      <w:tr>
        <w:tc>
          <w:tcPr>
            <w:tcW w:type="dxa" w:w="850"/>
            <w:shd w:val="clear" w:color="auto" w:fill="E8EEF5"/>
          </w:tcPr>
          <w:p>
            <w:pPr>
              <w:spacing w:after="20" w:before="20" w:line="240" w:lineRule="auto"/>
              <w:jc w:val="center"/>
            </w:pPr>
            <w:r>
              <w:rPr>
                <w:sz w:val="21"/>
              </w:rPr>
              <w:t>76.2</w:t>
            </w:r>
          </w:p>
        </w:tc>
        <w:tc>
          <w:tcPr>
            <w:tcW w:type="dxa" w:w="7540"/>
            <w:shd w:val="clear" w:color="auto" w:fill="E8EEF5"/>
          </w:tcPr>
          <w:p>
            <w:pPr>
              <w:spacing w:after="20" w:before="20" w:line="240" w:lineRule="auto"/>
              <w:jc w:val="left"/>
            </w:pPr>
            <w:r>
              <w:rPr>
                <w:sz w:val="21"/>
              </w:rPr>
              <w:t>Objective</w:t>
            </w:r>
          </w:p>
        </w:tc>
        <w:tc>
          <w:tcPr>
            <w:tcW w:type="dxa" w:w="1020"/>
            <w:shd w:val="clear" w:color="auto" w:fill="E8EEF5"/>
          </w:tcPr>
          <w:p>
            <w:pPr>
              <w:spacing w:after="20" w:before="20" w:line="240" w:lineRule="auto"/>
              <w:jc w:val="center"/>
            </w:pPr>
            <w:r>
              <w:rPr>
                <w:sz w:val="21"/>
              </w:rPr>
              <w:t>313</w:t>
            </w:r>
          </w:p>
        </w:tc>
      </w:tr>
      <w:tr>
        <w:tc>
          <w:tcPr>
            <w:tcW w:type="dxa" w:w="850"/>
          </w:tcPr>
          <w:p>
            <w:pPr>
              <w:spacing w:after="20" w:before="20" w:line="240" w:lineRule="auto"/>
              <w:jc w:val="center"/>
            </w:pPr>
            <w:r>
              <w:rPr>
                <w:sz w:val="21"/>
              </w:rPr>
              <w:t>76.3</w:t>
            </w:r>
          </w:p>
        </w:tc>
        <w:tc>
          <w:tcPr>
            <w:tcW w:type="dxa" w:w="7540"/>
          </w:tcPr>
          <w:p>
            <w:pPr>
              <w:spacing w:after="20" w:before="20" w:line="240" w:lineRule="auto"/>
              <w:jc w:val="left"/>
            </w:pPr>
            <w:r>
              <w:rPr>
                <w:sz w:val="21"/>
              </w:rPr>
              <w:t>Key Components of "Giving Best to the Least"</w:t>
            </w:r>
          </w:p>
        </w:tc>
        <w:tc>
          <w:tcPr>
            <w:tcW w:type="dxa" w:w="1020"/>
          </w:tcPr>
          <w:p>
            <w:pPr>
              <w:spacing w:after="20" w:before="20" w:line="240" w:lineRule="auto"/>
              <w:jc w:val="center"/>
            </w:pPr>
            <w:r>
              <w:rPr>
                <w:sz w:val="21"/>
              </w:rPr>
              <w:t>313</w:t>
            </w:r>
          </w:p>
        </w:tc>
      </w:tr>
      <w:tr>
        <w:tc>
          <w:tcPr>
            <w:tcW w:type="dxa" w:w="850"/>
            <w:shd w:val="clear" w:color="auto" w:fill="E8EEF5"/>
          </w:tcPr>
          <w:p>
            <w:pPr>
              <w:spacing w:after="20" w:before="20" w:line="240" w:lineRule="auto"/>
              <w:jc w:val="center"/>
            </w:pPr>
            <w:r>
              <w:rPr>
                <w:sz w:val="21"/>
              </w:rPr>
              <w:t>76.4</w:t>
            </w:r>
          </w:p>
        </w:tc>
        <w:tc>
          <w:tcPr>
            <w:tcW w:type="dxa" w:w="7540"/>
            <w:shd w:val="clear" w:color="auto" w:fill="E8EEF5"/>
          </w:tcPr>
          <w:p>
            <w:pPr>
              <w:spacing w:after="20" w:before="20" w:line="240" w:lineRule="auto"/>
              <w:jc w:val="left"/>
            </w:pPr>
            <w:r>
              <w:rPr>
                <w:sz w:val="21"/>
              </w:rPr>
              <w:t>Benefits of "Giving Best to the Least"</w:t>
            </w:r>
          </w:p>
        </w:tc>
        <w:tc>
          <w:tcPr>
            <w:tcW w:type="dxa" w:w="1020"/>
            <w:shd w:val="clear" w:color="auto" w:fill="E8EEF5"/>
          </w:tcPr>
          <w:p>
            <w:pPr>
              <w:spacing w:after="20" w:before="20" w:line="240" w:lineRule="auto"/>
              <w:jc w:val="center"/>
            </w:pPr>
            <w:r>
              <w:rPr>
                <w:sz w:val="21"/>
              </w:rPr>
              <w:t>315</w:t>
            </w:r>
          </w:p>
        </w:tc>
      </w:tr>
      <w:tr>
        <w:tc>
          <w:tcPr>
            <w:tcW w:type="dxa" w:w="850"/>
          </w:tcPr>
          <w:p>
            <w:pPr>
              <w:spacing w:after="20" w:before="20" w:line="240" w:lineRule="auto"/>
              <w:jc w:val="center"/>
            </w:pPr>
            <w:r>
              <w:rPr>
                <w:sz w:val="21"/>
              </w:rPr>
              <w:t>76.5</w:t>
            </w:r>
          </w:p>
        </w:tc>
        <w:tc>
          <w:tcPr>
            <w:tcW w:type="dxa" w:w="7540"/>
          </w:tcPr>
          <w:p>
            <w:pPr>
              <w:spacing w:after="20" w:before="20" w:line="240" w:lineRule="auto"/>
              <w:jc w:val="left"/>
            </w:pPr>
            <w:r>
              <w:rPr>
                <w:sz w:val="21"/>
              </w:rPr>
              <w:t>Challenges and Solutions</w:t>
            </w:r>
          </w:p>
        </w:tc>
        <w:tc>
          <w:tcPr>
            <w:tcW w:type="dxa" w:w="1020"/>
          </w:tcPr>
          <w:p>
            <w:pPr>
              <w:spacing w:after="20" w:before="20" w:line="240" w:lineRule="auto"/>
              <w:jc w:val="center"/>
            </w:pPr>
            <w:r>
              <w:rPr>
                <w:sz w:val="21"/>
              </w:rPr>
              <w:t>316</w:t>
            </w:r>
          </w:p>
        </w:tc>
      </w:tr>
      <w:tr>
        <w:tc>
          <w:tcPr>
            <w:tcW w:type="dxa" w:w="850"/>
            <w:shd w:val="clear" w:color="auto" w:fill="E8EEF5"/>
          </w:tcPr>
          <w:p>
            <w:pPr>
              <w:spacing w:after="20" w:before="20" w:line="240" w:lineRule="auto"/>
              <w:jc w:val="center"/>
            </w:pPr>
            <w:r>
              <w:rPr>
                <w:sz w:val="21"/>
              </w:rPr>
              <w:t>76.6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316</w:t>
            </w:r>
          </w:p>
        </w:tc>
      </w:tr>
      <w:tr>
        <w:tc>
          <w:tcPr>
            <w:tcW w:type="dxa" w:w="850"/>
          </w:tcPr>
          <w:p>
            <w:pPr>
              <w:spacing w:after="20" w:before="20" w:line="240" w:lineRule="auto"/>
              <w:jc w:val="center"/>
            </w:pPr>
            <w:r>
              <w:rPr>
                <w:b/>
                <w:sz w:val="21"/>
              </w:rPr>
              <w:t>77</w:t>
            </w:r>
          </w:p>
        </w:tc>
        <w:tc>
          <w:tcPr>
            <w:tcW w:type="dxa" w:w="7540"/>
          </w:tcPr>
          <w:p>
            <w:pPr>
              <w:spacing w:after="20" w:before="20" w:line="240" w:lineRule="auto"/>
              <w:jc w:val="left"/>
            </w:pPr>
            <w:r>
              <w:rPr>
                <w:b/>
                <w:sz w:val="21"/>
              </w:rPr>
              <w:t>Research, Innovations, and Extensions (Community Engagement)</w:t>
            </w:r>
          </w:p>
        </w:tc>
        <w:tc>
          <w:tcPr>
            <w:tcW w:type="dxa" w:w="1020"/>
          </w:tcPr>
          <w:p>
            <w:pPr>
              <w:spacing w:after="20" w:before="20" w:line="240" w:lineRule="auto"/>
              <w:jc w:val="center"/>
            </w:pPr>
            <w:r>
              <w:rPr>
                <w:b/>
                <w:sz w:val="21"/>
              </w:rPr>
              <w:t>317</w:t>
            </w:r>
          </w:p>
        </w:tc>
      </w:tr>
      <w:tr>
        <w:tc>
          <w:tcPr>
            <w:tcW w:type="dxa" w:w="850"/>
            <w:shd w:val="clear" w:color="auto" w:fill="E8EEF5"/>
          </w:tcPr>
          <w:p>
            <w:pPr>
              <w:spacing w:after="20" w:before="20" w:line="240" w:lineRule="auto"/>
              <w:jc w:val="center"/>
            </w:pPr>
            <w:r>
              <w:rPr>
                <w:sz w:val="21"/>
              </w:rPr>
              <w:t>77.1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317</w:t>
            </w:r>
          </w:p>
        </w:tc>
      </w:tr>
      <w:tr>
        <w:tc>
          <w:tcPr>
            <w:tcW w:type="dxa" w:w="850"/>
          </w:tcPr>
          <w:p>
            <w:pPr>
              <w:spacing w:after="20" w:before="20" w:line="240" w:lineRule="auto"/>
              <w:jc w:val="center"/>
            </w:pPr>
            <w:r>
              <w:rPr>
                <w:sz w:val="21"/>
              </w:rPr>
              <w:t>77.2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317</w:t>
            </w:r>
          </w:p>
        </w:tc>
      </w:tr>
      <w:tr>
        <w:tc>
          <w:tcPr>
            <w:tcW w:type="dxa" w:w="850"/>
            <w:shd w:val="clear" w:color="auto" w:fill="E8EEF5"/>
          </w:tcPr>
          <w:p>
            <w:pPr>
              <w:spacing w:after="20" w:before="20" w:line="240" w:lineRule="auto"/>
              <w:jc w:val="center"/>
            </w:pPr>
            <w:r>
              <w:rPr>
                <w:sz w:val="21"/>
              </w:rPr>
              <w:t>77.3</w:t>
            </w:r>
          </w:p>
        </w:tc>
        <w:tc>
          <w:tcPr>
            <w:tcW w:type="dxa" w:w="7540"/>
            <w:shd w:val="clear" w:color="auto" w:fill="E8EEF5"/>
          </w:tcPr>
          <w:p>
            <w:pPr>
              <w:spacing w:after="20" w:before="20" w:line="240" w:lineRule="auto"/>
              <w:jc w:val="left"/>
            </w:pPr>
            <w:r>
              <w:rPr>
                <w:sz w:val="21"/>
              </w:rPr>
              <w:t>Key Features of Community Engagement</w:t>
            </w:r>
          </w:p>
        </w:tc>
        <w:tc>
          <w:tcPr>
            <w:tcW w:type="dxa" w:w="1020"/>
            <w:shd w:val="clear" w:color="auto" w:fill="E8EEF5"/>
          </w:tcPr>
          <w:p>
            <w:pPr>
              <w:spacing w:after="20" w:before="20" w:line="240" w:lineRule="auto"/>
              <w:jc w:val="center"/>
            </w:pPr>
            <w:r>
              <w:rPr>
                <w:sz w:val="21"/>
              </w:rPr>
              <w:t>317</w:t>
            </w:r>
          </w:p>
        </w:tc>
      </w:tr>
      <w:tr>
        <w:tc>
          <w:tcPr>
            <w:tcW w:type="dxa" w:w="850"/>
          </w:tcPr>
          <w:p>
            <w:pPr>
              <w:spacing w:after="20" w:before="20" w:line="240" w:lineRule="auto"/>
              <w:jc w:val="center"/>
            </w:pPr>
            <w:r>
              <w:rPr>
                <w:sz w:val="21"/>
              </w:rPr>
              <w:t>77.4</w:t>
            </w:r>
          </w:p>
        </w:tc>
        <w:tc>
          <w:tcPr>
            <w:tcW w:type="dxa" w:w="7540"/>
          </w:tcPr>
          <w:p>
            <w:pPr>
              <w:spacing w:after="20" w:before="20" w:line="240" w:lineRule="auto"/>
              <w:jc w:val="left"/>
            </w:pPr>
            <w:r>
              <w:rPr>
                <w:sz w:val="21"/>
              </w:rPr>
              <w:t>Key Practices in Community Engagement</w:t>
            </w:r>
          </w:p>
        </w:tc>
        <w:tc>
          <w:tcPr>
            <w:tcW w:type="dxa" w:w="1020"/>
          </w:tcPr>
          <w:p>
            <w:pPr>
              <w:spacing w:after="20" w:before="20" w:line="240" w:lineRule="auto"/>
              <w:jc w:val="center"/>
            </w:pPr>
            <w:r>
              <w:rPr>
                <w:sz w:val="21"/>
              </w:rPr>
              <w:t>318</w:t>
            </w:r>
          </w:p>
        </w:tc>
      </w:tr>
      <w:tr>
        <w:tc>
          <w:tcPr>
            <w:tcW w:type="dxa" w:w="850"/>
            <w:shd w:val="clear" w:color="auto" w:fill="E8EEF5"/>
          </w:tcPr>
          <w:p>
            <w:pPr>
              <w:spacing w:after="20" w:before="20" w:line="240" w:lineRule="auto"/>
              <w:jc w:val="center"/>
            </w:pPr>
            <w:r>
              <w:rPr>
                <w:sz w:val="21"/>
              </w:rPr>
              <w:t>77.5</w:t>
            </w:r>
          </w:p>
        </w:tc>
        <w:tc>
          <w:tcPr>
            <w:tcW w:type="dxa" w:w="7540"/>
            <w:shd w:val="clear" w:color="auto" w:fill="E8EEF5"/>
          </w:tcPr>
          <w:p>
            <w:pPr>
              <w:spacing w:after="20" w:before="20" w:line="240" w:lineRule="auto"/>
              <w:jc w:val="left"/>
            </w:pPr>
            <w:r>
              <w:rPr>
                <w:sz w:val="21"/>
              </w:rPr>
              <w:t>Impact of Community Engagement</w:t>
            </w:r>
          </w:p>
        </w:tc>
        <w:tc>
          <w:tcPr>
            <w:tcW w:type="dxa" w:w="1020"/>
            <w:shd w:val="clear" w:color="auto" w:fill="E8EEF5"/>
          </w:tcPr>
          <w:p>
            <w:pPr>
              <w:spacing w:after="20" w:before="20" w:line="240" w:lineRule="auto"/>
              <w:jc w:val="center"/>
            </w:pPr>
            <w:r>
              <w:rPr>
                <w:sz w:val="21"/>
              </w:rPr>
              <w:t>319</w:t>
            </w:r>
          </w:p>
        </w:tc>
      </w:tr>
      <w:tr>
        <w:tc>
          <w:tcPr>
            <w:tcW w:type="dxa" w:w="850"/>
          </w:tcPr>
          <w:p>
            <w:pPr>
              <w:spacing w:after="20" w:before="20" w:line="240" w:lineRule="auto"/>
              <w:jc w:val="center"/>
            </w:pPr>
            <w:r>
              <w:rPr>
                <w:sz w:val="21"/>
              </w:rPr>
              <w:t>77.6</w:t>
            </w:r>
          </w:p>
        </w:tc>
        <w:tc>
          <w:tcPr>
            <w:tcW w:type="dxa" w:w="7540"/>
          </w:tcPr>
          <w:p>
            <w:pPr>
              <w:spacing w:after="20" w:before="20" w:line="240" w:lineRule="auto"/>
              <w:jc w:val="left"/>
            </w:pPr>
            <w:r>
              <w:rPr>
                <w:sz w:val="21"/>
              </w:rPr>
              <w:t>Outcomes of Community Engagement</w:t>
            </w:r>
          </w:p>
        </w:tc>
        <w:tc>
          <w:tcPr>
            <w:tcW w:type="dxa" w:w="1020"/>
          </w:tcPr>
          <w:p>
            <w:pPr>
              <w:spacing w:after="20" w:before="20" w:line="240" w:lineRule="auto"/>
              <w:jc w:val="center"/>
            </w:pPr>
            <w:r>
              <w:rPr>
                <w:sz w:val="21"/>
              </w:rPr>
              <w:t>320</w:t>
            </w:r>
          </w:p>
        </w:tc>
      </w:tr>
      <w:tr>
        <w:tc>
          <w:tcPr>
            <w:tcW w:type="dxa" w:w="850"/>
            <w:shd w:val="clear" w:color="auto" w:fill="E8EEF5"/>
          </w:tcPr>
          <w:p>
            <w:pPr>
              <w:spacing w:after="20" w:before="20" w:line="240" w:lineRule="auto"/>
              <w:jc w:val="center"/>
            </w:pPr>
            <w:r>
              <w:rPr>
                <w:sz w:val="21"/>
              </w:rPr>
              <w:t>77.7</w:t>
            </w:r>
          </w:p>
        </w:tc>
        <w:tc>
          <w:tcPr>
            <w:tcW w:type="dxa" w:w="7540"/>
            <w:shd w:val="clear" w:color="auto" w:fill="E8EEF5"/>
          </w:tcPr>
          <w:p>
            <w:pPr>
              <w:spacing w:after="20" w:before="20" w:line="240" w:lineRule="auto"/>
              <w:jc w:val="left"/>
            </w:pPr>
            <w:r>
              <w:rPr>
                <w:sz w:val="21"/>
              </w:rPr>
              <w:t>Challenges and Solutions in Community Engagement</w:t>
            </w:r>
          </w:p>
        </w:tc>
        <w:tc>
          <w:tcPr>
            <w:tcW w:type="dxa" w:w="1020"/>
            <w:shd w:val="clear" w:color="auto" w:fill="E8EEF5"/>
          </w:tcPr>
          <w:p>
            <w:pPr>
              <w:spacing w:after="20" w:before="20" w:line="240" w:lineRule="auto"/>
              <w:jc w:val="center"/>
            </w:pPr>
            <w:r>
              <w:rPr>
                <w:sz w:val="21"/>
              </w:rPr>
              <w:t>321</w:t>
            </w:r>
          </w:p>
        </w:tc>
      </w:tr>
      <w:tr>
        <w:tc>
          <w:tcPr>
            <w:tcW w:type="dxa" w:w="850"/>
          </w:tcPr>
          <w:p>
            <w:pPr>
              <w:spacing w:after="20" w:before="20" w:line="240" w:lineRule="auto"/>
              <w:jc w:val="center"/>
            </w:pPr>
            <w:r>
              <w:rPr>
                <w:sz w:val="21"/>
              </w:rPr>
              <w:t>77.8</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321</w:t>
            </w:r>
          </w:p>
        </w:tc>
      </w:tr>
      <w:tr>
        <w:tc>
          <w:tcPr>
            <w:tcW w:type="dxa" w:w="850"/>
            <w:shd w:val="clear" w:color="auto" w:fill="E8EEF5"/>
          </w:tcPr>
          <w:p>
            <w:pPr>
              <w:spacing w:after="20" w:before="20" w:line="240" w:lineRule="auto"/>
              <w:jc w:val="center"/>
            </w:pPr>
            <w:r>
              <w:rPr>
                <w:b/>
                <w:sz w:val="21"/>
              </w:rPr>
              <w:t>78</w:t>
            </w:r>
          </w:p>
        </w:tc>
        <w:tc>
          <w:tcPr>
            <w:tcW w:type="dxa" w:w="7540"/>
            <w:shd w:val="clear" w:color="auto" w:fill="E8EEF5"/>
          </w:tcPr>
          <w:p>
            <w:pPr>
              <w:spacing w:after="20" w:before="20" w:line="240" w:lineRule="auto"/>
              <w:jc w:val="left"/>
            </w:pPr>
            <w:r>
              <w:rPr>
                <w:b/>
                <w:sz w:val="21"/>
              </w:rPr>
              <w:t>Research, Innovations, and Extensions (Incubation Centers)</w:t>
            </w:r>
          </w:p>
        </w:tc>
        <w:tc>
          <w:tcPr>
            <w:tcW w:type="dxa" w:w="1020"/>
            <w:shd w:val="clear" w:color="auto" w:fill="E8EEF5"/>
          </w:tcPr>
          <w:p>
            <w:pPr>
              <w:spacing w:after="20" w:before="20" w:line="240" w:lineRule="auto"/>
              <w:jc w:val="center"/>
            </w:pPr>
            <w:r>
              <w:rPr>
                <w:b/>
                <w:sz w:val="21"/>
              </w:rPr>
              <w:t>323</w:t>
            </w:r>
          </w:p>
        </w:tc>
      </w:tr>
      <w:tr>
        <w:tc>
          <w:tcPr>
            <w:tcW w:type="dxa" w:w="850"/>
          </w:tcPr>
          <w:p>
            <w:pPr>
              <w:spacing w:after="20" w:before="20" w:line="240" w:lineRule="auto"/>
              <w:jc w:val="center"/>
            </w:pPr>
            <w:r>
              <w:rPr>
                <w:sz w:val="21"/>
              </w:rPr>
              <w:t>78.1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323</w:t>
            </w:r>
          </w:p>
        </w:tc>
      </w:tr>
      <w:tr>
        <w:tc>
          <w:tcPr>
            <w:tcW w:type="dxa" w:w="850"/>
            <w:shd w:val="clear" w:color="auto" w:fill="E8EEF5"/>
          </w:tcPr>
          <w:p>
            <w:pPr>
              <w:spacing w:after="20" w:before="20" w:line="240" w:lineRule="auto"/>
              <w:jc w:val="center"/>
            </w:pPr>
            <w:r>
              <w:rPr>
                <w:sz w:val="21"/>
              </w:rPr>
              <w:t>78.2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323</w:t>
            </w:r>
          </w:p>
        </w:tc>
      </w:tr>
      <w:tr>
        <w:tc>
          <w:tcPr>
            <w:tcW w:type="dxa" w:w="850"/>
          </w:tcPr>
          <w:p>
            <w:pPr>
              <w:spacing w:after="20" w:before="20" w:line="240" w:lineRule="auto"/>
              <w:jc w:val="center"/>
            </w:pPr>
            <w:r>
              <w:rPr>
                <w:sz w:val="21"/>
              </w:rPr>
              <w:t>78.3</w:t>
            </w:r>
          </w:p>
        </w:tc>
        <w:tc>
          <w:tcPr>
            <w:tcW w:type="dxa" w:w="7540"/>
          </w:tcPr>
          <w:p>
            <w:pPr>
              <w:spacing w:after="20" w:before="20" w:line="240" w:lineRule="auto"/>
              <w:jc w:val="left"/>
            </w:pPr>
            <w:r>
              <w:rPr>
                <w:sz w:val="21"/>
              </w:rPr>
              <w:t>Key Practices in Incubation Centers</w:t>
            </w:r>
          </w:p>
        </w:tc>
        <w:tc>
          <w:tcPr>
            <w:tcW w:type="dxa" w:w="1020"/>
          </w:tcPr>
          <w:p>
            <w:pPr>
              <w:spacing w:after="20" w:before="20" w:line="240" w:lineRule="auto"/>
              <w:jc w:val="center"/>
            </w:pPr>
            <w:r>
              <w:rPr>
                <w:sz w:val="21"/>
              </w:rPr>
              <w:t>323</w:t>
            </w:r>
          </w:p>
        </w:tc>
      </w:tr>
      <w:tr>
        <w:tc>
          <w:tcPr>
            <w:tcW w:type="dxa" w:w="850"/>
            <w:shd w:val="clear" w:color="auto" w:fill="E8EEF5"/>
          </w:tcPr>
          <w:p>
            <w:pPr>
              <w:spacing w:after="20" w:before="20" w:line="240" w:lineRule="auto"/>
              <w:jc w:val="center"/>
            </w:pPr>
            <w:r>
              <w:rPr>
                <w:sz w:val="21"/>
              </w:rPr>
              <w:t>78.4</w:t>
            </w:r>
          </w:p>
        </w:tc>
        <w:tc>
          <w:tcPr>
            <w:tcW w:type="dxa" w:w="7540"/>
            <w:shd w:val="clear" w:color="auto" w:fill="E8EEF5"/>
          </w:tcPr>
          <w:p>
            <w:pPr>
              <w:spacing w:after="20" w:before="20" w:line="240" w:lineRule="auto"/>
              <w:jc w:val="left"/>
            </w:pPr>
            <w:r>
              <w:rPr>
                <w:sz w:val="21"/>
              </w:rPr>
              <w:t>Impact of Incubation Centers</w:t>
            </w:r>
          </w:p>
        </w:tc>
        <w:tc>
          <w:tcPr>
            <w:tcW w:type="dxa" w:w="1020"/>
            <w:shd w:val="clear" w:color="auto" w:fill="E8EEF5"/>
          </w:tcPr>
          <w:p>
            <w:pPr>
              <w:spacing w:after="20" w:before="20" w:line="240" w:lineRule="auto"/>
              <w:jc w:val="center"/>
            </w:pPr>
            <w:r>
              <w:rPr>
                <w:sz w:val="21"/>
              </w:rPr>
              <w:t>324</w:t>
            </w:r>
          </w:p>
        </w:tc>
      </w:tr>
      <w:tr>
        <w:tc>
          <w:tcPr>
            <w:tcW w:type="dxa" w:w="850"/>
          </w:tcPr>
          <w:p>
            <w:pPr>
              <w:spacing w:after="20" w:before="20" w:line="240" w:lineRule="auto"/>
              <w:jc w:val="center"/>
            </w:pPr>
            <w:r>
              <w:rPr>
                <w:sz w:val="21"/>
              </w:rPr>
              <w:t>78.5</w:t>
            </w:r>
          </w:p>
        </w:tc>
        <w:tc>
          <w:tcPr>
            <w:tcW w:type="dxa" w:w="7540"/>
          </w:tcPr>
          <w:p>
            <w:pPr>
              <w:spacing w:after="20" w:before="20" w:line="240" w:lineRule="auto"/>
              <w:jc w:val="left"/>
            </w:pPr>
            <w:r>
              <w:rPr>
                <w:sz w:val="21"/>
              </w:rPr>
              <w:t>Outcomes of Incubation Centers</w:t>
            </w:r>
          </w:p>
        </w:tc>
        <w:tc>
          <w:tcPr>
            <w:tcW w:type="dxa" w:w="1020"/>
          </w:tcPr>
          <w:p>
            <w:pPr>
              <w:spacing w:after="20" w:before="20" w:line="240" w:lineRule="auto"/>
              <w:jc w:val="center"/>
            </w:pPr>
            <w:r>
              <w:rPr>
                <w:sz w:val="21"/>
              </w:rPr>
              <w:t>325</w:t>
            </w:r>
          </w:p>
        </w:tc>
      </w:tr>
      <w:tr>
        <w:tc>
          <w:tcPr>
            <w:tcW w:type="dxa" w:w="850"/>
            <w:shd w:val="clear" w:color="auto" w:fill="E8EEF5"/>
          </w:tcPr>
          <w:p>
            <w:pPr>
              <w:spacing w:after="20" w:before="20" w:line="240" w:lineRule="auto"/>
              <w:jc w:val="center"/>
            </w:pPr>
            <w:r>
              <w:rPr>
                <w:sz w:val="21"/>
              </w:rPr>
              <w:t>78.6</w:t>
            </w:r>
          </w:p>
        </w:tc>
        <w:tc>
          <w:tcPr>
            <w:tcW w:type="dxa" w:w="7540"/>
            <w:shd w:val="clear" w:color="auto" w:fill="E8EEF5"/>
          </w:tcPr>
          <w:p>
            <w:pPr>
              <w:spacing w:after="20" w:before="20" w:line="240" w:lineRule="auto"/>
              <w:jc w:val="left"/>
            </w:pPr>
            <w:r>
              <w:rPr>
                <w:sz w:val="21"/>
              </w:rPr>
              <w:t>Challenges and Solutions in Incubation Centers</w:t>
            </w:r>
          </w:p>
        </w:tc>
        <w:tc>
          <w:tcPr>
            <w:tcW w:type="dxa" w:w="1020"/>
            <w:shd w:val="clear" w:color="auto" w:fill="E8EEF5"/>
          </w:tcPr>
          <w:p>
            <w:pPr>
              <w:spacing w:after="20" w:before="20" w:line="240" w:lineRule="auto"/>
              <w:jc w:val="center"/>
            </w:pPr>
            <w:r>
              <w:rPr>
                <w:sz w:val="21"/>
              </w:rPr>
              <w:t>326</w:t>
            </w:r>
          </w:p>
        </w:tc>
      </w:tr>
      <w:tr>
        <w:tc>
          <w:tcPr>
            <w:tcW w:type="dxa" w:w="850"/>
          </w:tcPr>
          <w:p>
            <w:pPr>
              <w:spacing w:after="20" w:before="20" w:line="240" w:lineRule="auto"/>
              <w:jc w:val="center"/>
            </w:pPr>
            <w:r>
              <w:rPr>
                <w:sz w:val="21"/>
              </w:rPr>
              <w:t>78.7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326</w:t>
            </w:r>
          </w:p>
        </w:tc>
      </w:tr>
      <w:tr>
        <w:tc>
          <w:tcPr>
            <w:tcW w:type="dxa" w:w="850"/>
            <w:shd w:val="clear" w:color="auto" w:fill="E8EEF5"/>
          </w:tcPr>
          <w:p>
            <w:pPr>
              <w:spacing w:after="20" w:before="20" w:line="240" w:lineRule="auto"/>
              <w:jc w:val="center"/>
            </w:pPr>
            <w:r>
              <w:rPr>
                <w:b/>
                <w:sz w:val="21"/>
              </w:rPr>
              <w:t>79</w:t>
            </w:r>
          </w:p>
        </w:tc>
        <w:tc>
          <w:tcPr>
            <w:tcW w:type="dxa" w:w="7540"/>
            <w:shd w:val="clear" w:color="auto" w:fill="E8EEF5"/>
          </w:tcPr>
          <w:p>
            <w:pPr>
              <w:spacing w:after="20" w:before="20" w:line="240" w:lineRule="auto"/>
              <w:jc w:val="left"/>
            </w:pPr>
            <w:r>
              <w:rPr>
                <w:b/>
                <w:sz w:val="21"/>
              </w:rPr>
              <w:t>Research, Innovations, and Extensions (Publication and Patents)</w:t>
            </w:r>
          </w:p>
        </w:tc>
        <w:tc>
          <w:tcPr>
            <w:tcW w:type="dxa" w:w="1020"/>
            <w:shd w:val="clear" w:color="auto" w:fill="E8EEF5"/>
          </w:tcPr>
          <w:p>
            <w:pPr>
              <w:spacing w:after="20" w:before="20" w:line="240" w:lineRule="auto"/>
              <w:jc w:val="center"/>
            </w:pPr>
            <w:r>
              <w:rPr>
                <w:b/>
                <w:sz w:val="21"/>
              </w:rPr>
              <w:t>327</w:t>
            </w:r>
          </w:p>
        </w:tc>
      </w:tr>
      <w:tr>
        <w:tc>
          <w:tcPr>
            <w:tcW w:type="dxa" w:w="850"/>
          </w:tcPr>
          <w:p>
            <w:pPr>
              <w:spacing w:after="20" w:before="20" w:line="240" w:lineRule="auto"/>
              <w:jc w:val="center"/>
            </w:pPr>
            <w:r>
              <w:rPr>
                <w:sz w:val="21"/>
              </w:rPr>
              <w:t>79.1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327</w:t>
            </w:r>
          </w:p>
        </w:tc>
      </w:tr>
      <w:tr>
        <w:tc>
          <w:tcPr>
            <w:tcW w:type="dxa" w:w="850"/>
            <w:shd w:val="clear" w:color="auto" w:fill="E8EEF5"/>
          </w:tcPr>
          <w:p>
            <w:pPr>
              <w:spacing w:after="20" w:before="20" w:line="240" w:lineRule="auto"/>
              <w:jc w:val="center"/>
            </w:pPr>
            <w:r>
              <w:rPr>
                <w:sz w:val="21"/>
              </w:rPr>
              <w:t>79.2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327</w:t>
            </w:r>
          </w:p>
        </w:tc>
      </w:tr>
      <w:tr>
        <w:tc>
          <w:tcPr>
            <w:tcW w:type="dxa" w:w="850"/>
          </w:tcPr>
          <w:p>
            <w:pPr>
              <w:spacing w:after="20" w:before="20" w:line="240" w:lineRule="auto"/>
              <w:jc w:val="center"/>
            </w:pPr>
            <w:r>
              <w:rPr>
                <w:sz w:val="21"/>
              </w:rPr>
              <w:t>79.3</w:t>
            </w:r>
          </w:p>
        </w:tc>
        <w:tc>
          <w:tcPr>
            <w:tcW w:type="dxa" w:w="7540"/>
          </w:tcPr>
          <w:p>
            <w:pPr>
              <w:spacing w:after="20" w:before="20" w:line="240" w:lineRule="auto"/>
              <w:jc w:val="left"/>
            </w:pPr>
            <w:r>
              <w:rPr>
                <w:sz w:val="21"/>
              </w:rPr>
              <w:t>Key Practices for Publications and Patents</w:t>
            </w:r>
          </w:p>
        </w:tc>
        <w:tc>
          <w:tcPr>
            <w:tcW w:type="dxa" w:w="1020"/>
          </w:tcPr>
          <w:p>
            <w:pPr>
              <w:spacing w:after="20" w:before="20" w:line="240" w:lineRule="auto"/>
              <w:jc w:val="center"/>
            </w:pPr>
            <w:r>
              <w:rPr>
                <w:sz w:val="21"/>
              </w:rPr>
              <w:t>327</w:t>
            </w:r>
          </w:p>
        </w:tc>
      </w:tr>
      <w:tr>
        <w:tc>
          <w:tcPr>
            <w:tcW w:type="dxa" w:w="850"/>
            <w:shd w:val="clear" w:color="auto" w:fill="E8EEF5"/>
          </w:tcPr>
          <w:p>
            <w:pPr>
              <w:spacing w:after="20" w:before="20" w:line="240" w:lineRule="auto"/>
              <w:jc w:val="center"/>
            </w:pPr>
            <w:r>
              <w:rPr>
                <w:sz w:val="21"/>
              </w:rPr>
              <w:t>79.4</w:t>
            </w:r>
          </w:p>
        </w:tc>
        <w:tc>
          <w:tcPr>
            <w:tcW w:type="dxa" w:w="7540"/>
            <w:shd w:val="clear" w:color="auto" w:fill="E8EEF5"/>
          </w:tcPr>
          <w:p>
            <w:pPr>
              <w:spacing w:after="20" w:before="20" w:line="240" w:lineRule="auto"/>
              <w:jc w:val="left"/>
            </w:pPr>
            <w:r>
              <w:rPr>
                <w:sz w:val="21"/>
              </w:rPr>
              <w:t>Impact of Publications and Patents</w:t>
            </w:r>
          </w:p>
        </w:tc>
        <w:tc>
          <w:tcPr>
            <w:tcW w:type="dxa" w:w="1020"/>
            <w:shd w:val="clear" w:color="auto" w:fill="E8EEF5"/>
          </w:tcPr>
          <w:p>
            <w:pPr>
              <w:spacing w:after="20" w:before="20" w:line="240" w:lineRule="auto"/>
              <w:jc w:val="center"/>
            </w:pPr>
            <w:r>
              <w:rPr>
                <w:sz w:val="21"/>
              </w:rPr>
              <w:t>328</w:t>
            </w:r>
          </w:p>
        </w:tc>
      </w:tr>
      <w:tr>
        <w:tc>
          <w:tcPr>
            <w:tcW w:type="dxa" w:w="850"/>
          </w:tcPr>
          <w:p>
            <w:pPr>
              <w:spacing w:after="20" w:before="20" w:line="240" w:lineRule="auto"/>
              <w:jc w:val="center"/>
            </w:pPr>
            <w:r>
              <w:rPr>
                <w:sz w:val="21"/>
              </w:rPr>
              <w:t>79.5</w:t>
            </w:r>
          </w:p>
        </w:tc>
        <w:tc>
          <w:tcPr>
            <w:tcW w:type="dxa" w:w="7540"/>
          </w:tcPr>
          <w:p>
            <w:pPr>
              <w:spacing w:after="20" w:before="20" w:line="240" w:lineRule="auto"/>
              <w:jc w:val="left"/>
            </w:pPr>
            <w:r>
              <w:rPr>
                <w:sz w:val="21"/>
              </w:rPr>
              <w:t>Outcomes of Publication and Patents</w:t>
            </w:r>
          </w:p>
        </w:tc>
        <w:tc>
          <w:tcPr>
            <w:tcW w:type="dxa" w:w="1020"/>
          </w:tcPr>
          <w:p>
            <w:pPr>
              <w:spacing w:after="20" w:before="20" w:line="240" w:lineRule="auto"/>
              <w:jc w:val="center"/>
            </w:pPr>
            <w:r>
              <w:rPr>
                <w:sz w:val="21"/>
              </w:rPr>
              <w:t>329</w:t>
            </w:r>
          </w:p>
        </w:tc>
      </w:tr>
      <w:tr>
        <w:tc>
          <w:tcPr>
            <w:tcW w:type="dxa" w:w="850"/>
            <w:shd w:val="clear" w:color="auto" w:fill="E8EEF5"/>
          </w:tcPr>
          <w:p>
            <w:pPr>
              <w:spacing w:after="20" w:before="20" w:line="240" w:lineRule="auto"/>
              <w:jc w:val="center"/>
            </w:pPr>
            <w:r>
              <w:rPr>
                <w:sz w:val="21"/>
              </w:rPr>
              <w:t>79.6</w:t>
            </w:r>
          </w:p>
        </w:tc>
        <w:tc>
          <w:tcPr>
            <w:tcW w:type="dxa" w:w="7540"/>
            <w:shd w:val="clear" w:color="auto" w:fill="E8EEF5"/>
          </w:tcPr>
          <w:p>
            <w:pPr>
              <w:spacing w:after="20" w:before="20" w:line="240" w:lineRule="auto"/>
              <w:jc w:val="left"/>
            </w:pPr>
            <w:r>
              <w:rPr>
                <w:sz w:val="21"/>
              </w:rPr>
              <w:t>Challenges and Solutions in Publication and Patents</w:t>
            </w:r>
          </w:p>
        </w:tc>
        <w:tc>
          <w:tcPr>
            <w:tcW w:type="dxa" w:w="1020"/>
            <w:shd w:val="clear" w:color="auto" w:fill="E8EEF5"/>
          </w:tcPr>
          <w:p>
            <w:pPr>
              <w:spacing w:after="20" w:before="20" w:line="240" w:lineRule="auto"/>
              <w:jc w:val="center"/>
            </w:pPr>
            <w:r>
              <w:rPr>
                <w:sz w:val="21"/>
              </w:rPr>
              <w:t>330</w:t>
            </w:r>
          </w:p>
        </w:tc>
      </w:tr>
      <w:tr>
        <w:tc>
          <w:tcPr>
            <w:tcW w:type="dxa" w:w="850"/>
          </w:tcPr>
          <w:p>
            <w:pPr>
              <w:spacing w:after="20" w:before="20" w:line="240" w:lineRule="auto"/>
              <w:jc w:val="center"/>
            </w:pPr>
            <w:r>
              <w:rPr>
                <w:sz w:val="21"/>
              </w:rPr>
              <w:t>79.7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330</w:t>
            </w:r>
          </w:p>
        </w:tc>
      </w:tr>
      <w:tr>
        <w:tc>
          <w:tcPr>
            <w:tcW w:type="dxa" w:w="850"/>
            <w:shd w:val="clear" w:color="auto" w:fill="E8EEF5"/>
          </w:tcPr>
          <w:p>
            <w:pPr>
              <w:spacing w:after="20" w:before="20" w:line="240" w:lineRule="auto"/>
              <w:jc w:val="center"/>
            </w:pPr>
            <w:r>
              <w:rPr>
                <w:b/>
                <w:sz w:val="21"/>
              </w:rPr>
              <w:t>80</w:t>
            </w:r>
          </w:p>
        </w:tc>
        <w:tc>
          <w:tcPr>
            <w:tcW w:type="dxa" w:w="7540"/>
            <w:shd w:val="clear" w:color="auto" w:fill="E8EEF5"/>
          </w:tcPr>
          <w:p>
            <w:pPr>
              <w:spacing w:after="20" w:before="20" w:line="240" w:lineRule="auto"/>
              <w:jc w:val="left"/>
            </w:pPr>
            <w:r>
              <w:rPr>
                <w:b/>
                <w:sz w:val="21"/>
              </w:rPr>
              <w:t>Research, Innovations, and Extensions (Research Culture)</w:t>
            </w:r>
          </w:p>
        </w:tc>
        <w:tc>
          <w:tcPr>
            <w:tcW w:type="dxa" w:w="1020"/>
            <w:shd w:val="clear" w:color="auto" w:fill="E8EEF5"/>
          </w:tcPr>
          <w:p>
            <w:pPr>
              <w:spacing w:after="20" w:before="20" w:line="240" w:lineRule="auto"/>
              <w:jc w:val="center"/>
            </w:pPr>
            <w:r>
              <w:rPr>
                <w:b/>
                <w:sz w:val="21"/>
              </w:rPr>
              <w:t>331</w:t>
            </w:r>
          </w:p>
        </w:tc>
      </w:tr>
      <w:tr>
        <w:tc>
          <w:tcPr>
            <w:tcW w:type="dxa" w:w="850"/>
          </w:tcPr>
          <w:p>
            <w:pPr>
              <w:spacing w:after="20" w:before="20" w:line="240" w:lineRule="auto"/>
              <w:jc w:val="center"/>
            </w:pPr>
            <w:r>
              <w:rPr>
                <w:sz w:val="21"/>
              </w:rPr>
              <w:t>80.1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331</w:t>
            </w:r>
          </w:p>
        </w:tc>
      </w:tr>
      <w:tr>
        <w:tc>
          <w:tcPr>
            <w:tcW w:type="dxa" w:w="850"/>
            <w:shd w:val="clear" w:color="auto" w:fill="E8EEF5"/>
          </w:tcPr>
          <w:p>
            <w:pPr>
              <w:spacing w:after="20" w:before="20" w:line="240" w:lineRule="auto"/>
              <w:jc w:val="center"/>
            </w:pPr>
            <w:r>
              <w:rPr>
                <w:sz w:val="21"/>
              </w:rPr>
              <w:t>80.2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331</w:t>
            </w:r>
          </w:p>
        </w:tc>
      </w:tr>
      <w:tr>
        <w:tc>
          <w:tcPr>
            <w:tcW w:type="dxa" w:w="850"/>
          </w:tcPr>
          <w:p>
            <w:pPr>
              <w:spacing w:after="20" w:before="20" w:line="240" w:lineRule="auto"/>
              <w:jc w:val="center"/>
            </w:pPr>
            <w:r>
              <w:rPr>
                <w:sz w:val="21"/>
              </w:rPr>
              <w:t>80.3</w:t>
            </w:r>
          </w:p>
        </w:tc>
        <w:tc>
          <w:tcPr>
            <w:tcW w:type="dxa" w:w="7540"/>
          </w:tcPr>
          <w:p>
            <w:pPr>
              <w:spacing w:after="20" w:before="20" w:line="240" w:lineRule="auto"/>
              <w:jc w:val="left"/>
            </w:pPr>
            <w:r>
              <w:rPr>
                <w:sz w:val="21"/>
              </w:rPr>
              <w:t>Key Features of Research Culture</w:t>
            </w:r>
          </w:p>
        </w:tc>
        <w:tc>
          <w:tcPr>
            <w:tcW w:type="dxa" w:w="1020"/>
          </w:tcPr>
          <w:p>
            <w:pPr>
              <w:spacing w:after="20" w:before="20" w:line="240" w:lineRule="auto"/>
              <w:jc w:val="center"/>
            </w:pPr>
            <w:r>
              <w:rPr>
                <w:sz w:val="21"/>
              </w:rPr>
              <w:t>331</w:t>
            </w:r>
          </w:p>
        </w:tc>
      </w:tr>
      <w:tr>
        <w:tc>
          <w:tcPr>
            <w:tcW w:type="dxa" w:w="850"/>
            <w:shd w:val="clear" w:color="auto" w:fill="E8EEF5"/>
          </w:tcPr>
          <w:p>
            <w:pPr>
              <w:spacing w:after="20" w:before="20" w:line="240" w:lineRule="auto"/>
              <w:jc w:val="center"/>
            </w:pPr>
            <w:r>
              <w:rPr>
                <w:sz w:val="21"/>
              </w:rPr>
              <w:t>80.4</w:t>
            </w:r>
          </w:p>
        </w:tc>
        <w:tc>
          <w:tcPr>
            <w:tcW w:type="dxa" w:w="7540"/>
            <w:shd w:val="clear" w:color="auto" w:fill="E8EEF5"/>
          </w:tcPr>
          <w:p>
            <w:pPr>
              <w:spacing w:after="20" w:before="20" w:line="240" w:lineRule="auto"/>
              <w:jc w:val="left"/>
            </w:pPr>
            <w:r>
              <w:rPr>
                <w:sz w:val="21"/>
              </w:rPr>
              <w:t>Key Practices to Promote Research Culture</w:t>
            </w:r>
          </w:p>
        </w:tc>
        <w:tc>
          <w:tcPr>
            <w:tcW w:type="dxa" w:w="1020"/>
            <w:shd w:val="clear" w:color="auto" w:fill="E8EEF5"/>
          </w:tcPr>
          <w:p>
            <w:pPr>
              <w:spacing w:after="20" w:before="20" w:line="240" w:lineRule="auto"/>
              <w:jc w:val="center"/>
            </w:pPr>
            <w:r>
              <w:rPr>
                <w:sz w:val="21"/>
              </w:rPr>
              <w:t>332</w:t>
            </w:r>
          </w:p>
        </w:tc>
      </w:tr>
      <w:tr>
        <w:tc>
          <w:tcPr>
            <w:tcW w:type="dxa" w:w="850"/>
          </w:tcPr>
          <w:p>
            <w:pPr>
              <w:spacing w:after="20" w:before="20" w:line="240" w:lineRule="auto"/>
              <w:jc w:val="center"/>
            </w:pPr>
            <w:r>
              <w:rPr>
                <w:sz w:val="21"/>
              </w:rPr>
              <w:t>80.5</w:t>
            </w:r>
          </w:p>
        </w:tc>
        <w:tc>
          <w:tcPr>
            <w:tcW w:type="dxa" w:w="7540"/>
          </w:tcPr>
          <w:p>
            <w:pPr>
              <w:spacing w:after="20" w:before="20" w:line="240" w:lineRule="auto"/>
              <w:jc w:val="left"/>
            </w:pPr>
            <w:r>
              <w:rPr>
                <w:sz w:val="21"/>
              </w:rPr>
              <w:t>Impact of a Strong Research Culture</w:t>
            </w:r>
          </w:p>
        </w:tc>
        <w:tc>
          <w:tcPr>
            <w:tcW w:type="dxa" w:w="1020"/>
          </w:tcPr>
          <w:p>
            <w:pPr>
              <w:spacing w:after="20" w:before="20" w:line="240" w:lineRule="auto"/>
              <w:jc w:val="center"/>
            </w:pPr>
            <w:r>
              <w:rPr>
                <w:sz w:val="21"/>
              </w:rPr>
              <w:t>333</w:t>
            </w:r>
          </w:p>
        </w:tc>
      </w:tr>
      <w:tr>
        <w:tc>
          <w:tcPr>
            <w:tcW w:type="dxa" w:w="850"/>
            <w:shd w:val="clear" w:color="auto" w:fill="E8EEF5"/>
          </w:tcPr>
          <w:p>
            <w:pPr>
              <w:spacing w:after="20" w:before="20" w:line="240" w:lineRule="auto"/>
              <w:jc w:val="center"/>
            </w:pPr>
            <w:r>
              <w:rPr>
                <w:sz w:val="21"/>
              </w:rPr>
              <w:t>80.6</w:t>
            </w:r>
          </w:p>
        </w:tc>
        <w:tc>
          <w:tcPr>
            <w:tcW w:type="dxa" w:w="7540"/>
            <w:shd w:val="clear" w:color="auto" w:fill="E8EEF5"/>
          </w:tcPr>
          <w:p>
            <w:pPr>
              <w:spacing w:after="20" w:before="20" w:line="240" w:lineRule="auto"/>
              <w:jc w:val="left"/>
            </w:pPr>
            <w:r>
              <w:rPr>
                <w:sz w:val="21"/>
              </w:rPr>
              <w:t>Outcomes of a Strong Research Culture</w:t>
            </w:r>
          </w:p>
        </w:tc>
        <w:tc>
          <w:tcPr>
            <w:tcW w:type="dxa" w:w="1020"/>
            <w:shd w:val="clear" w:color="auto" w:fill="E8EEF5"/>
          </w:tcPr>
          <w:p>
            <w:pPr>
              <w:spacing w:after="20" w:before="20" w:line="240" w:lineRule="auto"/>
              <w:jc w:val="center"/>
            </w:pPr>
            <w:r>
              <w:rPr>
                <w:sz w:val="21"/>
              </w:rPr>
              <w:t>334</w:t>
            </w:r>
          </w:p>
        </w:tc>
      </w:tr>
      <w:tr>
        <w:tc>
          <w:tcPr>
            <w:tcW w:type="dxa" w:w="850"/>
          </w:tcPr>
          <w:p>
            <w:pPr>
              <w:spacing w:after="20" w:before="20" w:line="240" w:lineRule="auto"/>
              <w:jc w:val="center"/>
            </w:pPr>
            <w:r>
              <w:rPr>
                <w:sz w:val="21"/>
              </w:rPr>
              <w:t>80.7</w:t>
            </w:r>
          </w:p>
        </w:tc>
        <w:tc>
          <w:tcPr>
            <w:tcW w:type="dxa" w:w="7540"/>
          </w:tcPr>
          <w:p>
            <w:pPr>
              <w:spacing w:after="20" w:before="20" w:line="240" w:lineRule="auto"/>
              <w:jc w:val="left"/>
            </w:pPr>
            <w:r>
              <w:rPr>
                <w:sz w:val="21"/>
              </w:rPr>
              <w:t>Challenges and Solutions in Fostering a Research Culture</w:t>
            </w:r>
          </w:p>
        </w:tc>
        <w:tc>
          <w:tcPr>
            <w:tcW w:type="dxa" w:w="1020"/>
          </w:tcPr>
          <w:p>
            <w:pPr>
              <w:spacing w:after="20" w:before="20" w:line="240" w:lineRule="auto"/>
              <w:jc w:val="center"/>
            </w:pPr>
            <w:r>
              <w:rPr>
                <w:sz w:val="21"/>
              </w:rPr>
              <w:t>335</w:t>
            </w:r>
          </w:p>
        </w:tc>
      </w:tr>
      <w:tr>
        <w:tc>
          <w:tcPr>
            <w:tcW w:type="dxa" w:w="850"/>
            <w:shd w:val="clear" w:color="auto" w:fill="E8EEF5"/>
          </w:tcPr>
          <w:p>
            <w:pPr>
              <w:spacing w:after="20" w:before="20" w:line="240" w:lineRule="auto"/>
              <w:jc w:val="center"/>
            </w:pPr>
            <w:r>
              <w:rPr>
                <w:sz w:val="21"/>
              </w:rPr>
              <w:t>80.8</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335</w:t>
            </w:r>
          </w:p>
        </w:tc>
      </w:tr>
      <w:tr>
        <w:tc>
          <w:tcPr>
            <w:tcW w:type="dxa" w:w="850"/>
          </w:tcPr>
          <w:p>
            <w:pPr>
              <w:spacing w:after="20" w:before="20" w:line="240" w:lineRule="auto"/>
              <w:jc w:val="center"/>
            </w:pPr>
            <w:r>
              <w:rPr>
                <w:b/>
                <w:sz w:val="21"/>
              </w:rPr>
              <w:t>81</w:t>
            </w:r>
          </w:p>
        </w:tc>
        <w:tc>
          <w:tcPr>
            <w:tcW w:type="dxa" w:w="7540"/>
          </w:tcPr>
          <w:p>
            <w:pPr>
              <w:spacing w:after="20" w:before="20" w:line="240" w:lineRule="auto"/>
              <w:jc w:val="left"/>
            </w:pPr>
            <w:r>
              <w:rPr>
                <w:b/>
                <w:sz w:val="21"/>
              </w:rPr>
              <w:t>Promoting Faculty Participation in Consultancy Work</w:t>
            </w:r>
          </w:p>
        </w:tc>
        <w:tc>
          <w:tcPr>
            <w:tcW w:type="dxa" w:w="1020"/>
          </w:tcPr>
          <w:p>
            <w:pPr>
              <w:spacing w:after="20" w:before="20" w:line="240" w:lineRule="auto"/>
              <w:jc w:val="center"/>
            </w:pPr>
            <w:r>
              <w:rPr>
                <w:b/>
                <w:sz w:val="21"/>
              </w:rPr>
              <w:t>337</w:t>
            </w:r>
          </w:p>
        </w:tc>
      </w:tr>
      <w:tr>
        <w:tc>
          <w:tcPr>
            <w:tcW w:type="dxa" w:w="850"/>
            <w:shd w:val="clear" w:color="auto" w:fill="E8EEF5"/>
          </w:tcPr>
          <w:p>
            <w:pPr>
              <w:spacing w:after="20" w:before="20" w:line="240" w:lineRule="auto"/>
              <w:jc w:val="center"/>
            </w:pPr>
            <w:r>
              <w:rPr>
                <w:sz w:val="21"/>
              </w:rPr>
              <w:t>81.1</w:t>
            </w:r>
          </w:p>
        </w:tc>
        <w:tc>
          <w:tcPr>
            <w:tcW w:type="dxa" w:w="7540"/>
            <w:shd w:val="clear" w:color="auto" w:fill="E8EEF5"/>
          </w:tcPr>
          <w:p>
            <w:pPr>
              <w:spacing w:after="20" w:before="20" w:line="240" w:lineRule="auto"/>
              <w:jc w:val="left"/>
            </w:pPr>
            <w:r>
              <w:rPr>
                <w:sz w:val="21"/>
              </w:rPr>
              <w:t>Introduction</w:t>
            </w:r>
          </w:p>
        </w:tc>
        <w:tc>
          <w:tcPr>
            <w:tcW w:type="dxa" w:w="1020"/>
            <w:shd w:val="clear" w:color="auto" w:fill="E8EEF5"/>
          </w:tcPr>
          <w:p>
            <w:pPr>
              <w:spacing w:after="20" w:before="20" w:line="240" w:lineRule="auto"/>
              <w:jc w:val="center"/>
            </w:pPr>
            <w:r>
              <w:rPr>
                <w:sz w:val="21"/>
              </w:rPr>
              <w:t>337</w:t>
            </w:r>
          </w:p>
        </w:tc>
      </w:tr>
      <w:tr>
        <w:tc>
          <w:tcPr>
            <w:tcW w:type="dxa" w:w="850"/>
          </w:tcPr>
          <w:p>
            <w:pPr>
              <w:spacing w:after="20" w:before="20" w:line="240" w:lineRule="auto"/>
              <w:jc w:val="center"/>
            </w:pPr>
            <w:r>
              <w:rPr>
                <w:sz w:val="21"/>
              </w:rPr>
              <w:t>81.2</w:t>
            </w:r>
          </w:p>
        </w:tc>
        <w:tc>
          <w:tcPr>
            <w:tcW w:type="dxa" w:w="7540"/>
          </w:tcPr>
          <w:p>
            <w:pPr>
              <w:spacing w:after="20" w:before="20" w:line="240" w:lineRule="auto"/>
              <w:jc w:val="left"/>
            </w:pPr>
            <w:r>
              <w:rPr>
                <w:sz w:val="21"/>
              </w:rPr>
              <w:t>Objective of the Practice</w:t>
            </w:r>
          </w:p>
        </w:tc>
        <w:tc>
          <w:tcPr>
            <w:tcW w:type="dxa" w:w="1020"/>
          </w:tcPr>
          <w:p>
            <w:pPr>
              <w:spacing w:after="20" w:before="20" w:line="240" w:lineRule="auto"/>
              <w:jc w:val="center"/>
            </w:pPr>
            <w:r>
              <w:rPr>
                <w:sz w:val="21"/>
              </w:rPr>
              <w:t>337</w:t>
            </w:r>
          </w:p>
        </w:tc>
      </w:tr>
      <w:tr>
        <w:tc>
          <w:tcPr>
            <w:tcW w:type="dxa" w:w="850"/>
            <w:shd w:val="clear" w:color="auto" w:fill="E8EEF5"/>
          </w:tcPr>
          <w:p>
            <w:pPr>
              <w:spacing w:after="20" w:before="20" w:line="240" w:lineRule="auto"/>
              <w:jc w:val="center"/>
            </w:pPr>
            <w:r>
              <w:rPr>
                <w:sz w:val="21"/>
              </w:rPr>
              <w:t>81.3</w:t>
            </w:r>
          </w:p>
        </w:tc>
        <w:tc>
          <w:tcPr>
            <w:tcW w:type="dxa" w:w="7540"/>
            <w:shd w:val="clear" w:color="auto" w:fill="E8EEF5"/>
          </w:tcPr>
          <w:p>
            <w:pPr>
              <w:spacing w:after="20" w:before="20" w:line="240" w:lineRule="auto"/>
              <w:jc w:val="left"/>
            </w:pPr>
            <w:r>
              <w:rPr>
                <w:sz w:val="21"/>
              </w:rPr>
              <w:t>Key Components of Promoting Faculty Participation in Consultancy Work</w:t>
            </w:r>
          </w:p>
        </w:tc>
        <w:tc>
          <w:tcPr>
            <w:tcW w:type="dxa" w:w="1020"/>
            <w:shd w:val="clear" w:color="auto" w:fill="E8EEF5"/>
          </w:tcPr>
          <w:p>
            <w:pPr>
              <w:spacing w:after="20" w:before="20" w:line="240" w:lineRule="auto"/>
              <w:jc w:val="center"/>
            </w:pPr>
            <w:r>
              <w:rPr>
                <w:sz w:val="21"/>
              </w:rPr>
              <w:t>337</w:t>
            </w:r>
          </w:p>
        </w:tc>
      </w:tr>
      <w:tr>
        <w:tc>
          <w:tcPr>
            <w:tcW w:type="dxa" w:w="850"/>
          </w:tcPr>
          <w:p>
            <w:pPr>
              <w:spacing w:after="20" w:before="20" w:line="240" w:lineRule="auto"/>
              <w:jc w:val="center"/>
            </w:pPr>
            <w:r>
              <w:rPr>
                <w:sz w:val="21"/>
              </w:rPr>
              <w:t>81.4</w:t>
            </w:r>
          </w:p>
        </w:tc>
        <w:tc>
          <w:tcPr>
            <w:tcW w:type="dxa" w:w="7540"/>
          </w:tcPr>
          <w:p>
            <w:pPr>
              <w:spacing w:after="20" w:before="20" w:line="240" w:lineRule="auto"/>
              <w:jc w:val="left"/>
            </w:pPr>
            <w:r>
              <w:rPr>
                <w:sz w:val="21"/>
              </w:rPr>
              <w:t>Benefits of Promoting Faculty Participation in Consultancy Work</w:t>
            </w:r>
          </w:p>
        </w:tc>
        <w:tc>
          <w:tcPr>
            <w:tcW w:type="dxa" w:w="1020"/>
          </w:tcPr>
          <w:p>
            <w:pPr>
              <w:spacing w:after="20" w:before="20" w:line="240" w:lineRule="auto"/>
              <w:jc w:val="center"/>
            </w:pPr>
            <w:r>
              <w:rPr>
                <w:sz w:val="21"/>
              </w:rPr>
              <w:t>339</w:t>
            </w:r>
          </w:p>
        </w:tc>
      </w:tr>
      <w:tr>
        <w:tc>
          <w:tcPr>
            <w:tcW w:type="dxa" w:w="850"/>
            <w:shd w:val="clear" w:color="auto" w:fill="E8EEF5"/>
          </w:tcPr>
          <w:p>
            <w:pPr>
              <w:spacing w:after="20" w:before="20" w:line="240" w:lineRule="auto"/>
              <w:jc w:val="center"/>
            </w:pPr>
            <w:r>
              <w:rPr>
                <w:sz w:val="21"/>
              </w:rPr>
              <w:t>81.5</w:t>
            </w:r>
          </w:p>
        </w:tc>
        <w:tc>
          <w:tcPr>
            <w:tcW w:type="dxa" w:w="7540"/>
            <w:shd w:val="clear" w:color="auto" w:fill="E8EEF5"/>
          </w:tcPr>
          <w:p>
            <w:pPr>
              <w:spacing w:after="20" w:before="20" w:line="240" w:lineRule="auto"/>
              <w:jc w:val="left"/>
            </w:pPr>
            <w:r>
              <w:rPr>
                <w:sz w:val="21"/>
              </w:rPr>
              <w:t>Challenges and Solutions in Promoting Faculty Participation in Consultancy Work</w:t>
            </w:r>
          </w:p>
        </w:tc>
        <w:tc>
          <w:tcPr>
            <w:tcW w:type="dxa" w:w="1020"/>
            <w:shd w:val="clear" w:color="auto" w:fill="E8EEF5"/>
          </w:tcPr>
          <w:p>
            <w:pPr>
              <w:spacing w:after="20" w:before="20" w:line="240" w:lineRule="auto"/>
              <w:jc w:val="center"/>
            </w:pPr>
            <w:r>
              <w:rPr>
                <w:sz w:val="21"/>
              </w:rPr>
              <w:t>339</w:t>
            </w:r>
          </w:p>
        </w:tc>
      </w:tr>
      <w:tr>
        <w:tc>
          <w:tcPr>
            <w:tcW w:type="dxa" w:w="850"/>
          </w:tcPr>
          <w:p>
            <w:pPr>
              <w:spacing w:after="20" w:before="20" w:line="240" w:lineRule="auto"/>
              <w:jc w:val="center"/>
            </w:pPr>
            <w:r>
              <w:rPr>
                <w:sz w:val="21"/>
              </w:rPr>
              <w:t>81.6</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340</w:t>
            </w:r>
          </w:p>
        </w:tc>
      </w:tr>
      <w:tr>
        <w:tc>
          <w:tcPr>
            <w:tcW w:type="dxa" w:w="850"/>
            <w:shd w:val="clear" w:color="auto" w:fill="E8EEF5"/>
          </w:tcPr>
          <w:p>
            <w:pPr>
              <w:spacing w:after="20" w:before="20" w:line="240" w:lineRule="auto"/>
              <w:jc w:val="center"/>
            </w:pPr>
            <w:r>
              <w:rPr>
                <w:b/>
                <w:sz w:val="21"/>
              </w:rPr>
              <w:t>82</w:t>
            </w:r>
          </w:p>
        </w:tc>
        <w:tc>
          <w:tcPr>
            <w:tcW w:type="dxa" w:w="7540"/>
            <w:shd w:val="clear" w:color="auto" w:fill="E8EEF5"/>
          </w:tcPr>
          <w:p>
            <w:pPr>
              <w:spacing w:after="20" w:before="20" w:line="240" w:lineRule="auto"/>
              <w:jc w:val="left"/>
            </w:pPr>
            <w:r>
              <w:rPr>
                <w:b/>
                <w:sz w:val="21"/>
              </w:rPr>
              <w:t>Internal Quality Assurance System (Benchmarks and Targets)</w:t>
            </w:r>
          </w:p>
        </w:tc>
        <w:tc>
          <w:tcPr>
            <w:tcW w:type="dxa" w:w="1020"/>
            <w:shd w:val="clear" w:color="auto" w:fill="E8EEF5"/>
          </w:tcPr>
          <w:p>
            <w:pPr>
              <w:spacing w:after="20" w:before="20" w:line="240" w:lineRule="auto"/>
              <w:jc w:val="center"/>
            </w:pPr>
            <w:r>
              <w:rPr>
                <w:b/>
                <w:sz w:val="21"/>
              </w:rPr>
              <w:t>341</w:t>
            </w:r>
          </w:p>
        </w:tc>
      </w:tr>
      <w:tr>
        <w:tc>
          <w:tcPr>
            <w:tcW w:type="dxa" w:w="850"/>
          </w:tcPr>
          <w:p>
            <w:pPr>
              <w:spacing w:after="20" w:before="20" w:line="240" w:lineRule="auto"/>
              <w:jc w:val="center"/>
            </w:pPr>
            <w:r>
              <w:rPr>
                <w:sz w:val="21"/>
              </w:rPr>
              <w:t>82.1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341</w:t>
            </w:r>
          </w:p>
        </w:tc>
      </w:tr>
      <w:tr>
        <w:tc>
          <w:tcPr>
            <w:tcW w:type="dxa" w:w="850"/>
            <w:shd w:val="clear" w:color="auto" w:fill="E8EEF5"/>
          </w:tcPr>
          <w:p>
            <w:pPr>
              <w:spacing w:after="20" w:before="20" w:line="240" w:lineRule="auto"/>
              <w:jc w:val="center"/>
            </w:pPr>
            <w:r>
              <w:rPr>
                <w:sz w:val="21"/>
              </w:rPr>
              <w:t>82.2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341</w:t>
            </w:r>
          </w:p>
        </w:tc>
      </w:tr>
      <w:tr>
        <w:tc>
          <w:tcPr>
            <w:tcW w:type="dxa" w:w="850"/>
          </w:tcPr>
          <w:p>
            <w:pPr>
              <w:spacing w:after="20" w:before="20" w:line="240" w:lineRule="auto"/>
              <w:jc w:val="center"/>
            </w:pPr>
            <w:r>
              <w:rPr>
                <w:sz w:val="21"/>
              </w:rPr>
              <w:t>82.3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341</w:t>
            </w:r>
          </w:p>
        </w:tc>
      </w:tr>
      <w:tr>
        <w:tc>
          <w:tcPr>
            <w:tcW w:type="dxa" w:w="850"/>
            <w:shd w:val="clear" w:color="auto" w:fill="E8EEF5"/>
          </w:tcPr>
          <w:p>
            <w:pPr>
              <w:spacing w:after="20" w:before="20" w:line="240" w:lineRule="auto"/>
              <w:jc w:val="center"/>
            </w:pPr>
            <w:r>
              <w:rPr>
                <w:sz w:val="21"/>
              </w:rPr>
              <w:t>82.4</w:t>
            </w:r>
          </w:p>
        </w:tc>
        <w:tc>
          <w:tcPr>
            <w:tcW w:type="dxa" w:w="7540"/>
            <w:shd w:val="clear" w:color="auto" w:fill="E8EEF5"/>
          </w:tcPr>
          <w:p>
            <w:pPr>
              <w:spacing w:after="20" w:before="20" w:line="240" w:lineRule="auto"/>
              <w:jc w:val="left"/>
            </w:pPr>
            <w:r>
              <w:rPr>
                <w:sz w:val="21"/>
              </w:rPr>
              <w:t>Impact of Setting Benchmarks and Targets</w:t>
            </w:r>
          </w:p>
        </w:tc>
        <w:tc>
          <w:tcPr>
            <w:tcW w:type="dxa" w:w="1020"/>
            <w:shd w:val="clear" w:color="auto" w:fill="E8EEF5"/>
          </w:tcPr>
          <w:p>
            <w:pPr>
              <w:spacing w:after="20" w:before="20" w:line="240" w:lineRule="auto"/>
              <w:jc w:val="center"/>
            </w:pPr>
            <w:r>
              <w:rPr>
                <w:sz w:val="21"/>
              </w:rPr>
              <w:t>343</w:t>
            </w:r>
          </w:p>
        </w:tc>
      </w:tr>
      <w:tr>
        <w:tc>
          <w:tcPr>
            <w:tcW w:type="dxa" w:w="850"/>
          </w:tcPr>
          <w:p>
            <w:pPr>
              <w:spacing w:after="20" w:before="20" w:line="240" w:lineRule="auto"/>
              <w:jc w:val="center"/>
            </w:pPr>
            <w:r>
              <w:rPr>
                <w:sz w:val="21"/>
              </w:rPr>
              <w:t>82.5</w:t>
            </w:r>
          </w:p>
        </w:tc>
        <w:tc>
          <w:tcPr>
            <w:tcW w:type="dxa" w:w="7540"/>
          </w:tcPr>
          <w:p>
            <w:pPr>
              <w:spacing w:after="20" w:before="20" w:line="240" w:lineRule="auto"/>
              <w:jc w:val="left"/>
            </w:pPr>
            <w:r>
              <w:rPr>
                <w:sz w:val="21"/>
              </w:rPr>
              <w:t>Outcomes of Benchmarks and Targets in IQAS</w:t>
            </w:r>
          </w:p>
        </w:tc>
        <w:tc>
          <w:tcPr>
            <w:tcW w:type="dxa" w:w="1020"/>
          </w:tcPr>
          <w:p>
            <w:pPr>
              <w:spacing w:after="20" w:before="20" w:line="240" w:lineRule="auto"/>
              <w:jc w:val="center"/>
            </w:pPr>
            <w:r>
              <w:rPr>
                <w:sz w:val="21"/>
              </w:rPr>
              <w:t>344</w:t>
            </w:r>
          </w:p>
        </w:tc>
      </w:tr>
      <w:tr>
        <w:tc>
          <w:tcPr>
            <w:tcW w:type="dxa" w:w="850"/>
            <w:shd w:val="clear" w:color="auto" w:fill="E8EEF5"/>
          </w:tcPr>
          <w:p>
            <w:pPr>
              <w:spacing w:after="20" w:before="20" w:line="240" w:lineRule="auto"/>
              <w:jc w:val="center"/>
            </w:pPr>
            <w:r>
              <w:rPr>
                <w:sz w:val="21"/>
              </w:rPr>
              <w:t>82.6</w:t>
            </w:r>
          </w:p>
        </w:tc>
        <w:tc>
          <w:tcPr>
            <w:tcW w:type="dxa" w:w="7540"/>
            <w:shd w:val="clear" w:color="auto" w:fill="E8EEF5"/>
          </w:tcPr>
          <w:p>
            <w:pPr>
              <w:spacing w:after="20" w:before="20" w:line="240" w:lineRule="auto"/>
              <w:jc w:val="left"/>
            </w:pPr>
            <w:r>
              <w:rPr>
                <w:sz w:val="21"/>
              </w:rPr>
              <w:t>Challenges and Solutions in Implementing Benchmarks and Targets</w:t>
            </w:r>
          </w:p>
        </w:tc>
        <w:tc>
          <w:tcPr>
            <w:tcW w:type="dxa" w:w="1020"/>
            <w:shd w:val="clear" w:color="auto" w:fill="E8EEF5"/>
          </w:tcPr>
          <w:p>
            <w:pPr>
              <w:spacing w:after="20" w:before="20" w:line="240" w:lineRule="auto"/>
              <w:jc w:val="center"/>
            </w:pPr>
            <w:r>
              <w:rPr>
                <w:sz w:val="21"/>
              </w:rPr>
              <w:t>345</w:t>
            </w:r>
          </w:p>
        </w:tc>
      </w:tr>
      <w:tr>
        <w:tc>
          <w:tcPr>
            <w:tcW w:type="dxa" w:w="850"/>
          </w:tcPr>
          <w:p>
            <w:pPr>
              <w:spacing w:after="20" w:before="20" w:line="240" w:lineRule="auto"/>
              <w:jc w:val="center"/>
            </w:pPr>
            <w:r>
              <w:rPr>
                <w:sz w:val="21"/>
              </w:rPr>
              <w:t>82.7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345</w:t>
            </w:r>
          </w:p>
        </w:tc>
      </w:tr>
      <w:tr>
        <w:tc>
          <w:tcPr>
            <w:tcW w:type="dxa" w:w="850"/>
            <w:shd w:val="clear" w:color="auto" w:fill="E8EEF5"/>
          </w:tcPr>
          <w:p>
            <w:pPr>
              <w:spacing w:after="20" w:before="20" w:line="240" w:lineRule="auto"/>
              <w:jc w:val="center"/>
            </w:pPr>
            <w:r>
              <w:rPr>
                <w:b/>
                <w:sz w:val="21"/>
              </w:rPr>
              <w:t>83</w:t>
            </w:r>
          </w:p>
        </w:tc>
        <w:tc>
          <w:tcPr>
            <w:tcW w:type="dxa" w:w="7540"/>
            <w:shd w:val="clear" w:color="auto" w:fill="E8EEF5"/>
          </w:tcPr>
          <w:p>
            <w:pPr>
              <w:spacing w:after="20" w:before="20" w:line="240" w:lineRule="auto"/>
              <w:jc w:val="left"/>
            </w:pPr>
            <w:r>
              <w:rPr>
                <w:b/>
                <w:sz w:val="21"/>
              </w:rPr>
              <w:t>Internal Quality Assurance System (Continuous Improvement)</w:t>
            </w:r>
          </w:p>
        </w:tc>
        <w:tc>
          <w:tcPr>
            <w:tcW w:type="dxa" w:w="1020"/>
            <w:shd w:val="clear" w:color="auto" w:fill="E8EEF5"/>
          </w:tcPr>
          <w:p>
            <w:pPr>
              <w:spacing w:after="20" w:before="20" w:line="240" w:lineRule="auto"/>
              <w:jc w:val="center"/>
            </w:pPr>
            <w:r>
              <w:rPr>
                <w:b/>
                <w:sz w:val="21"/>
              </w:rPr>
              <w:t>346</w:t>
            </w:r>
          </w:p>
        </w:tc>
      </w:tr>
      <w:tr>
        <w:tc>
          <w:tcPr>
            <w:tcW w:type="dxa" w:w="850"/>
          </w:tcPr>
          <w:p>
            <w:pPr>
              <w:spacing w:after="20" w:before="20" w:line="240" w:lineRule="auto"/>
              <w:jc w:val="center"/>
            </w:pPr>
            <w:r>
              <w:rPr>
                <w:sz w:val="21"/>
              </w:rPr>
              <w:t>83.1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346</w:t>
            </w:r>
          </w:p>
        </w:tc>
      </w:tr>
      <w:tr>
        <w:tc>
          <w:tcPr>
            <w:tcW w:type="dxa" w:w="850"/>
            <w:shd w:val="clear" w:color="auto" w:fill="E8EEF5"/>
          </w:tcPr>
          <w:p>
            <w:pPr>
              <w:spacing w:after="20" w:before="20" w:line="240" w:lineRule="auto"/>
              <w:jc w:val="center"/>
            </w:pPr>
            <w:r>
              <w:rPr>
                <w:sz w:val="21"/>
              </w:rPr>
              <w:t>83.2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346</w:t>
            </w:r>
          </w:p>
        </w:tc>
      </w:tr>
      <w:tr>
        <w:tc>
          <w:tcPr>
            <w:tcW w:type="dxa" w:w="850"/>
          </w:tcPr>
          <w:p>
            <w:pPr>
              <w:spacing w:after="20" w:before="20" w:line="240" w:lineRule="auto"/>
              <w:jc w:val="center"/>
            </w:pPr>
            <w:r>
              <w:rPr>
                <w:sz w:val="21"/>
              </w:rPr>
              <w:t>83.3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346</w:t>
            </w:r>
          </w:p>
        </w:tc>
      </w:tr>
      <w:tr>
        <w:tc>
          <w:tcPr>
            <w:tcW w:type="dxa" w:w="850"/>
            <w:shd w:val="clear" w:color="auto" w:fill="E8EEF5"/>
          </w:tcPr>
          <w:p>
            <w:pPr>
              <w:spacing w:after="20" w:before="20" w:line="240" w:lineRule="auto"/>
              <w:jc w:val="center"/>
            </w:pPr>
            <w:r>
              <w:rPr>
                <w:sz w:val="21"/>
              </w:rPr>
              <w:t>83.4</w:t>
            </w:r>
          </w:p>
        </w:tc>
        <w:tc>
          <w:tcPr>
            <w:tcW w:type="dxa" w:w="7540"/>
            <w:shd w:val="clear" w:color="auto" w:fill="E8EEF5"/>
          </w:tcPr>
          <w:p>
            <w:pPr>
              <w:spacing w:after="20" w:before="20" w:line="240" w:lineRule="auto"/>
              <w:jc w:val="left"/>
            </w:pPr>
            <w:r>
              <w:rPr>
                <w:sz w:val="21"/>
              </w:rPr>
              <w:t>Impact</w:t>
            </w:r>
          </w:p>
        </w:tc>
        <w:tc>
          <w:tcPr>
            <w:tcW w:type="dxa" w:w="1020"/>
            <w:shd w:val="clear" w:color="auto" w:fill="E8EEF5"/>
          </w:tcPr>
          <w:p>
            <w:pPr>
              <w:spacing w:after="20" w:before="20" w:line="240" w:lineRule="auto"/>
              <w:jc w:val="center"/>
            </w:pPr>
            <w:r>
              <w:rPr>
                <w:sz w:val="21"/>
              </w:rPr>
              <w:t>349</w:t>
            </w:r>
          </w:p>
        </w:tc>
      </w:tr>
      <w:tr>
        <w:tc>
          <w:tcPr>
            <w:tcW w:type="dxa" w:w="850"/>
          </w:tcPr>
          <w:p>
            <w:pPr>
              <w:spacing w:after="20" w:before="20" w:line="240" w:lineRule="auto"/>
              <w:jc w:val="center"/>
            </w:pPr>
            <w:r>
              <w:rPr>
                <w:sz w:val="21"/>
              </w:rPr>
              <w:t>83.5</w:t>
            </w:r>
          </w:p>
        </w:tc>
        <w:tc>
          <w:tcPr>
            <w:tcW w:type="dxa" w:w="7540"/>
          </w:tcPr>
          <w:p>
            <w:pPr>
              <w:spacing w:after="20" w:before="20" w:line="240" w:lineRule="auto"/>
              <w:jc w:val="left"/>
            </w:pPr>
            <w:r>
              <w:rPr>
                <w:sz w:val="21"/>
              </w:rPr>
              <w:t>Outcomes of Continuous Improvement in IQAS</w:t>
            </w:r>
          </w:p>
        </w:tc>
        <w:tc>
          <w:tcPr>
            <w:tcW w:type="dxa" w:w="1020"/>
          </w:tcPr>
          <w:p>
            <w:pPr>
              <w:spacing w:after="20" w:before="20" w:line="240" w:lineRule="auto"/>
              <w:jc w:val="center"/>
            </w:pPr>
            <w:r>
              <w:rPr>
                <w:sz w:val="21"/>
              </w:rPr>
              <w:t>349</w:t>
            </w:r>
          </w:p>
        </w:tc>
      </w:tr>
      <w:tr>
        <w:tc>
          <w:tcPr>
            <w:tcW w:type="dxa" w:w="850"/>
            <w:shd w:val="clear" w:color="auto" w:fill="E8EEF5"/>
          </w:tcPr>
          <w:p>
            <w:pPr>
              <w:spacing w:after="20" w:before="20" w:line="240" w:lineRule="auto"/>
              <w:jc w:val="center"/>
            </w:pPr>
            <w:r>
              <w:rPr>
                <w:sz w:val="21"/>
              </w:rPr>
              <w:t>83.6</w:t>
            </w:r>
          </w:p>
        </w:tc>
        <w:tc>
          <w:tcPr>
            <w:tcW w:type="dxa" w:w="7540"/>
            <w:shd w:val="clear" w:color="auto" w:fill="E8EEF5"/>
          </w:tcPr>
          <w:p>
            <w:pPr>
              <w:spacing w:after="20" w:before="20" w:line="240" w:lineRule="auto"/>
              <w:jc w:val="left"/>
            </w:pPr>
            <w:r>
              <w:rPr>
                <w:sz w:val="21"/>
              </w:rPr>
              <w:t>Challenges and Solutions in Continuous Improvement</w:t>
            </w:r>
          </w:p>
        </w:tc>
        <w:tc>
          <w:tcPr>
            <w:tcW w:type="dxa" w:w="1020"/>
            <w:shd w:val="clear" w:color="auto" w:fill="E8EEF5"/>
          </w:tcPr>
          <w:p>
            <w:pPr>
              <w:spacing w:after="20" w:before="20" w:line="240" w:lineRule="auto"/>
              <w:jc w:val="center"/>
            </w:pPr>
            <w:r>
              <w:rPr>
                <w:sz w:val="21"/>
              </w:rPr>
              <w:t>350</w:t>
            </w:r>
          </w:p>
        </w:tc>
      </w:tr>
      <w:tr>
        <w:tc>
          <w:tcPr>
            <w:tcW w:type="dxa" w:w="850"/>
          </w:tcPr>
          <w:p>
            <w:pPr>
              <w:spacing w:after="20" w:before="20" w:line="240" w:lineRule="auto"/>
              <w:jc w:val="center"/>
            </w:pPr>
            <w:r>
              <w:rPr>
                <w:sz w:val="21"/>
              </w:rPr>
              <w:t>83.7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351</w:t>
            </w:r>
          </w:p>
        </w:tc>
      </w:tr>
      <w:tr>
        <w:tc>
          <w:tcPr>
            <w:tcW w:type="dxa" w:w="850"/>
            <w:shd w:val="clear" w:color="auto" w:fill="E8EEF5"/>
          </w:tcPr>
          <w:p>
            <w:pPr>
              <w:spacing w:after="20" w:before="20" w:line="240" w:lineRule="auto"/>
              <w:jc w:val="center"/>
            </w:pPr>
            <w:r>
              <w:rPr>
                <w:b/>
                <w:sz w:val="21"/>
              </w:rPr>
              <w:t>84</w:t>
            </w:r>
          </w:p>
        </w:tc>
        <w:tc>
          <w:tcPr>
            <w:tcW w:type="dxa" w:w="7540"/>
            <w:shd w:val="clear" w:color="auto" w:fill="E8EEF5"/>
          </w:tcPr>
          <w:p>
            <w:pPr>
              <w:spacing w:after="20" w:before="20" w:line="240" w:lineRule="auto"/>
              <w:jc w:val="left"/>
            </w:pPr>
            <w:r>
              <w:rPr>
                <w:b/>
                <w:sz w:val="21"/>
              </w:rPr>
              <w:t>Internal Quality Assurance System (Regular Audits)</w:t>
            </w:r>
          </w:p>
        </w:tc>
        <w:tc>
          <w:tcPr>
            <w:tcW w:type="dxa" w:w="1020"/>
            <w:shd w:val="clear" w:color="auto" w:fill="E8EEF5"/>
          </w:tcPr>
          <w:p>
            <w:pPr>
              <w:spacing w:after="20" w:before="20" w:line="240" w:lineRule="auto"/>
              <w:jc w:val="center"/>
            </w:pPr>
            <w:r>
              <w:rPr>
                <w:b/>
                <w:sz w:val="21"/>
              </w:rPr>
              <w:t>352</w:t>
            </w:r>
          </w:p>
        </w:tc>
      </w:tr>
      <w:tr>
        <w:tc>
          <w:tcPr>
            <w:tcW w:type="dxa" w:w="850"/>
          </w:tcPr>
          <w:p>
            <w:pPr>
              <w:spacing w:after="20" w:before="20" w:line="240" w:lineRule="auto"/>
              <w:jc w:val="center"/>
            </w:pPr>
            <w:r>
              <w:rPr>
                <w:sz w:val="21"/>
              </w:rPr>
              <w:t>84.1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352</w:t>
            </w:r>
          </w:p>
        </w:tc>
      </w:tr>
      <w:tr>
        <w:tc>
          <w:tcPr>
            <w:tcW w:type="dxa" w:w="850"/>
            <w:shd w:val="clear" w:color="auto" w:fill="E8EEF5"/>
          </w:tcPr>
          <w:p>
            <w:pPr>
              <w:spacing w:after="20" w:before="20" w:line="240" w:lineRule="auto"/>
              <w:jc w:val="center"/>
            </w:pPr>
            <w:r>
              <w:rPr>
                <w:sz w:val="21"/>
              </w:rPr>
              <w:t>84.2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352</w:t>
            </w:r>
          </w:p>
        </w:tc>
      </w:tr>
      <w:tr>
        <w:tc>
          <w:tcPr>
            <w:tcW w:type="dxa" w:w="850"/>
          </w:tcPr>
          <w:p>
            <w:pPr>
              <w:spacing w:after="20" w:before="20" w:line="240" w:lineRule="auto"/>
              <w:jc w:val="center"/>
            </w:pPr>
            <w:r>
              <w:rPr>
                <w:sz w:val="21"/>
              </w:rPr>
              <w:t>84.3</w:t>
            </w:r>
          </w:p>
        </w:tc>
        <w:tc>
          <w:tcPr>
            <w:tcW w:type="dxa" w:w="7540"/>
          </w:tcPr>
          <w:p>
            <w:pPr>
              <w:spacing w:after="20" w:before="20" w:line="240" w:lineRule="auto"/>
              <w:jc w:val="left"/>
            </w:pPr>
            <w:r>
              <w:rPr>
                <w:sz w:val="21"/>
              </w:rPr>
              <w:t>Key Practices</w:t>
            </w:r>
          </w:p>
        </w:tc>
        <w:tc>
          <w:tcPr>
            <w:tcW w:type="dxa" w:w="1020"/>
          </w:tcPr>
          <w:p>
            <w:pPr>
              <w:spacing w:after="20" w:before="20" w:line="240" w:lineRule="auto"/>
              <w:jc w:val="center"/>
            </w:pPr>
            <w:r>
              <w:rPr>
                <w:sz w:val="21"/>
              </w:rPr>
              <w:t>352</w:t>
            </w:r>
          </w:p>
        </w:tc>
      </w:tr>
      <w:tr>
        <w:tc>
          <w:tcPr>
            <w:tcW w:type="dxa" w:w="850"/>
            <w:shd w:val="clear" w:color="auto" w:fill="E8EEF5"/>
          </w:tcPr>
          <w:p>
            <w:pPr>
              <w:spacing w:after="20" w:before="20" w:line="240" w:lineRule="auto"/>
              <w:jc w:val="center"/>
            </w:pPr>
            <w:r>
              <w:rPr>
                <w:sz w:val="21"/>
              </w:rPr>
              <w:t>84.4</w:t>
            </w:r>
          </w:p>
        </w:tc>
        <w:tc>
          <w:tcPr>
            <w:tcW w:type="dxa" w:w="7540"/>
            <w:shd w:val="clear" w:color="auto" w:fill="E8EEF5"/>
          </w:tcPr>
          <w:p>
            <w:pPr>
              <w:spacing w:after="20" w:before="20" w:line="240" w:lineRule="auto"/>
              <w:jc w:val="left"/>
            </w:pPr>
            <w:r>
              <w:rPr>
                <w:sz w:val="21"/>
              </w:rPr>
              <w:t>Impact</w:t>
            </w:r>
          </w:p>
        </w:tc>
        <w:tc>
          <w:tcPr>
            <w:tcW w:type="dxa" w:w="1020"/>
            <w:shd w:val="clear" w:color="auto" w:fill="E8EEF5"/>
          </w:tcPr>
          <w:p>
            <w:pPr>
              <w:spacing w:after="20" w:before="20" w:line="240" w:lineRule="auto"/>
              <w:jc w:val="center"/>
            </w:pPr>
            <w:r>
              <w:rPr>
                <w:sz w:val="21"/>
              </w:rPr>
              <w:t>354</w:t>
            </w:r>
          </w:p>
        </w:tc>
      </w:tr>
      <w:tr>
        <w:tc>
          <w:tcPr>
            <w:tcW w:type="dxa" w:w="850"/>
          </w:tcPr>
          <w:p>
            <w:pPr>
              <w:spacing w:after="20" w:before="20" w:line="240" w:lineRule="auto"/>
              <w:jc w:val="center"/>
            </w:pPr>
            <w:r>
              <w:rPr>
                <w:sz w:val="21"/>
              </w:rPr>
              <w:t>84.5</w:t>
            </w:r>
          </w:p>
        </w:tc>
        <w:tc>
          <w:tcPr>
            <w:tcW w:type="dxa" w:w="7540"/>
          </w:tcPr>
          <w:p>
            <w:pPr>
              <w:spacing w:after="20" w:before="20" w:line="240" w:lineRule="auto"/>
              <w:jc w:val="left"/>
            </w:pPr>
            <w:r>
              <w:rPr>
                <w:sz w:val="21"/>
              </w:rPr>
              <w:t>Outcomes of Regular Audits in IQAS</w:t>
            </w:r>
          </w:p>
        </w:tc>
        <w:tc>
          <w:tcPr>
            <w:tcW w:type="dxa" w:w="1020"/>
          </w:tcPr>
          <w:p>
            <w:pPr>
              <w:spacing w:after="20" w:before="20" w:line="240" w:lineRule="auto"/>
              <w:jc w:val="center"/>
            </w:pPr>
            <w:r>
              <w:rPr>
                <w:sz w:val="21"/>
              </w:rPr>
              <w:t>354</w:t>
            </w:r>
          </w:p>
        </w:tc>
      </w:tr>
      <w:tr>
        <w:tc>
          <w:tcPr>
            <w:tcW w:type="dxa" w:w="850"/>
            <w:shd w:val="clear" w:color="auto" w:fill="E8EEF5"/>
          </w:tcPr>
          <w:p>
            <w:pPr>
              <w:spacing w:after="20" w:before="20" w:line="240" w:lineRule="auto"/>
              <w:jc w:val="center"/>
            </w:pPr>
            <w:r>
              <w:rPr>
                <w:sz w:val="21"/>
              </w:rPr>
              <w:t>84.6</w:t>
            </w:r>
          </w:p>
        </w:tc>
        <w:tc>
          <w:tcPr>
            <w:tcW w:type="dxa" w:w="7540"/>
            <w:shd w:val="clear" w:color="auto" w:fill="E8EEF5"/>
          </w:tcPr>
          <w:p>
            <w:pPr>
              <w:spacing w:after="20" w:before="20" w:line="240" w:lineRule="auto"/>
              <w:jc w:val="left"/>
            </w:pPr>
            <w:r>
              <w:rPr>
                <w:sz w:val="21"/>
              </w:rPr>
              <w:t>Challenges and Solutions in Regular Audits</w:t>
            </w:r>
          </w:p>
        </w:tc>
        <w:tc>
          <w:tcPr>
            <w:tcW w:type="dxa" w:w="1020"/>
            <w:shd w:val="clear" w:color="auto" w:fill="E8EEF5"/>
          </w:tcPr>
          <w:p>
            <w:pPr>
              <w:spacing w:after="20" w:before="20" w:line="240" w:lineRule="auto"/>
              <w:jc w:val="center"/>
            </w:pPr>
            <w:r>
              <w:rPr>
                <w:sz w:val="21"/>
              </w:rPr>
              <w:t>355</w:t>
            </w:r>
          </w:p>
        </w:tc>
      </w:tr>
      <w:tr>
        <w:tc>
          <w:tcPr>
            <w:tcW w:type="dxa" w:w="850"/>
          </w:tcPr>
          <w:p>
            <w:pPr>
              <w:spacing w:after="20" w:before="20" w:line="240" w:lineRule="auto"/>
              <w:jc w:val="center"/>
            </w:pPr>
            <w:r>
              <w:rPr>
                <w:sz w:val="21"/>
              </w:rPr>
              <w:t>84.7</w:t>
            </w:r>
          </w:p>
        </w:tc>
        <w:tc>
          <w:tcPr>
            <w:tcW w:type="dxa" w:w="7540"/>
          </w:tcPr>
          <w:p>
            <w:pPr>
              <w:spacing w:after="20" w:before="20" w:line="240" w:lineRule="auto"/>
              <w:jc w:val="left"/>
            </w:pPr>
            <w:r>
              <w:rPr>
                <w:sz w:val="21"/>
              </w:rPr>
              <w:t>Conclusion</w:t>
            </w:r>
          </w:p>
        </w:tc>
        <w:tc>
          <w:tcPr>
            <w:tcW w:type="dxa" w:w="1020"/>
          </w:tcPr>
          <w:p>
            <w:pPr>
              <w:spacing w:after="20" w:before="20" w:line="240" w:lineRule="auto"/>
              <w:jc w:val="center"/>
            </w:pPr>
            <w:r>
              <w:rPr>
                <w:sz w:val="21"/>
              </w:rPr>
              <w:t>356</w:t>
            </w:r>
          </w:p>
        </w:tc>
      </w:tr>
      <w:tr>
        <w:tc>
          <w:tcPr>
            <w:tcW w:type="dxa" w:w="850"/>
            <w:shd w:val="clear" w:color="auto" w:fill="E8EEF5"/>
          </w:tcPr>
          <w:p>
            <w:pPr>
              <w:spacing w:after="20" w:before="20" w:line="240" w:lineRule="auto"/>
              <w:jc w:val="center"/>
            </w:pPr>
            <w:r>
              <w:rPr>
                <w:b/>
                <w:sz w:val="21"/>
              </w:rPr>
              <w:t>85</w:t>
            </w:r>
          </w:p>
        </w:tc>
        <w:tc>
          <w:tcPr>
            <w:tcW w:type="dxa" w:w="7540"/>
            <w:shd w:val="clear" w:color="auto" w:fill="E8EEF5"/>
          </w:tcPr>
          <w:p>
            <w:pPr>
              <w:spacing w:after="20" w:before="20" w:line="240" w:lineRule="auto"/>
              <w:jc w:val="left"/>
            </w:pPr>
            <w:r>
              <w:rPr>
                <w:b/>
                <w:sz w:val="21"/>
              </w:rPr>
              <w:t>Budgeting and Auditing Procedures: Regular and Standardized</w:t>
            </w:r>
          </w:p>
        </w:tc>
        <w:tc>
          <w:tcPr>
            <w:tcW w:type="dxa" w:w="1020"/>
            <w:shd w:val="clear" w:color="auto" w:fill="E8EEF5"/>
          </w:tcPr>
          <w:p>
            <w:pPr>
              <w:spacing w:after="20" w:before="20" w:line="240" w:lineRule="auto"/>
              <w:jc w:val="center"/>
            </w:pPr>
            <w:r>
              <w:rPr>
                <w:b/>
                <w:sz w:val="21"/>
              </w:rPr>
              <w:t>357</w:t>
            </w:r>
          </w:p>
        </w:tc>
      </w:tr>
      <w:tr>
        <w:tc>
          <w:tcPr>
            <w:tcW w:type="dxa" w:w="850"/>
          </w:tcPr>
          <w:p>
            <w:pPr>
              <w:spacing w:after="20" w:before="20" w:line="240" w:lineRule="auto"/>
              <w:jc w:val="center"/>
            </w:pPr>
            <w:r>
              <w:rPr>
                <w:sz w:val="21"/>
              </w:rPr>
              <w:t>85.1</w:t>
            </w:r>
          </w:p>
        </w:tc>
        <w:tc>
          <w:tcPr>
            <w:tcW w:type="dxa" w:w="7540"/>
          </w:tcPr>
          <w:p>
            <w:pPr>
              <w:spacing w:after="20" w:before="20" w:line="240" w:lineRule="auto"/>
              <w:jc w:val="left"/>
            </w:pPr>
            <w:r>
              <w:rPr>
                <w:sz w:val="21"/>
              </w:rPr>
              <w:t>Introduction</w:t>
            </w:r>
          </w:p>
        </w:tc>
        <w:tc>
          <w:tcPr>
            <w:tcW w:type="dxa" w:w="1020"/>
          </w:tcPr>
          <w:p>
            <w:pPr>
              <w:spacing w:after="20" w:before="20" w:line="240" w:lineRule="auto"/>
              <w:jc w:val="center"/>
            </w:pPr>
            <w:r>
              <w:rPr>
                <w:sz w:val="21"/>
              </w:rPr>
              <w:t>357</w:t>
            </w:r>
          </w:p>
        </w:tc>
      </w:tr>
      <w:tr>
        <w:tc>
          <w:tcPr>
            <w:tcW w:type="dxa" w:w="850"/>
            <w:shd w:val="clear" w:color="auto" w:fill="E8EEF5"/>
          </w:tcPr>
          <w:p>
            <w:pPr>
              <w:spacing w:after="20" w:before="20" w:line="240" w:lineRule="auto"/>
              <w:jc w:val="center"/>
            </w:pPr>
            <w:r>
              <w:rPr>
                <w:sz w:val="21"/>
              </w:rPr>
              <w:t>85.2</w:t>
            </w:r>
          </w:p>
        </w:tc>
        <w:tc>
          <w:tcPr>
            <w:tcW w:type="dxa" w:w="7540"/>
            <w:shd w:val="clear" w:color="auto" w:fill="E8EEF5"/>
          </w:tcPr>
          <w:p>
            <w:pPr>
              <w:spacing w:after="20" w:before="20" w:line="240" w:lineRule="auto"/>
              <w:jc w:val="left"/>
            </w:pPr>
            <w:r>
              <w:rPr>
                <w:sz w:val="21"/>
              </w:rPr>
              <w:t>Objective of the Practice</w:t>
            </w:r>
          </w:p>
        </w:tc>
        <w:tc>
          <w:tcPr>
            <w:tcW w:type="dxa" w:w="1020"/>
            <w:shd w:val="clear" w:color="auto" w:fill="E8EEF5"/>
          </w:tcPr>
          <w:p>
            <w:pPr>
              <w:spacing w:after="20" w:before="20" w:line="240" w:lineRule="auto"/>
              <w:jc w:val="center"/>
            </w:pPr>
            <w:r>
              <w:rPr>
                <w:sz w:val="21"/>
              </w:rPr>
              <w:t>357</w:t>
            </w:r>
          </w:p>
        </w:tc>
      </w:tr>
      <w:tr>
        <w:tc>
          <w:tcPr>
            <w:tcW w:type="dxa" w:w="850"/>
          </w:tcPr>
          <w:p>
            <w:pPr>
              <w:spacing w:after="20" w:before="20" w:line="240" w:lineRule="auto"/>
              <w:jc w:val="center"/>
            </w:pPr>
            <w:r>
              <w:rPr>
                <w:sz w:val="21"/>
              </w:rPr>
              <w:t>85.3</w:t>
            </w:r>
          </w:p>
        </w:tc>
        <w:tc>
          <w:tcPr>
            <w:tcW w:type="dxa" w:w="7540"/>
          </w:tcPr>
          <w:p>
            <w:pPr>
              <w:spacing w:after="20" w:before="20" w:line="240" w:lineRule="auto"/>
              <w:jc w:val="left"/>
            </w:pPr>
            <w:r>
              <w:rPr>
                <w:sz w:val="21"/>
              </w:rPr>
              <w:t>Key Components of Regular and Standardized Budgeting and Auditing Procedures</w:t>
            </w:r>
          </w:p>
        </w:tc>
        <w:tc>
          <w:tcPr>
            <w:tcW w:type="dxa" w:w="1020"/>
          </w:tcPr>
          <w:p>
            <w:pPr>
              <w:spacing w:after="20" w:before="20" w:line="240" w:lineRule="auto"/>
              <w:jc w:val="center"/>
            </w:pPr>
            <w:r>
              <w:rPr>
                <w:sz w:val="21"/>
              </w:rPr>
              <w:t>357</w:t>
            </w:r>
          </w:p>
        </w:tc>
      </w:tr>
      <w:tr>
        <w:tc>
          <w:tcPr>
            <w:tcW w:type="dxa" w:w="850"/>
            <w:shd w:val="clear" w:color="auto" w:fill="E8EEF5"/>
          </w:tcPr>
          <w:p>
            <w:pPr>
              <w:spacing w:after="20" w:before="20" w:line="240" w:lineRule="auto"/>
              <w:jc w:val="center"/>
            </w:pPr>
            <w:r>
              <w:rPr>
                <w:sz w:val="21"/>
              </w:rPr>
              <w:t>85.4</w:t>
            </w:r>
          </w:p>
        </w:tc>
        <w:tc>
          <w:tcPr>
            <w:tcW w:type="dxa" w:w="7540"/>
            <w:shd w:val="clear" w:color="auto" w:fill="E8EEF5"/>
          </w:tcPr>
          <w:p>
            <w:pPr>
              <w:spacing w:after="20" w:before="20" w:line="240" w:lineRule="auto"/>
              <w:jc w:val="left"/>
            </w:pPr>
            <w:r>
              <w:rPr>
                <w:sz w:val="21"/>
              </w:rPr>
              <w:t>Benefits of Regular and Standardized Budgeting and Auditing Procedures</w:t>
            </w:r>
          </w:p>
        </w:tc>
        <w:tc>
          <w:tcPr>
            <w:tcW w:type="dxa" w:w="1020"/>
            <w:shd w:val="clear" w:color="auto" w:fill="E8EEF5"/>
          </w:tcPr>
          <w:p>
            <w:pPr>
              <w:spacing w:after="20" w:before="20" w:line="240" w:lineRule="auto"/>
              <w:jc w:val="center"/>
            </w:pPr>
            <w:r>
              <w:rPr>
                <w:sz w:val="21"/>
              </w:rPr>
              <w:t>359</w:t>
            </w:r>
          </w:p>
        </w:tc>
      </w:tr>
      <w:tr>
        <w:tc>
          <w:tcPr>
            <w:tcW w:type="dxa" w:w="850"/>
          </w:tcPr>
          <w:p>
            <w:pPr>
              <w:spacing w:after="20" w:before="20" w:line="240" w:lineRule="auto"/>
              <w:jc w:val="center"/>
            </w:pPr>
            <w:r>
              <w:rPr>
                <w:sz w:val="21"/>
              </w:rPr>
              <w:t>85.5</w:t>
            </w:r>
          </w:p>
        </w:tc>
        <w:tc>
          <w:tcPr>
            <w:tcW w:type="dxa" w:w="7540"/>
          </w:tcPr>
          <w:p>
            <w:pPr>
              <w:spacing w:after="20" w:before="20" w:line="240" w:lineRule="auto"/>
              <w:jc w:val="left"/>
            </w:pPr>
            <w:r>
              <w:rPr>
                <w:sz w:val="21"/>
              </w:rPr>
              <w:t>Challenges and Solutions in Implementing Regular and Standardized Budgeting and Auditing Procedures</w:t>
            </w:r>
          </w:p>
        </w:tc>
        <w:tc>
          <w:tcPr>
            <w:tcW w:type="dxa" w:w="1020"/>
          </w:tcPr>
          <w:p>
            <w:pPr>
              <w:spacing w:after="20" w:before="20" w:line="240" w:lineRule="auto"/>
              <w:jc w:val="center"/>
            </w:pPr>
            <w:r>
              <w:rPr>
                <w:sz w:val="21"/>
              </w:rPr>
              <w:t>360</w:t>
            </w:r>
          </w:p>
        </w:tc>
      </w:tr>
      <w:tr>
        <w:tc>
          <w:tcPr>
            <w:tcW w:type="dxa" w:w="850"/>
            <w:shd w:val="clear" w:color="auto" w:fill="E8EEF5"/>
          </w:tcPr>
          <w:p>
            <w:pPr>
              <w:spacing w:after="20" w:before="20" w:line="240" w:lineRule="auto"/>
              <w:jc w:val="center"/>
            </w:pPr>
            <w:r>
              <w:rPr>
                <w:sz w:val="21"/>
              </w:rPr>
              <w:t>85.6</w:t>
            </w:r>
          </w:p>
        </w:tc>
        <w:tc>
          <w:tcPr>
            <w:tcW w:type="dxa" w:w="7540"/>
            <w:shd w:val="clear" w:color="auto" w:fill="E8EEF5"/>
          </w:tcPr>
          <w:p>
            <w:pPr>
              <w:spacing w:after="20" w:before="20" w:line="240" w:lineRule="auto"/>
              <w:jc w:val="left"/>
            </w:pPr>
            <w:r>
              <w:rPr>
                <w:sz w:val="21"/>
              </w:rPr>
              <w:t>Conclusion</w:t>
            </w:r>
          </w:p>
        </w:tc>
        <w:tc>
          <w:tcPr>
            <w:tcW w:type="dxa" w:w="1020"/>
            <w:shd w:val="clear" w:color="auto" w:fill="E8EEF5"/>
          </w:tcPr>
          <w:p>
            <w:pPr>
              <w:spacing w:after="20" w:before="20" w:line="240" w:lineRule="auto"/>
              <w:jc w:val="center"/>
            </w:pPr>
            <w:r>
              <w:rPr>
                <w:sz w:val="21"/>
              </w:rPr>
              <w:t>360</w:t>
            </w:r>
          </w:p>
        </w:tc>
      </w:tr>
      <w:tr>
        <w:tc>
          <w:tcPr>
            <w:tcW w:type="dxa" w:w="850"/>
          </w:tcPr>
          <w:p>
            <w:pPr>
              <w:spacing w:after="20" w:before="20" w:line="240" w:lineRule="auto"/>
              <w:jc w:val="center"/>
            </w:pPr>
            <w:r>
              <w:rPr>
                <w:b/>
                <w:sz w:val="21"/>
              </w:rPr>
              <w:t>86</w:t>
            </w:r>
          </w:p>
        </w:tc>
        <w:tc>
          <w:tcPr>
            <w:tcW w:type="dxa" w:w="7540"/>
          </w:tcPr>
          <w:p>
            <w:pPr>
              <w:spacing w:after="20" w:before="20" w:line="240" w:lineRule="auto"/>
              <w:jc w:val="left"/>
            </w:pPr>
            <w:r>
              <w:rPr>
                <w:b/>
                <w:sz w:val="21"/>
              </w:rPr>
              <w:t>Format for Presentation of Best Practices</w:t>
            </w:r>
          </w:p>
        </w:tc>
        <w:tc>
          <w:tcPr>
            <w:tcW w:type="dxa" w:w="1020"/>
          </w:tcPr>
          <w:p>
            <w:pPr>
              <w:spacing w:after="20" w:before="20" w:line="240" w:lineRule="auto"/>
              <w:jc w:val="center"/>
            </w:pPr>
            <w:r>
              <w:rPr>
                <w:b/>
                <w:sz w:val="21"/>
              </w:rPr>
              <w:t>361</w:t>
            </w:r>
          </w:p>
        </w:tc>
      </w:tr>
      <w:tr>
        <w:tc>
          <w:tcPr>
            <w:tcW w:type="dxa" w:w="850"/>
            <w:shd w:val="clear" w:color="auto" w:fill="E8EEF5"/>
          </w:tcPr>
          <w:p>
            <w:pPr>
              <w:spacing w:after="20" w:before="20" w:line="240" w:lineRule="auto"/>
              <w:jc w:val="center"/>
            </w:pPr>
            <w:r>
              <w:rPr>
                <w:sz w:val="21"/>
              </w:rPr>
              <w:t>86.1</w:t>
            </w:r>
          </w:p>
        </w:tc>
        <w:tc>
          <w:tcPr>
            <w:tcW w:type="dxa" w:w="7540"/>
            <w:shd w:val="clear" w:color="auto" w:fill="E8EEF5"/>
          </w:tcPr>
          <w:p>
            <w:pPr>
              <w:spacing w:after="20" w:before="20" w:line="240" w:lineRule="auto"/>
              <w:jc w:val="left"/>
            </w:pPr>
            <w:r>
              <w:rPr>
                <w:sz w:val="21"/>
              </w:rPr>
              <w:t>Title of the Practice</w:t>
            </w:r>
          </w:p>
        </w:tc>
        <w:tc>
          <w:tcPr>
            <w:tcW w:type="dxa" w:w="1020"/>
            <w:shd w:val="clear" w:color="auto" w:fill="E8EEF5"/>
          </w:tcPr>
          <w:p>
            <w:pPr>
              <w:spacing w:after="20" w:before="20" w:line="240" w:lineRule="auto"/>
              <w:jc w:val="center"/>
            </w:pPr>
            <w:r>
              <w:rPr>
                <w:sz w:val="21"/>
              </w:rPr>
              <w:t>361</w:t>
            </w:r>
          </w:p>
        </w:tc>
      </w:tr>
      <w:tr>
        <w:tc>
          <w:tcPr>
            <w:tcW w:type="dxa" w:w="850"/>
          </w:tcPr>
          <w:p>
            <w:pPr>
              <w:spacing w:after="20" w:before="20" w:line="240" w:lineRule="auto"/>
              <w:jc w:val="center"/>
            </w:pPr>
            <w:r>
              <w:rPr>
                <w:sz w:val="21"/>
              </w:rPr>
              <w:t>86.2</w:t>
            </w:r>
          </w:p>
        </w:tc>
        <w:tc>
          <w:tcPr>
            <w:tcW w:type="dxa" w:w="7540"/>
          </w:tcPr>
          <w:p>
            <w:pPr>
              <w:spacing w:after="20" w:before="20" w:line="240" w:lineRule="auto"/>
              <w:jc w:val="left"/>
            </w:pPr>
            <w:r>
              <w:rPr>
                <w:sz w:val="21"/>
              </w:rPr>
              <w:t>Objectives of the Practice</w:t>
            </w:r>
          </w:p>
        </w:tc>
        <w:tc>
          <w:tcPr>
            <w:tcW w:type="dxa" w:w="1020"/>
          </w:tcPr>
          <w:p>
            <w:pPr>
              <w:spacing w:after="20" w:before="20" w:line="240" w:lineRule="auto"/>
              <w:jc w:val="center"/>
            </w:pPr>
            <w:r>
              <w:rPr>
                <w:sz w:val="21"/>
              </w:rPr>
              <w:t>361</w:t>
            </w:r>
          </w:p>
        </w:tc>
      </w:tr>
      <w:tr>
        <w:tc>
          <w:tcPr>
            <w:tcW w:type="dxa" w:w="850"/>
            <w:shd w:val="clear" w:color="auto" w:fill="E8EEF5"/>
          </w:tcPr>
          <w:p>
            <w:pPr>
              <w:spacing w:after="20" w:before="20" w:line="240" w:lineRule="auto"/>
              <w:jc w:val="center"/>
            </w:pPr>
            <w:r>
              <w:rPr>
                <w:sz w:val="21"/>
              </w:rPr>
              <w:t>86.3</w:t>
            </w:r>
          </w:p>
        </w:tc>
        <w:tc>
          <w:tcPr>
            <w:tcW w:type="dxa" w:w="7540"/>
            <w:shd w:val="clear" w:color="auto" w:fill="E8EEF5"/>
          </w:tcPr>
          <w:p>
            <w:pPr>
              <w:spacing w:after="20" w:before="20" w:line="240" w:lineRule="auto"/>
              <w:jc w:val="left"/>
            </w:pPr>
            <w:r>
              <w:rPr>
                <w:sz w:val="21"/>
              </w:rPr>
              <w:t>The Context</w:t>
            </w:r>
          </w:p>
        </w:tc>
        <w:tc>
          <w:tcPr>
            <w:tcW w:type="dxa" w:w="1020"/>
            <w:shd w:val="clear" w:color="auto" w:fill="E8EEF5"/>
          </w:tcPr>
          <w:p>
            <w:pPr>
              <w:spacing w:after="20" w:before="20" w:line="240" w:lineRule="auto"/>
              <w:jc w:val="center"/>
            </w:pPr>
            <w:r>
              <w:rPr>
                <w:sz w:val="21"/>
              </w:rPr>
              <w:t>361</w:t>
            </w:r>
          </w:p>
        </w:tc>
      </w:tr>
      <w:tr>
        <w:tc>
          <w:tcPr>
            <w:tcW w:type="dxa" w:w="850"/>
          </w:tcPr>
          <w:p>
            <w:pPr>
              <w:spacing w:after="20" w:before="20" w:line="240" w:lineRule="auto"/>
              <w:jc w:val="center"/>
            </w:pPr>
            <w:r>
              <w:rPr>
                <w:sz w:val="21"/>
              </w:rPr>
              <w:t>86.4</w:t>
            </w:r>
          </w:p>
        </w:tc>
        <w:tc>
          <w:tcPr>
            <w:tcW w:type="dxa" w:w="7540"/>
          </w:tcPr>
          <w:p>
            <w:pPr>
              <w:spacing w:after="20" w:before="20" w:line="240" w:lineRule="auto"/>
              <w:jc w:val="left"/>
            </w:pPr>
            <w:r>
              <w:rPr>
                <w:sz w:val="21"/>
              </w:rPr>
              <w:t>The Practice</w:t>
            </w:r>
          </w:p>
        </w:tc>
        <w:tc>
          <w:tcPr>
            <w:tcW w:type="dxa" w:w="1020"/>
          </w:tcPr>
          <w:p>
            <w:pPr>
              <w:spacing w:after="20" w:before="20" w:line="240" w:lineRule="auto"/>
              <w:jc w:val="center"/>
            </w:pPr>
            <w:r>
              <w:rPr>
                <w:sz w:val="21"/>
              </w:rPr>
              <w:t>361</w:t>
            </w:r>
          </w:p>
        </w:tc>
      </w:tr>
      <w:tr>
        <w:tc>
          <w:tcPr>
            <w:tcW w:type="dxa" w:w="850"/>
            <w:shd w:val="clear" w:color="auto" w:fill="E8EEF5"/>
          </w:tcPr>
          <w:p>
            <w:pPr>
              <w:spacing w:after="20" w:before="20" w:line="240" w:lineRule="auto"/>
              <w:jc w:val="center"/>
            </w:pPr>
            <w:r>
              <w:rPr>
                <w:sz w:val="21"/>
              </w:rPr>
              <w:t>86.5</w:t>
            </w:r>
          </w:p>
        </w:tc>
        <w:tc>
          <w:tcPr>
            <w:tcW w:type="dxa" w:w="7540"/>
            <w:shd w:val="clear" w:color="auto" w:fill="E8EEF5"/>
          </w:tcPr>
          <w:p>
            <w:pPr>
              <w:spacing w:after="20" w:before="20" w:line="240" w:lineRule="auto"/>
              <w:jc w:val="left"/>
            </w:pPr>
            <w:r>
              <w:rPr>
                <w:sz w:val="21"/>
              </w:rPr>
              <w:t>Evidence of Success</w:t>
            </w:r>
          </w:p>
        </w:tc>
        <w:tc>
          <w:tcPr>
            <w:tcW w:type="dxa" w:w="1020"/>
            <w:shd w:val="clear" w:color="auto" w:fill="E8EEF5"/>
          </w:tcPr>
          <w:p>
            <w:pPr>
              <w:spacing w:after="20" w:before="20" w:line="240" w:lineRule="auto"/>
              <w:jc w:val="center"/>
            </w:pPr>
            <w:r>
              <w:rPr>
                <w:sz w:val="21"/>
              </w:rPr>
              <w:t>362</w:t>
            </w:r>
          </w:p>
        </w:tc>
      </w:tr>
      <w:tr>
        <w:tc>
          <w:tcPr>
            <w:tcW w:type="dxa" w:w="850"/>
          </w:tcPr>
          <w:p>
            <w:pPr>
              <w:spacing w:after="20" w:before="20" w:line="240" w:lineRule="auto"/>
              <w:jc w:val="center"/>
            </w:pPr>
            <w:r>
              <w:rPr>
                <w:sz w:val="21"/>
              </w:rPr>
              <w:t>86.6</w:t>
            </w:r>
          </w:p>
        </w:tc>
        <w:tc>
          <w:tcPr>
            <w:tcW w:type="dxa" w:w="7540"/>
          </w:tcPr>
          <w:p>
            <w:pPr>
              <w:spacing w:after="20" w:before="20" w:line="240" w:lineRule="auto"/>
              <w:jc w:val="left"/>
            </w:pPr>
            <w:r>
              <w:rPr>
                <w:sz w:val="21"/>
              </w:rPr>
              <w:t>Problems Encountered and Resources Required</w:t>
            </w:r>
          </w:p>
        </w:tc>
        <w:tc>
          <w:tcPr>
            <w:tcW w:type="dxa" w:w="1020"/>
          </w:tcPr>
          <w:p>
            <w:pPr>
              <w:spacing w:after="20" w:before="20" w:line="240" w:lineRule="auto"/>
              <w:jc w:val="center"/>
            </w:pPr>
            <w:r>
              <w:rPr>
                <w:sz w:val="21"/>
              </w:rPr>
              <w:t>362</w:t>
            </w:r>
          </w:p>
        </w:tc>
      </w:tr>
      <w:tr>
        <w:tc>
          <w:tcPr>
            <w:tcW w:type="dxa" w:w="850"/>
            <w:shd w:val="clear" w:color="auto" w:fill="E8EEF5"/>
          </w:tcPr>
          <w:p>
            <w:pPr>
              <w:spacing w:after="20" w:before="20" w:line="240" w:lineRule="auto"/>
              <w:jc w:val="center"/>
            </w:pPr>
            <w:r>
              <w:rPr>
                <w:sz w:val="21"/>
              </w:rPr>
              <w:t>86.7</w:t>
            </w:r>
          </w:p>
        </w:tc>
        <w:tc>
          <w:tcPr>
            <w:tcW w:type="dxa" w:w="7540"/>
            <w:shd w:val="clear" w:color="auto" w:fill="E8EEF5"/>
          </w:tcPr>
          <w:p>
            <w:pPr>
              <w:spacing w:after="20" w:before="20" w:line="240" w:lineRule="auto"/>
              <w:jc w:val="left"/>
            </w:pPr>
            <w:r>
              <w:rPr>
                <w:sz w:val="21"/>
              </w:rPr>
              <w:t>Notes</w:t>
            </w:r>
          </w:p>
        </w:tc>
        <w:tc>
          <w:tcPr>
            <w:tcW w:type="dxa" w:w="1020"/>
            <w:shd w:val="clear" w:color="auto" w:fill="E8EEF5"/>
          </w:tcPr>
          <w:p>
            <w:pPr>
              <w:spacing w:after="20" w:before="20" w:line="240" w:lineRule="auto"/>
              <w:jc w:val="center"/>
            </w:pPr>
            <w:r>
              <w:rPr>
                <w:sz w:val="21"/>
              </w:rPr>
              <w:t>363</w:t>
            </w:r>
          </w:p>
        </w:tc>
      </w:tr>
      <w:tr>
        <w:tc>
          <w:tcPr>
            <w:tcW w:type="dxa" w:w="850"/>
          </w:tcPr>
          <w:p>
            <w:pPr>
              <w:spacing w:after="20" w:before="20" w:line="240" w:lineRule="auto"/>
              <w:jc w:val="center"/>
            </w:pPr>
            <w:r>
              <w:rPr>
                <w:b/>
                <w:sz w:val="21"/>
              </w:rPr>
              <w:t>87</w:t>
            </w:r>
          </w:p>
        </w:tc>
        <w:tc>
          <w:tcPr>
            <w:tcW w:type="dxa" w:w="7540"/>
          </w:tcPr>
          <w:p>
            <w:pPr>
              <w:spacing w:after="20" w:before="20" w:line="240" w:lineRule="auto"/>
              <w:jc w:val="left"/>
            </w:pPr>
            <w:r>
              <w:rPr>
                <w:b/>
                <w:sz w:val="21"/>
              </w:rPr>
              <w:t>References</w:t>
            </w:r>
          </w:p>
        </w:tc>
        <w:tc>
          <w:tcPr>
            <w:tcW w:type="dxa" w:w="1020"/>
          </w:tcPr>
          <w:p>
            <w:pPr>
              <w:spacing w:after="20" w:before="20" w:line="240" w:lineRule="auto"/>
              <w:jc w:val="center"/>
            </w:pPr>
            <w:r>
              <w:rPr>
                <w:b/>
                <w:sz w:val="21"/>
              </w:rPr>
              <w:t>364</w:t>
            </w:r>
          </w:p>
        </w:tc>
      </w:tr>
    </w:tbl>
    <w:p>
      <w:pPr>
        <w:spacing w:after="80"/>
      </w:pPr>
    </w:p>
    <w:p>
      <w:r>
        <w:br w:type="page"/>
      </w:r>
    </w:p>
    <w:p>
      <w:pPr>
        <w:pStyle w:val="Heading1"/>
      </w:pPr>
      <w:r>
        <w:t>1. Identification of Best Practices in Higher Education Institutions (HEIs)</w:t>
      </w:r>
    </w:p>
    <w:p>
      <w:pPr>
        <w:pStyle w:val="Heading2"/>
      </w:pPr>
      <w:r>
        <w:t>1.1. Introduction</w:t>
      </w:r>
    </w:p>
    <w:p>
      <w:r>
        <w:rPr/>
        <w:t>Best practices in Higher Education Institutions (HEIs) are strategies, methods, or approaches that have been proven to be successful in achieving academic excellence, fostering innovation, and improving institutional performance. These practices are adopted to enhance the quality of education, student satisfaction, institutional governance, and overall contribution to society. Identification of Best Practices in Higher Education Institutions (HEIs) involves recognizing strategies, processes, or activities that significantly enhance the quality, effectiveness, and impact of teaching, learning, research, administration, and community engagement. These practices often serve as models for other institutions and align with accreditation and quality assurance benchmarks.</w:t>
      </w:r>
    </w:p>
    <w:p>
      <w:pPr>
        <w:pStyle w:val="Heading2"/>
      </w:pPr>
      <w:r>
        <w:t>1.2. Teaching and Learning Excellence</w:t>
      </w:r>
    </w:p>
    <w:p>
      <w:r>
        <w:rPr>
          <w:b/>
        </w:rPr>
        <w:t>Objective:</w:t>
      </w:r>
      <w:r>
        <w:rPr/>
        <w:t xml:space="preserve"> To provide high-quality education that prepares students for future challenges by using innovative teaching methods and ensuring continuous development of faculty and students.</w:t>
      </w:r>
    </w:p>
    <w:p>
      <w:r>
        <w:rPr>
          <w:b/>
        </w:rPr>
        <w:t>Key Practices:</w:t>
      </w:r>
    </w:p>
    <w:p>
      <w:pPr>
        <w:pStyle w:val="ListBullet"/>
      </w:pPr>
      <w:r>
        <w:rPr>
          <w:b/>
        </w:rPr>
        <w:t>Active Learning and Collaborative Teaching:</w:t>
      </w:r>
      <w:r>
        <w:rPr/>
        <w:t xml:space="preserve"> Encouraging student participation through group discussions, problem-solving, peer reviews, and project-based learning.</w:t>
      </w:r>
    </w:p>
    <w:p>
      <w:pPr>
        <w:pStyle w:val="ListBullet"/>
      </w:pPr>
      <w:r>
        <w:rPr>
          <w:b/>
        </w:rPr>
        <w:t>Technology-Enhanced Learning:</w:t>
      </w:r>
      <w:r>
        <w:rPr/>
        <w:t xml:space="preserve"> Incorporating digital tools, LMS (Learning Management Systems), and interactive e-learning platforms to enhance the learning experience.</w:t>
      </w:r>
    </w:p>
    <w:p>
      <w:pPr>
        <w:pStyle w:val="ListBullet"/>
      </w:pPr>
      <w:r>
        <w:rPr>
          <w:b/>
        </w:rPr>
        <w:t>Blended Learning:</w:t>
      </w:r>
      <w:r>
        <w:rPr/>
        <w:t xml:space="preserve"> Combining face-to-face teaching with online learning to offer flexibility and cater to diverse student needs.</w:t>
      </w:r>
    </w:p>
    <w:p>
      <w:pPr>
        <w:pStyle w:val="ListBullet"/>
      </w:pPr>
      <w:r>
        <w:rPr>
          <w:b/>
        </w:rPr>
        <w:t>Continuous Assessment and Feedback:</w:t>
      </w:r>
      <w:r>
        <w:rPr/>
        <w:t xml:space="preserve"> Implementing a formative assessment system that focuses on continuous evaluation rather than just final exams.</w:t>
      </w:r>
    </w:p>
    <w:p>
      <w:pPr>
        <w:pStyle w:val="ListBullet"/>
      </w:pPr>
      <w:r>
        <w:rPr>
          <w:b/>
        </w:rPr>
        <w:t>Faculty Development Programs:</w:t>
      </w:r>
      <w:r>
        <w:rPr/>
        <w:t xml:space="preserve"> Providing regular training workshops and exposure to new teaching methodologies, technologies, and research trends.</w:t>
      </w:r>
    </w:p>
    <w:p>
      <w:pPr>
        <w:pStyle w:val="Heading2"/>
      </w:pPr>
      <w:r>
        <w:t>1.3. Research and Innovation</w:t>
      </w:r>
    </w:p>
    <w:p>
      <w:r>
        <w:rPr>
          <w:b/>
        </w:rPr>
        <w:t>Objective:</w:t>
      </w:r>
      <w:r>
        <w:rPr/>
        <w:t xml:space="preserve"> To promote a culture of research and innovation that contributes to societal development and enhances the institution's reputation globally.</w:t>
      </w:r>
    </w:p>
    <w:p>
      <w:r>
        <w:rPr>
          <w:b/>
        </w:rPr>
        <w:t>Key Practices:</w:t>
      </w:r>
    </w:p>
    <w:p>
      <w:pPr>
        <w:pStyle w:val="ListBullet"/>
      </w:pPr>
      <w:r>
        <w:rPr>
          <w:b/>
        </w:rPr>
        <w:t>Research Grants and Funding:</w:t>
      </w:r>
      <w:r>
        <w:rPr/>
        <w:t xml:space="preserve"> Offering seed funding and research grants for faculty and students to pursue innovative projects.</w:t>
      </w:r>
    </w:p>
    <w:p>
      <w:pPr>
        <w:pStyle w:val="ListBullet"/>
      </w:pPr>
      <w:r>
        <w:rPr>
          <w:b/>
        </w:rPr>
        <w:t>Interdisciplinary Research:</w:t>
      </w:r>
      <w:r>
        <w:rPr/>
        <w:t xml:space="preserve"> Encouraging collaboration across different fields to address complex societal challenges through interdisciplinary research teams.</w:t>
      </w:r>
    </w:p>
    <w:p>
      <w:pPr>
        <w:pStyle w:val="ListBullet"/>
      </w:pPr>
      <w:r>
        <w:rPr>
          <w:b/>
        </w:rPr>
        <w:t>Industry-Academic Collaborations:</w:t>
      </w:r>
      <w:r>
        <w:rPr/>
        <w:t xml:space="preserve"> Establishing partnerships with industry to commercialize research findings and create practical applications for research innovations.</w:t>
      </w:r>
    </w:p>
    <w:p>
      <w:pPr>
        <w:pStyle w:val="ListBullet"/>
      </w:pPr>
      <w:r>
        <w:rPr>
          <w:b/>
        </w:rPr>
        <w:t>Incubation Centers and Innovation Hubs:</w:t>
      </w:r>
      <w:r>
        <w:rPr/>
        <w:t xml:space="preserve"> Setting up entrepreneurship cells and innovation labs where students and faculty can transform research ideas into marketable solutions.</w:t>
      </w:r>
    </w:p>
    <w:p>
      <w:pPr>
        <w:pStyle w:val="ListBullet"/>
      </w:pPr>
      <w:r>
        <w:rPr>
          <w:b/>
        </w:rPr>
        <w:t>Research Dissemination:</w:t>
      </w:r>
      <w:r>
        <w:rPr/>
        <w:t xml:space="preserve"> Encouraging publications in high-impact journals, participation in global conferences, and building strong industry partnerships.</w:t>
      </w:r>
    </w:p>
    <w:p>
      <w:pPr>
        <w:pStyle w:val="Heading2"/>
      </w:pPr>
      <w:r>
        <w:t>1.4. Student Support and Progression</w:t>
      </w:r>
    </w:p>
    <w:p>
      <w:r>
        <w:rPr>
          <w:b/>
        </w:rPr>
        <w:t>Objective:</w:t>
      </w:r>
      <w:r>
        <w:rPr/>
        <w:t xml:space="preserve"> To provide a holistic environment where students can grow academically, socially, and professionally, ensuring their success during and after their academic journey.</w:t>
      </w:r>
    </w:p>
    <w:p>
      <w:r>
        <w:rPr>
          <w:b/>
        </w:rPr>
        <w:t>Key Practices:</w:t>
      </w:r>
    </w:p>
    <w:p>
      <w:pPr>
        <w:pStyle w:val="ListBullet"/>
      </w:pPr>
      <w:r>
        <w:rPr>
          <w:b/>
        </w:rPr>
        <w:t>Academic Advising and Mentoring:</w:t>
      </w:r>
      <w:r>
        <w:rPr/>
        <w:t xml:space="preserve"> Implementing a mentor-mentee system where faculty members guide students on their academic, personal, and professional growth.</w:t>
      </w:r>
    </w:p>
    <w:p>
      <w:pPr>
        <w:pStyle w:val="ListBullet"/>
      </w:pPr>
      <w:r>
        <w:rPr>
          <w:b/>
        </w:rPr>
        <w:t>Career Services and Placement:</w:t>
      </w:r>
      <w:r>
        <w:rPr/>
        <w:t xml:space="preserve"> Offering career counseling, internship placements, job fairs, and networking events to help students transition from academic life to the workforce.</w:t>
      </w:r>
    </w:p>
    <w:p>
      <w:pPr>
        <w:pStyle w:val="ListBullet"/>
      </w:pPr>
      <w:r>
        <w:rPr>
          <w:b/>
        </w:rPr>
        <w:t>Student Welfare Programs:</w:t>
      </w:r>
      <w:r>
        <w:rPr/>
        <w:t xml:space="preserve"> Providing counseling services, healthcare, scholarships, and financial aid to support students’ well-being and academic success.</w:t>
      </w:r>
    </w:p>
    <w:p>
      <w:pPr>
        <w:pStyle w:val="ListBullet"/>
      </w:pPr>
      <w:r>
        <w:rPr>
          <w:b/>
        </w:rPr>
        <w:t>Alumni Engagement:</w:t>
      </w:r>
      <w:r>
        <w:rPr/>
        <w:t xml:space="preserve"> Actively involving alumni in institutional development by encouraging networking opportunities, mentorship programs, and collaborative research.</w:t>
      </w:r>
    </w:p>
    <w:p>
      <w:pPr>
        <w:pStyle w:val="ListBullet"/>
      </w:pPr>
      <w:r>
        <w:rPr>
          <w:b/>
        </w:rPr>
        <w:t>International Exchange Programs:</w:t>
      </w:r>
      <w:r>
        <w:rPr/>
        <w:t xml:space="preserve"> Facilitating student exchange programs, internships, and collaborations with international institutions to broaden students' horizons.</w:t>
      </w:r>
    </w:p>
    <w:p>
      <w:pPr>
        <w:pStyle w:val="Heading2"/>
      </w:pPr>
      <w:r>
        <w:t>1.5. Governance and Leadership</w:t>
      </w:r>
    </w:p>
    <w:p>
      <w:r>
        <w:rPr>
          <w:b/>
        </w:rPr>
        <w:t>Objective:</w:t>
      </w:r>
      <w:r>
        <w:rPr/>
        <w:t xml:space="preserve"> To establish a transparent and accountable governance structure that facilitates institutional growth, fosters collaboration, and ensures effective decision-making.</w:t>
      </w:r>
    </w:p>
    <w:p>
      <w:r>
        <w:rPr>
          <w:b/>
        </w:rPr>
        <w:t>Key Practices:</w:t>
      </w:r>
    </w:p>
    <w:p>
      <w:pPr>
        <w:pStyle w:val="ListBullet"/>
      </w:pPr>
      <w:r>
        <w:rPr>
          <w:b/>
        </w:rPr>
        <w:t>Decentralized Governance:</w:t>
      </w:r>
      <w:r>
        <w:rPr/>
        <w:t xml:space="preserve"> Involving faculty, students, and staff in decision-making processes through committees, feedback systems, and participatory governance.</w:t>
      </w:r>
    </w:p>
    <w:p>
      <w:pPr>
        <w:pStyle w:val="ListBullet"/>
      </w:pPr>
      <w:r>
        <w:rPr>
          <w:b/>
        </w:rPr>
        <w:t>Leadership Development:</w:t>
      </w:r>
      <w:r>
        <w:rPr/>
        <w:t xml:space="preserve"> Offering leadership training programs for faculty and administrative staff to build strong, visionary leaders within the institution.</w:t>
      </w:r>
    </w:p>
    <w:p>
      <w:pPr>
        <w:pStyle w:val="ListBullet"/>
      </w:pPr>
      <w:r>
        <w:rPr>
          <w:b/>
        </w:rPr>
        <w:t>Data-Driven Decision Making:</w:t>
      </w:r>
      <w:r>
        <w:rPr/>
        <w:t xml:space="preserve"> Utilizing institutional data to inform strategic planning, resource allocation, and academic decision-making.</w:t>
      </w:r>
    </w:p>
    <w:p>
      <w:pPr>
        <w:pStyle w:val="ListBullet"/>
      </w:pPr>
      <w:r>
        <w:rPr>
          <w:b/>
        </w:rPr>
        <w:t>Institutional Transparency:</w:t>
      </w:r>
      <w:r>
        <w:rPr/>
        <w:t xml:space="preserve"> Promoting open communication about policies, funding, and performance results to all stakeholders.</w:t>
      </w:r>
    </w:p>
    <w:p>
      <w:pPr>
        <w:pStyle w:val="ListBullet"/>
      </w:pPr>
      <w:r>
        <w:rPr>
          <w:b/>
        </w:rPr>
        <w:t>Strategic Planning and Evaluation:</w:t>
      </w:r>
      <w:r>
        <w:rPr/>
        <w:t xml:space="preserve"> Conducting regular evaluations of institutional strategies and aligning them with global trends and educational needs.</w:t>
      </w:r>
    </w:p>
    <w:p>
      <w:pPr>
        <w:pStyle w:val="Heading2"/>
      </w:pPr>
      <w:r>
        <w:t>1.6. Infrastructure and Learning Resources</w:t>
      </w:r>
    </w:p>
    <w:p>
      <w:r>
        <w:rPr>
          <w:b/>
        </w:rPr>
        <w:t>Objective:</w:t>
      </w:r>
      <w:r>
        <w:rPr/>
        <w:t xml:space="preserve"> To provide modern, accessible, and sustainable infrastructure that supports the academic, research, and extracurricular activities of students and faculty.</w:t>
      </w:r>
    </w:p>
    <w:p>
      <w:r>
        <w:rPr>
          <w:b/>
        </w:rPr>
        <w:t>Key Practices:</w:t>
      </w:r>
    </w:p>
    <w:p>
      <w:pPr>
        <w:pStyle w:val="ListBullet"/>
      </w:pPr>
      <w:r>
        <w:rPr>
          <w:b/>
        </w:rPr>
        <w:t>Technology-Enabled Classrooms:</w:t>
      </w:r>
      <w:r>
        <w:rPr/>
        <w:t xml:space="preserve"> Ensuring that classrooms are equipped with modern audio-visual tools, interactive whiteboards, and learning technologies to facilitate dynamic learning.</w:t>
      </w:r>
    </w:p>
    <w:p>
      <w:pPr>
        <w:pStyle w:val="ListBullet"/>
      </w:pPr>
      <w:r>
        <w:rPr>
          <w:b/>
        </w:rPr>
        <w:t>Library and Information Resources:</w:t>
      </w:r>
      <w:r>
        <w:rPr/>
        <w:t xml:space="preserve"> Expanding digital library resources, providing access to online journals, and investing in research databases to support students and faculty.</w:t>
      </w:r>
    </w:p>
    <w:p>
      <w:pPr>
        <w:pStyle w:val="ListBullet"/>
      </w:pPr>
      <w:r>
        <w:rPr>
          <w:b/>
        </w:rPr>
        <w:t>Sustainability in Infrastructure:</w:t>
      </w:r>
      <w:r>
        <w:rPr/>
        <w:t xml:space="preserve"> Implementing green building practices, energy-efficient technologies, and eco-friendly campus designs to promote sustainability.</w:t>
      </w:r>
    </w:p>
    <w:p>
      <w:pPr>
        <w:pStyle w:val="ListBullet"/>
      </w:pPr>
      <w:r>
        <w:rPr>
          <w:b/>
        </w:rPr>
        <w:t>Student-Access Facilities:</w:t>
      </w:r>
      <w:r>
        <w:rPr/>
        <w:t xml:space="preserve"> Providing accessible sports facilities, health centers, cafeterias, and recreational areas to promote overall student well-being.</w:t>
      </w:r>
    </w:p>
    <w:p>
      <w:pPr>
        <w:pStyle w:val="ListBullet"/>
      </w:pPr>
      <w:r>
        <w:rPr>
          <w:b/>
        </w:rPr>
        <w:t>Laboratories and Innovation Spaces:</w:t>
      </w:r>
      <w:r>
        <w:rPr/>
        <w:t xml:space="preserve"> Building state-of-the-art labs and maker spaces where students and faculty can conduct experiments and prototype their ideas.</w:t>
      </w:r>
    </w:p>
    <w:p>
      <w:pPr>
        <w:pStyle w:val="Heading2"/>
      </w:pPr>
      <w:r>
        <w:t>1.7. Internal Quality Assurance and Continuous Improvement</w:t>
      </w:r>
    </w:p>
    <w:p>
      <w:r>
        <w:rPr>
          <w:b/>
        </w:rPr>
        <w:t>Objective:</w:t>
      </w:r>
      <w:r>
        <w:rPr/>
        <w:t xml:space="preserve"> To implement a system of continuous self-assessment, monitoring, and evaluation to ensure high standards in education, administration, and governance.</w:t>
      </w:r>
    </w:p>
    <w:p>
      <w:r>
        <w:rPr>
          <w:b/>
        </w:rPr>
        <w:t>Key Practices:</w:t>
      </w:r>
    </w:p>
    <w:p>
      <w:pPr>
        <w:pStyle w:val="ListBullet"/>
      </w:pPr>
      <w:r>
        <w:rPr>
          <w:b/>
        </w:rPr>
        <w:t>Internal Audits and Reviews:</w:t>
      </w:r>
      <w:r>
        <w:rPr/>
        <w:t xml:space="preserve"> Conducting regular internal audits to assess performance in academic delivery, research output, and resource utilization.</w:t>
      </w:r>
    </w:p>
    <w:p>
      <w:pPr>
        <w:pStyle w:val="ListBullet"/>
      </w:pPr>
      <w:r>
        <w:rPr>
          <w:b/>
        </w:rPr>
        <w:t>Feedback Loops:</w:t>
      </w:r>
      <w:r>
        <w:rPr/>
        <w:t xml:space="preserve"> Collecting and analyzing feedback from students, faculty, and industry to drive continuous improvement in curriculum, teaching, and services.</w:t>
      </w:r>
    </w:p>
    <w:p>
      <w:pPr>
        <w:pStyle w:val="ListBullet"/>
      </w:pPr>
      <w:r>
        <w:rPr>
          <w:b/>
        </w:rPr>
        <w:t>Benchmarking Against Standards:</w:t>
      </w:r>
      <w:r>
        <w:rPr/>
        <w:t xml:space="preserve"> Comparing institutional performance against national and international benchmarks to ensure alignment with the best practices in higher education.</w:t>
      </w:r>
    </w:p>
    <w:p>
      <w:pPr>
        <w:pStyle w:val="ListBullet"/>
      </w:pPr>
      <w:r>
        <w:rPr>
          <w:b/>
        </w:rPr>
        <w:t>Quality Assurance Cells:</w:t>
      </w:r>
      <w:r>
        <w:rPr/>
        <w:t xml:space="preserve"> Establishing internal quality assurance mechanisms, such as IQAC (Internal Quality Assurance Cell), to guide the institution in maintaining standards and implementing reforms.</w:t>
      </w:r>
    </w:p>
    <w:p>
      <w:pPr>
        <w:pStyle w:val="ListBullet"/>
      </w:pPr>
      <w:r>
        <w:rPr>
          <w:b/>
        </w:rPr>
        <w:t>Faculty and Staff Development:</w:t>
      </w:r>
      <w:r>
        <w:rPr/>
        <w:t xml:space="preserve"> Continuously investing in professional development programs for faculty and staff to enhance their skills, knowledge, and teaching capabilities.</w:t>
      </w:r>
    </w:p>
    <w:p>
      <w:pPr>
        <w:pStyle w:val="Heading2"/>
      </w:pPr>
      <w:r>
        <w:t>1.8. Community Engagement and Social Responsibility</w:t>
      </w:r>
    </w:p>
    <w:p>
      <w:r>
        <w:rPr>
          <w:b/>
        </w:rPr>
        <w:t>Objective:</w:t>
      </w:r>
      <w:r>
        <w:rPr/>
        <w:t xml:space="preserve"> To contribute to the social, economic, and environmental development of the community through service-oriented projects, partnerships, and outreach programs.</w:t>
      </w:r>
    </w:p>
    <w:p>
      <w:r>
        <w:rPr>
          <w:b/>
        </w:rPr>
        <w:t>Key Practices:</w:t>
      </w:r>
    </w:p>
    <w:p>
      <w:pPr>
        <w:pStyle w:val="ListBullet"/>
      </w:pPr>
      <w:r>
        <w:rPr>
          <w:b/>
        </w:rPr>
        <w:t>Community Service Projects:</w:t>
      </w:r>
      <w:r>
        <w:rPr/>
        <w:t xml:space="preserve"> Encouraging students and faculty to participate in community development initiatives, such as health camps, environmental awareness programs, and educational outreach.</w:t>
      </w:r>
    </w:p>
    <w:p>
      <w:pPr>
        <w:pStyle w:val="ListBullet"/>
      </w:pPr>
      <w:r>
        <w:rPr>
          <w:b/>
        </w:rPr>
        <w:t>Social Innovation:</w:t>
      </w:r>
      <w:r>
        <w:rPr/>
        <w:t xml:space="preserve"> Supporting social entrepreneurship and innovative solutions that address community needs, such as clean energy, affordable healthcare, and rural development.</w:t>
      </w:r>
    </w:p>
    <w:p>
      <w:pPr>
        <w:pStyle w:val="ListBullet"/>
      </w:pPr>
      <w:r>
        <w:rPr>
          <w:b/>
        </w:rPr>
        <w:t>Partnerships with NGOs and Government:</w:t>
      </w:r>
      <w:r>
        <w:rPr/>
        <w:t xml:space="preserve"> Collaborating with non-governmental organizations (NGOs) and government agencies on social welfare programs and sustainable development goals (SDGs).</w:t>
      </w:r>
    </w:p>
    <w:p>
      <w:pPr>
        <w:pStyle w:val="ListBullet"/>
      </w:pPr>
      <w:r>
        <w:rPr>
          <w:b/>
        </w:rPr>
        <w:t>Inclusive Education Programs:</w:t>
      </w:r>
      <w:r>
        <w:rPr/>
        <w:t xml:space="preserve"> Implementing programs that promote accessibility for disadvantaged groups, including scholarships, skill development, and vocational training.</w:t>
      </w:r>
    </w:p>
    <w:p>
      <w:pPr>
        <w:pStyle w:val="Heading2"/>
      </w:pPr>
      <w:r>
        <w:t>1.9. Documentation of Best Practices</w:t>
      </w:r>
    </w:p>
    <w:p>
      <w:r>
        <w:rPr/>
        <w:t>Each identified best practice should be documented with:</w:t>
      </w:r>
    </w:p>
    <w:p>
      <w:pPr>
        <w:pStyle w:val="ListBullet"/>
      </w:pPr>
      <w:r>
        <w:rPr/>
        <w:t>Title</w:t>
      </w:r>
    </w:p>
    <w:p>
      <w:pPr>
        <w:pStyle w:val="ListBullet"/>
      </w:pPr>
      <w:r>
        <w:rPr/>
        <w:t>Objective</w:t>
      </w:r>
    </w:p>
    <w:p>
      <w:pPr>
        <w:pStyle w:val="ListBullet"/>
      </w:pPr>
      <w:r>
        <w:rPr/>
        <w:t>Context</w:t>
      </w:r>
    </w:p>
    <w:p>
      <w:pPr>
        <w:pStyle w:val="ListBullet"/>
      </w:pPr>
      <w:r>
        <w:rPr/>
        <w:t>Practice Description</w:t>
      </w:r>
    </w:p>
    <w:p>
      <w:pPr>
        <w:pStyle w:val="ListBullet"/>
      </w:pPr>
      <w:r>
        <w:rPr/>
        <w:t>Evidence of Success</w:t>
      </w:r>
    </w:p>
    <w:p>
      <w:pPr>
        <w:pStyle w:val="ListBullet"/>
      </w:pPr>
      <w:r>
        <w:rPr/>
        <w:t>Problems Encountered and Resources Required</w:t>
      </w:r>
    </w:p>
    <w:p>
      <w:pPr>
        <w:pStyle w:val="Heading2"/>
      </w:pPr>
      <w:r>
        <w:t>1.10. Conclusion</w:t>
      </w:r>
    </w:p>
    <w:p>
      <w:r>
        <w:rPr/>
        <w:t>Best practices in Higher Education Institutions (HEIs) are strategies that have been proven to enhance institutional performance and academic quality. By focusing on teaching and learning excellence, research and innovation, student support, governance, infrastructure, quality assurance, and community engagement, HEIs can create a holistic, inclusive, and sustainable environment for students, faculty, and the broader society. These practices contribute not only to institutional growth but also to the development of the local community, society, and global knowledge.</w:t>
      </w:r>
    </w:p>
    <w:p>
      <w:r>
        <w:rPr/>
        <w:t>Adopting these best practices is essential for HEIs aiming to stay competitive, innovative, and responsive to the evolving needs of the educational landscape.</w:t>
      </w:r>
    </w:p>
    <w:p>
      <w:pPr>
        <w:pStyle w:val="Heading1"/>
      </w:pPr>
      <w:r>
        <w:t>2. Implementation of Best Practices in Higher Education Institutions (HEIs)</w:t>
      </w:r>
    </w:p>
    <w:p>
      <w:r>
        <w:rPr/>
        <w:t>Implementation of Best Practices in Higher Education Institutions (HEIs) involves a structured approach that ensures practices are effectively adopted, monitored, and sustained. Here's a step-by-step framework for implementing best practices in HEIs:</w:t>
      </w:r>
    </w:p>
    <w:p>
      <w:pPr>
        <w:pStyle w:val="Heading2"/>
      </w:pPr>
      <w:r>
        <w:t>2.1. Identification of the Best Practice</w:t>
      </w:r>
    </w:p>
    <w:p>
      <w:pPr>
        <w:pStyle w:val="ListBullet"/>
      </w:pPr>
      <w:r>
        <w:rPr/>
        <w:t>Conduct internal reviews through IQAC, departmental meetings, and stakeholder feedback.</w:t>
      </w:r>
    </w:p>
    <w:p>
      <w:pPr>
        <w:pStyle w:val="ListBullet"/>
      </w:pPr>
      <w:r>
        <w:rPr/>
        <w:t>Analyze NAAC/NBA guidelines, NIRF rankings, and benchmark institutions.</w:t>
      </w:r>
    </w:p>
    <w:p>
      <w:pPr>
        <w:pStyle w:val="ListBullet"/>
      </w:pPr>
      <w:r>
        <w:rPr/>
        <w:t>Prioritize practices that align with the institution’s vision, mission, and strategic goals.</w:t>
      </w:r>
    </w:p>
    <w:p>
      <w:pPr>
        <w:pStyle w:val="Heading2"/>
      </w:pPr>
      <w:r>
        <w:t>2.2. Planning and Design</w:t>
      </w:r>
    </w:p>
    <w:p>
      <w:pPr>
        <w:pStyle w:val="ListBullet"/>
      </w:pPr>
      <w:r>
        <w:rPr/>
        <w:t>Define the objective of the practice clearly.</w:t>
      </w:r>
    </w:p>
    <w:p>
      <w:pPr>
        <w:pStyle w:val="ListBullet"/>
      </w:pPr>
      <w:r>
        <w:rPr/>
        <w:t>Prepare a detailed implementation plan:</w:t>
      </w:r>
    </w:p>
    <w:p>
      <w:pPr>
        <w:pStyle w:val="ListBullet2"/>
      </w:pPr>
      <w:r>
        <w:rPr/>
        <w:t>Activities</w:t>
      </w:r>
    </w:p>
    <w:p>
      <w:pPr>
        <w:pStyle w:val="ListBullet2"/>
      </w:pPr>
      <w:r>
        <w:rPr/>
        <w:t>Timeline</w:t>
      </w:r>
    </w:p>
    <w:p>
      <w:pPr>
        <w:pStyle w:val="ListBullet2"/>
      </w:pPr>
      <w:r>
        <w:rPr/>
        <w:t>Responsible persons (faculty/staff/students)</w:t>
      </w:r>
    </w:p>
    <w:p>
      <w:pPr>
        <w:pStyle w:val="ListBullet2"/>
      </w:pPr>
      <w:r>
        <w:rPr/>
        <w:t>Required resources (financial, infrastructural, human)</w:t>
      </w:r>
    </w:p>
    <w:p>
      <w:pPr>
        <w:pStyle w:val="ListBullet"/>
      </w:pPr>
      <w:r>
        <w:rPr/>
        <w:t>Develop SOPs (Standard Operating Procedures) for uniform execution.</w:t>
      </w:r>
    </w:p>
    <w:p>
      <w:pPr>
        <w:pStyle w:val="Heading2"/>
      </w:pPr>
      <w:r>
        <w:t>2.3. Stakeholder Involvement</w:t>
      </w:r>
    </w:p>
    <w:p>
      <w:pPr>
        <w:pStyle w:val="ListBullet"/>
      </w:pPr>
      <w:r>
        <w:rPr/>
        <w:t>Involve faculty, students, administration, and sometimes alumni or industry.</w:t>
      </w:r>
    </w:p>
    <w:p>
      <w:pPr>
        <w:pStyle w:val="ListBullet"/>
      </w:pPr>
      <w:r>
        <w:rPr/>
        <w:t>Organize orientation and awareness sessions for stakeholders to understand the value and process.</w:t>
      </w:r>
    </w:p>
    <w:p>
      <w:pPr>
        <w:pStyle w:val="ListBullet"/>
      </w:pPr>
      <w:r>
        <w:rPr/>
        <w:t>Create committees or task forces for specific practices.</w:t>
      </w:r>
    </w:p>
    <w:p>
      <w:pPr>
        <w:pStyle w:val="Heading2"/>
      </w:pPr>
      <w:r>
        <w:t>2.4. Execution</w:t>
      </w:r>
    </w:p>
    <w:p>
      <w:pPr>
        <w:pStyle w:val="ListBullet"/>
      </w:pPr>
      <w:r>
        <w:rPr/>
        <w:t>Launch the practice on a pilot basis, if possible.</w:t>
      </w:r>
    </w:p>
    <w:p>
      <w:pPr>
        <w:pStyle w:val="ListBullet"/>
      </w:pPr>
      <w:r>
        <w:rPr/>
        <w:t>Ensure timely availability of required infrastructure, resources, and training.</w:t>
      </w:r>
    </w:p>
    <w:p>
      <w:pPr>
        <w:pStyle w:val="ListBullet"/>
      </w:pPr>
      <w:r>
        <w:rPr/>
        <w:t>Use project management tools or dashboards to track progress.</w:t>
      </w:r>
    </w:p>
    <w:p>
      <w:pPr>
        <w:pStyle w:val="Heading2"/>
      </w:pPr>
      <w:r>
        <w:t>2.5. Monitoring and Review</w:t>
      </w:r>
    </w:p>
    <w:p>
      <w:pPr>
        <w:pStyle w:val="ListBullet"/>
      </w:pPr>
      <w:r>
        <w:rPr/>
        <w:t>Periodic review by IQAC/committees.</w:t>
      </w:r>
    </w:p>
    <w:p>
      <w:pPr>
        <w:pStyle w:val="ListBullet"/>
      </w:pPr>
      <w:r>
        <w:rPr/>
        <w:t>Use measurable indicators (KPIs) to assess effectiveness.</w:t>
      </w:r>
    </w:p>
    <w:p>
      <w:pPr>
        <w:pStyle w:val="ListBullet2"/>
      </w:pPr>
      <w:r>
        <w:rPr/>
        <w:t>e.g., for mentoring: student feedback, progression metrics</w:t>
      </w:r>
    </w:p>
    <w:p>
      <w:pPr>
        <w:pStyle w:val="ListBullet2"/>
      </w:pPr>
      <w:r>
        <w:rPr>
          <w:b/>
        </w:rPr>
        <w:t>for green practices:</w:t>
      </w:r>
      <w:r>
        <w:rPr/>
        <w:t xml:space="preserve"> energy savings, waste reduction</w:t>
      </w:r>
    </w:p>
    <w:p>
      <w:pPr>
        <w:pStyle w:val="ListBullet"/>
      </w:pPr>
      <w:r>
        <w:rPr/>
        <w:t>Collect qualitative and quantitative feedback from stakeholders.</w:t>
      </w:r>
    </w:p>
    <w:p>
      <w:pPr>
        <w:pStyle w:val="Heading2"/>
      </w:pPr>
      <w:r>
        <w:t>2.6. Documentation</w:t>
      </w:r>
    </w:p>
    <w:p>
      <w:pPr>
        <w:pStyle w:val="ListBullet"/>
      </w:pPr>
      <w:r>
        <w:rPr>
          <w:b/>
        </w:rPr>
        <w:t>Maintain detailed records:</w:t>
      </w:r>
      <w:r>
        <w:rPr/>
        <w:t xml:space="preserve"> minutes, photos, reports, outcomes.</w:t>
      </w:r>
    </w:p>
    <w:p>
      <w:pPr>
        <w:pStyle w:val="ListBullet"/>
      </w:pPr>
      <w:r>
        <w:rPr/>
        <w:t>Prepare case studies and reports highlighting success stories and challenges.</w:t>
      </w:r>
    </w:p>
    <w:p>
      <w:pPr>
        <w:pStyle w:val="ListBullet"/>
      </w:pPr>
      <w:r>
        <w:rPr/>
        <w:t>Publish outcomes in newsletters, websites, or academic forums.</w:t>
      </w:r>
    </w:p>
    <w:p>
      <w:pPr>
        <w:pStyle w:val="Heading2"/>
      </w:pPr>
      <w:r>
        <w:t>2.7. Evaluation and Continuous Improvement</w:t>
      </w:r>
    </w:p>
    <w:p>
      <w:pPr>
        <w:pStyle w:val="ListBullet"/>
      </w:pPr>
      <w:r>
        <w:rPr/>
        <w:t>Compare results with objectives; identify gaps.</w:t>
      </w:r>
    </w:p>
    <w:p>
      <w:pPr>
        <w:pStyle w:val="ListBullet"/>
      </w:pPr>
      <w:r>
        <w:rPr/>
        <w:t>Modify the approach based on feedback and outcomes.</w:t>
      </w:r>
    </w:p>
    <w:p>
      <w:pPr>
        <w:pStyle w:val="ListBullet"/>
      </w:pPr>
      <w:r>
        <w:rPr/>
        <w:t>Institutionalize the practice by integrating it into policy or curriculum if successful.</w:t>
      </w:r>
    </w:p>
    <w:p>
      <w:pPr>
        <w:pStyle w:val="Heading2"/>
      </w:pPr>
      <w:r>
        <w:t>2.8. Dissemination</w:t>
      </w:r>
    </w:p>
    <w:p>
      <w:pPr>
        <w:pStyle w:val="ListBullet"/>
      </w:pPr>
      <w:r>
        <w:rPr/>
        <w:t>Share practices internally through staff meetings and student forums.</w:t>
      </w:r>
    </w:p>
    <w:p>
      <w:pPr>
        <w:pStyle w:val="ListBullet"/>
      </w:pPr>
      <w:r>
        <w:rPr>
          <w:b/>
        </w:rPr>
        <w:t>Externally through:</w:t>
      </w:r>
    </w:p>
    <w:p>
      <w:pPr>
        <w:pStyle w:val="ListBullet2"/>
      </w:pPr>
      <w:r>
        <w:rPr/>
        <w:t>NAAC/NBA reports</w:t>
      </w:r>
    </w:p>
    <w:p>
      <w:pPr>
        <w:pStyle w:val="ListBullet2"/>
      </w:pPr>
      <w:r>
        <w:rPr/>
        <w:t>Academic conferences</w:t>
      </w:r>
    </w:p>
    <w:p>
      <w:pPr>
        <w:pStyle w:val="ListBullet2"/>
      </w:pPr>
      <w:r>
        <w:rPr/>
        <w:t>Inter-college collaborations</w:t>
      </w:r>
    </w:p>
    <w:p>
      <w:pPr>
        <w:pStyle w:val="Heading2"/>
      </w:pPr>
      <w:r>
        <w:t>2.9. Example: Implementation of Mentor-Mentee System (Best Practice)</w:t>
      </w:r>
    </w:p>
    <w:p>
      <w:pPr>
        <w:spacing w:after="60"/>
        <w:ind w:left="567" w:right="283"/>
      </w:pPr>
      <w:r>
        <w:rPr>
          <w:i/>
        </w:rPr>
        <w:t xml:space="preserve">1. </w:t>
      </w:r>
      <w:r>
        <w:rPr>
          <w:b/>
          <w:i/>
        </w:rPr>
        <w:t>Objective:</w:t>
      </w:r>
      <w:r>
        <w:rPr>
          <w:i/>
        </w:rPr>
        <w:t xml:space="preserve"> To provide academic and emotional support to students.</w:t>
      </w:r>
    </w:p>
    <w:p>
      <w:pPr>
        <w:spacing w:after="60"/>
        <w:ind w:left="567" w:right="283"/>
      </w:pPr>
      <w:r>
        <w:rPr>
          <w:i/>
        </w:rPr>
        <w:t xml:space="preserve">2. </w:t>
      </w:r>
      <w:r>
        <w:rPr>
          <w:b/>
          <w:i/>
        </w:rPr>
        <w:t>Plan:</w:t>
      </w:r>
      <w:r>
        <w:rPr>
          <w:i/>
        </w:rPr>
        <w:t xml:space="preserve"> Assign 1 mentor per 15 students; monthly meetings scheduled.</w:t>
      </w:r>
    </w:p>
    <w:p>
      <w:pPr>
        <w:spacing w:after="60"/>
        <w:ind w:left="567" w:right="283"/>
      </w:pPr>
      <w:r>
        <w:rPr>
          <w:i/>
        </w:rPr>
        <w:t xml:space="preserve">3. </w:t>
      </w:r>
      <w:r>
        <w:rPr>
          <w:b/>
          <w:i/>
        </w:rPr>
        <w:t>Execution:</w:t>
      </w:r>
      <w:r>
        <w:rPr>
          <w:i/>
        </w:rPr>
        <w:t xml:space="preserve"> Launched with orientation, tracking format introduced.</w:t>
      </w:r>
    </w:p>
    <w:p>
      <w:pPr>
        <w:spacing w:after="60"/>
        <w:ind w:left="567" w:right="283"/>
      </w:pPr>
      <w:r>
        <w:rPr>
          <w:i/>
        </w:rPr>
        <w:t xml:space="preserve">4. </w:t>
      </w:r>
      <w:r>
        <w:rPr>
          <w:b/>
          <w:i/>
        </w:rPr>
        <w:t>Monitoring:</w:t>
      </w:r>
      <w:r>
        <w:rPr>
          <w:i/>
        </w:rPr>
        <w:t xml:space="preserve"> Feedback collected each semester; issues escalated if needed.</w:t>
      </w:r>
    </w:p>
    <w:p>
      <w:pPr>
        <w:spacing w:after="60"/>
        <w:ind w:left="567" w:right="283"/>
      </w:pPr>
      <w:r>
        <w:rPr>
          <w:i/>
        </w:rPr>
        <w:t xml:space="preserve">5. </w:t>
      </w:r>
      <w:r>
        <w:rPr>
          <w:b/>
          <w:i/>
        </w:rPr>
        <w:t>Improvement:</w:t>
      </w:r>
      <w:r>
        <w:rPr>
          <w:i/>
        </w:rPr>
        <w:t xml:space="preserve"> Added online tracking and mental health awareness sessions.</w:t>
      </w:r>
    </w:p>
    <w:p>
      <w:pPr>
        <w:spacing w:after="60"/>
        <w:ind w:left="567" w:right="283"/>
      </w:pPr>
      <w:r>
        <w:rPr>
          <w:i/>
        </w:rPr>
        <w:t xml:space="preserve">6. </w:t>
      </w:r>
      <w:r>
        <w:rPr>
          <w:b/>
          <w:i/>
        </w:rPr>
        <w:t>Documentation:</w:t>
      </w:r>
      <w:r>
        <w:rPr>
          <w:i/>
        </w:rPr>
        <w:t xml:space="preserve"> Reports submitted to IQAC every semester.</w:t>
      </w:r>
    </w:p>
    <w:p>
      <w:pPr>
        <w:pStyle w:val="Heading1"/>
      </w:pPr>
      <w:r>
        <w:t>3. Institutionalization of Best Practices in Higher Education Institutions (HEIs)</w:t>
      </w:r>
    </w:p>
    <w:p>
      <w:r>
        <w:rPr/>
        <w:t>Institutionalization of Best Practices in Higher Education Institutions (HEIs) refers to embedding these practices into the core functioning of the institution so that they become routine, sustainable, and part of the institutional culture rather than one-time initiatives. This ensures consistency, quality enhancement, and long-term impact.</w:t>
      </w:r>
    </w:p>
    <w:p>
      <w:pPr>
        <w:pStyle w:val="Heading2"/>
      </w:pPr>
      <w:r>
        <w:t>3.1. Steps to Institutionalize Best Practices in HEIs</w:t>
      </w:r>
    </w:p>
    <w:p>
      <w:pPr>
        <w:pStyle w:val="Heading3"/>
      </w:pPr>
      <w:r>
        <w:t>1. Policy Integration</w:t>
      </w:r>
    </w:p>
    <w:p>
      <w:pPr>
        <w:pStyle w:val="ListBullet"/>
      </w:pPr>
      <w:r>
        <w:rPr/>
        <w:t>Incorporate the best practice into institutional policies, handbooks, and strategic plans.</w:t>
      </w:r>
    </w:p>
    <w:p>
      <w:pPr>
        <w:pStyle w:val="ListBullet"/>
      </w:pPr>
      <w:r>
        <w:rPr/>
        <w:t>Frame formal guidelines/SOPs that mandate the practice’s adoption across departments.</w:t>
      </w:r>
    </w:p>
    <w:p>
      <w:pPr>
        <w:spacing w:after="60"/>
        <w:ind w:left="567" w:right="283"/>
      </w:pPr>
      <w:r>
        <w:rPr>
          <w:b/>
          <w:i/>
        </w:rPr>
        <w:t>Example:</w:t>
      </w:r>
      <w:r>
        <w:rPr>
          <w:i/>
        </w:rPr>
        <w:t xml:space="preserve"> Making project-based learning or mentoring a part of the curriculum structure.</w:t>
      </w:r>
    </w:p>
    <w:p>
      <w:pPr>
        <w:pStyle w:val="Heading3"/>
      </w:pPr>
      <w:r>
        <w:t>2. Leadership Endorsement</w:t>
      </w:r>
    </w:p>
    <w:p>
      <w:pPr>
        <w:pStyle w:val="ListBullet"/>
      </w:pPr>
      <w:r>
        <w:rPr/>
        <w:t>Secure approval and visible support from top leadership (Principal, Governing Body, Academic Council).</w:t>
      </w:r>
    </w:p>
    <w:p>
      <w:pPr>
        <w:pStyle w:val="ListBullet"/>
      </w:pPr>
      <w:r>
        <w:rPr/>
        <w:t>Assign institution-level coordinators and designate responsibilities to ensure accountability.</w:t>
      </w:r>
    </w:p>
    <w:p>
      <w:pPr>
        <w:pStyle w:val="Heading3"/>
      </w:pPr>
      <w:r>
        <w:t>3. Capacity Building</w:t>
      </w:r>
    </w:p>
    <w:p>
      <w:pPr>
        <w:pStyle w:val="ListBullet"/>
      </w:pPr>
      <w:r>
        <w:rPr/>
        <w:t>Conduct regular training and orientation programs for faculty, staff, and students.</w:t>
      </w:r>
    </w:p>
    <w:p>
      <w:pPr>
        <w:pStyle w:val="ListBullet"/>
      </w:pPr>
      <w:r>
        <w:rPr/>
        <w:t>Foster a culture of sharing and collaboration through workshops, seminars, and best practice exchange forums.</w:t>
      </w:r>
    </w:p>
    <w:p>
      <w:pPr>
        <w:pStyle w:val="Heading3"/>
      </w:pPr>
      <w:r>
        <w:t>4. Standardization</w:t>
      </w:r>
    </w:p>
    <w:p>
      <w:pPr>
        <w:pStyle w:val="ListBullet"/>
      </w:pPr>
      <w:r>
        <w:rPr/>
        <w:t>Develop institution-wide formats, rubrics, or platforms for consistent implementation.</w:t>
      </w:r>
    </w:p>
    <w:p>
      <w:pPr>
        <w:pStyle w:val="ListBullet"/>
      </w:pPr>
      <w:r>
        <w:rPr/>
        <w:t>Use digital tools (e.g., LMS, ERP) to support and monitor the practice.</w:t>
      </w:r>
    </w:p>
    <w:p>
      <w:pPr>
        <w:pStyle w:val="Heading3"/>
      </w:pPr>
      <w:r>
        <w:t>5. Monitoring &amp; Evaluation Framework</w:t>
      </w:r>
    </w:p>
    <w:p>
      <w:pPr>
        <w:pStyle w:val="ListBullet"/>
      </w:pPr>
      <w:r>
        <w:rPr/>
        <w:t>Establish a cyclical review mechanism (annual/semester-wise) through IQAC or specific sub-committees.</w:t>
      </w:r>
    </w:p>
    <w:p>
      <w:pPr>
        <w:pStyle w:val="ListBullet"/>
      </w:pPr>
      <w:r>
        <w:rPr/>
        <w:t>Define performance indicators and success metrics to evaluate impact.</w:t>
      </w:r>
    </w:p>
    <w:p>
      <w:pPr>
        <w:pStyle w:val="ListBullet"/>
      </w:pPr>
      <w:r>
        <w:rPr/>
        <w:t>Use audit systems (Academic and Administrative Audit – AAA) to assess compliance and effectiveness.</w:t>
      </w:r>
    </w:p>
    <w:p>
      <w:pPr>
        <w:pStyle w:val="Heading3"/>
      </w:pPr>
      <w:r>
        <w:t>6. Resource Allocation</w:t>
      </w:r>
    </w:p>
    <w:p>
      <w:pPr>
        <w:pStyle w:val="ListBullet"/>
      </w:pPr>
      <w:r>
        <w:rPr/>
        <w:t>Ensure budgetary support and infrastructure are allocated annually for sustaining the practice.</w:t>
      </w:r>
    </w:p>
    <w:p>
      <w:pPr>
        <w:pStyle w:val="ListBullet"/>
      </w:pPr>
      <w:r>
        <w:rPr/>
        <w:t>Recognize efforts of faculty and students involved through incentives, awards, or academic credits.</w:t>
      </w:r>
    </w:p>
    <w:p>
      <w:pPr>
        <w:pStyle w:val="Heading3"/>
      </w:pPr>
      <w:r>
        <w:t>7. Cultural Embedding</w:t>
      </w:r>
    </w:p>
    <w:p>
      <w:pPr>
        <w:pStyle w:val="ListBullet"/>
      </w:pPr>
      <w:r>
        <w:rPr/>
        <w:t>Promote the practice in the institutional ethos and student/staff orientation programs.</w:t>
      </w:r>
    </w:p>
    <w:p>
      <w:pPr>
        <w:pStyle w:val="ListBullet"/>
      </w:pPr>
      <w:r>
        <w:rPr/>
        <w:t>Encourage peer-learning and mentorship models to internalize practices organically.</w:t>
      </w:r>
    </w:p>
    <w:p>
      <w:pPr>
        <w:pStyle w:val="Heading3"/>
      </w:pPr>
      <w:r>
        <w:t>8. Documentation and Reporting</w:t>
      </w:r>
    </w:p>
    <w:p>
      <w:pPr>
        <w:pStyle w:val="ListBullet"/>
      </w:pPr>
      <w:r>
        <w:rPr>
          <w:b/>
        </w:rPr>
        <w:t>Integrate best practices into institutional records:</w:t>
      </w:r>
      <w:r>
        <w:rPr/>
        <w:t xml:space="preserve"> AQAR, SSR, Annual Reports, etc.</w:t>
      </w:r>
    </w:p>
    <w:p>
      <w:pPr>
        <w:pStyle w:val="ListBullet"/>
      </w:pPr>
      <w:r>
        <w:rPr/>
        <w:t>Publish outcomes in institutional newsletters, websites, or academic publications for transparency and visibility.</w:t>
      </w:r>
    </w:p>
    <w:p>
      <w:pPr>
        <w:pStyle w:val="Heading3"/>
      </w:pPr>
      <w:r>
        <w:t>9. Benchmarking and Continuous Improvement</w:t>
      </w:r>
    </w:p>
    <w:p>
      <w:pPr>
        <w:pStyle w:val="ListBullet"/>
      </w:pPr>
      <w:r>
        <w:rPr/>
        <w:t>Benchmark against national/international HEIs to ensure relevance.</w:t>
      </w:r>
    </w:p>
    <w:p>
      <w:pPr>
        <w:pStyle w:val="ListBullet"/>
      </w:pPr>
      <w:r>
        <w:rPr/>
        <w:t>Collect feedback, evaluate performance, and adapt the practice for evolving needs.</w:t>
      </w:r>
    </w:p>
    <w:p>
      <w:pPr>
        <w:pStyle w:val="Heading2"/>
      </w:pPr>
      <w:r>
        <w:t>3.2. Example of Institutionalized Best Practice</w:t>
      </w:r>
    </w:p>
    <w:p>
      <w:r>
        <w:rPr>
          <w:b/>
        </w:rPr>
        <w:t>Title:</w:t>
      </w:r>
      <w:r>
        <w:rPr/>
        <w:t xml:space="preserve"> “Green Campus Initiative”</w:t>
      </w:r>
    </w:p>
    <w:p>
      <w:pPr>
        <w:pStyle w:val="ListBullet"/>
      </w:pPr>
      <w:r>
        <w:rPr>
          <w:b/>
        </w:rPr>
        <w:t>Integrated into Policy:</w:t>
      </w:r>
      <w:r>
        <w:rPr/>
        <w:t xml:space="preserve"> Waste segregation, solar panels, and no-plastic zones mandated.</w:t>
      </w:r>
    </w:p>
    <w:p>
      <w:pPr>
        <w:pStyle w:val="ListBullet"/>
      </w:pPr>
      <w:r>
        <w:rPr>
          <w:b/>
        </w:rPr>
        <w:t>Budget Allocated:</w:t>
      </w:r>
      <w:r>
        <w:rPr/>
        <w:t xml:space="preserve"> Annual green budget approved by the management.</w:t>
      </w:r>
    </w:p>
    <w:p>
      <w:pPr>
        <w:pStyle w:val="ListBullet"/>
      </w:pPr>
      <w:r>
        <w:rPr>
          <w:b/>
        </w:rPr>
        <w:t>Monitored By:</w:t>
      </w:r>
      <w:r>
        <w:rPr/>
        <w:t xml:space="preserve"> Environmental Cell reporting to IQAC.</w:t>
      </w:r>
    </w:p>
    <w:p>
      <w:pPr>
        <w:pStyle w:val="ListBullet"/>
      </w:pPr>
      <w:r>
        <w:rPr>
          <w:b/>
        </w:rPr>
        <w:t>Cultural Practice:</w:t>
      </w:r>
      <w:r>
        <w:rPr/>
        <w:t xml:space="preserve"> Green Day Celebrations, eco-club activities, student participation.</w:t>
      </w:r>
    </w:p>
    <w:p>
      <w:pPr>
        <w:pStyle w:val="ListBullet"/>
      </w:pPr>
      <w:r>
        <w:rPr>
          <w:b/>
        </w:rPr>
        <w:t>Sustained Impact:</w:t>
      </w:r>
      <w:r>
        <w:rPr/>
        <w:t xml:space="preserve"> Reduction in energy bills, improved campus environment, awards received</w:t>
      </w:r>
    </w:p>
    <w:p>
      <w:pPr>
        <w:pStyle w:val="Heading1"/>
      </w:pPr>
      <w:r>
        <w:t>4. Internalization of Best Practices in Higher Education Institutions (HEIs)</w:t>
      </w:r>
    </w:p>
    <w:p>
      <w:r>
        <w:rPr/>
        <w:t>Internalization of Best Practices in Higher Education Institutions (HEIs) means embedding these practices into the beliefs, values, behaviors, and daily functioning of the institution so deeply that they become second nature to all stakeholders—faculty, students, staff, and leadership. Unlike mere implementation or institutionalization, internalization reflects a cultural shift, where the practice is embraced not just by policy but by conviction.</w:t>
      </w:r>
    </w:p>
    <w:p>
      <w:pPr>
        <w:pStyle w:val="Heading2"/>
      </w:pPr>
      <w:r>
        <w:t>4.1. Characteristics of Internalized Best Practices</w:t>
      </w:r>
    </w:p>
    <w:p>
      <w:pPr>
        <w:pStyle w:val="ListBullet"/>
      </w:pPr>
      <w:r>
        <w:rPr/>
        <w:t>Widely accepted and valued by all stakeholders.</w:t>
      </w:r>
    </w:p>
    <w:p>
      <w:pPr>
        <w:pStyle w:val="ListBullet"/>
      </w:pPr>
      <w:r>
        <w:rPr/>
        <w:t>Integrated into the academic and administrative DNA of the institution.</w:t>
      </w:r>
    </w:p>
    <w:p>
      <w:pPr>
        <w:pStyle w:val="ListBullet"/>
      </w:pPr>
      <w:r>
        <w:rPr/>
        <w:t>Sustained without external pressure or mandates.</w:t>
      </w:r>
    </w:p>
    <w:p>
      <w:pPr>
        <w:pStyle w:val="ListBullet"/>
      </w:pPr>
      <w:r>
        <w:rPr/>
        <w:t>Reinforced by shared vision, mission, and ethics.</w:t>
      </w:r>
    </w:p>
    <w:p>
      <w:pPr>
        <w:pStyle w:val="ListBullet"/>
      </w:pPr>
      <w:r>
        <w:rPr/>
        <w:t>Evident in daily decision-making, classroom activities, and student behavior.</w:t>
      </w:r>
    </w:p>
    <w:p>
      <w:pPr>
        <w:pStyle w:val="Heading2"/>
      </w:pPr>
      <w:r>
        <w:t>4.2. Process of Internalizing Best Practices</w:t>
      </w:r>
    </w:p>
    <w:p>
      <w:pPr>
        <w:pStyle w:val="Heading3"/>
      </w:pPr>
      <w:r>
        <w:t>1. Awareness and Sensitization</w:t>
      </w:r>
    </w:p>
    <w:p>
      <w:pPr>
        <w:pStyle w:val="ListBullet"/>
      </w:pPr>
      <w:r>
        <w:rPr/>
        <w:t>Conduct regular sensitization workshops, seminars, and success story sharing.</w:t>
      </w:r>
    </w:p>
    <w:p>
      <w:pPr>
        <w:pStyle w:val="ListBullet"/>
      </w:pPr>
      <w:r>
        <w:rPr/>
        <w:t>Highlight the benefits and relevance of the practice to individual roles (faculty, students, admin).</w:t>
      </w:r>
    </w:p>
    <w:p>
      <w:pPr>
        <w:pStyle w:val="Heading3"/>
      </w:pPr>
      <w:r>
        <w:t>2. Stakeholder Involvement</w:t>
      </w:r>
    </w:p>
    <w:p>
      <w:pPr>
        <w:pStyle w:val="ListBullet"/>
      </w:pPr>
      <w:r>
        <w:rPr/>
        <w:t>Involve all levels (faculty, students, staff, alumni) in designing, implementing, and improving the practice.</w:t>
      </w:r>
    </w:p>
    <w:p>
      <w:pPr>
        <w:pStyle w:val="ListBullet"/>
      </w:pPr>
      <w:r>
        <w:rPr/>
        <w:t>Encourage bottom-up feedback mechanisms to foster ownership.</w:t>
      </w:r>
    </w:p>
    <w:p>
      <w:pPr>
        <w:pStyle w:val="Heading3"/>
      </w:pPr>
      <w:r>
        <w:t>3. Leadership Modeling</w:t>
      </w:r>
    </w:p>
    <w:p>
      <w:pPr>
        <w:pStyle w:val="ListBullet"/>
      </w:pPr>
      <w:r>
        <w:rPr/>
        <w:t>Institutional leaders and senior faculty must model the behavior and values of the best practice.</w:t>
      </w:r>
    </w:p>
    <w:p>
      <w:pPr>
        <w:pStyle w:val="ListBullet"/>
      </w:pPr>
      <w:r>
        <w:rPr/>
        <w:t>Recognize and reward individuals or teams who embody the practice.</w:t>
      </w:r>
    </w:p>
    <w:p>
      <w:pPr>
        <w:pStyle w:val="Heading3"/>
      </w:pPr>
      <w:r>
        <w:t>4. Reinforcement Through Routine</w:t>
      </w:r>
    </w:p>
    <w:p>
      <w:pPr>
        <w:pStyle w:val="ListBullet"/>
      </w:pPr>
      <w:r>
        <w:rPr/>
        <w:t>Embed the practice into daily academic schedules, committee responsibilities, or evaluation systems.</w:t>
      </w:r>
    </w:p>
    <w:p>
      <w:pPr>
        <w:pStyle w:val="ListBullet"/>
      </w:pPr>
      <w:r>
        <w:rPr/>
        <w:t>Ensure that it becomes part of the norm, not an extra burden.</w:t>
      </w:r>
    </w:p>
    <w:p>
      <w:pPr>
        <w:pStyle w:val="Heading3"/>
      </w:pPr>
      <w:r>
        <w:t>5. Narratives and Storytelling</w:t>
      </w:r>
    </w:p>
    <w:p>
      <w:pPr>
        <w:pStyle w:val="ListBullet"/>
      </w:pPr>
      <w:r>
        <w:rPr/>
        <w:t>Share real-life stories of impact resulting from the best practice.</w:t>
      </w:r>
    </w:p>
    <w:p>
      <w:pPr>
        <w:pStyle w:val="ListBullet"/>
      </w:pPr>
      <w:r>
        <w:rPr/>
        <w:t>Use students and alumni as ambassadors to promote a deeper connection.</w:t>
      </w:r>
    </w:p>
    <w:p>
      <w:pPr>
        <w:pStyle w:val="Heading3"/>
      </w:pPr>
      <w:r>
        <w:t>6. Reflective Practices</w:t>
      </w:r>
    </w:p>
    <w:p>
      <w:pPr>
        <w:pStyle w:val="ListBullet"/>
      </w:pPr>
      <w:r>
        <w:rPr/>
        <w:t>Conduct reflections, feedback sessions, or group discussions on the practice and its effect.</w:t>
      </w:r>
    </w:p>
    <w:p>
      <w:pPr>
        <w:pStyle w:val="ListBullet"/>
      </w:pPr>
      <w:r>
        <w:rPr/>
        <w:t>Use this to nurture a culture of continuous learning and commitment.</w:t>
      </w:r>
    </w:p>
    <w:p>
      <w:pPr>
        <w:pStyle w:val="Heading3"/>
      </w:pPr>
      <w:r>
        <w:t>7. Alignment with Values and Vision</w:t>
      </w:r>
    </w:p>
    <w:p>
      <w:pPr>
        <w:pStyle w:val="ListBullet"/>
      </w:pPr>
      <w:r>
        <w:rPr/>
        <w:t>Ensure the practice is aligned with the core values and long-term vision of the institution.</w:t>
      </w:r>
    </w:p>
    <w:p>
      <w:pPr>
        <w:pStyle w:val="ListBullet"/>
      </w:pPr>
      <w:r>
        <w:rPr/>
        <w:t>Reflect it in vision statements, codes of conduct, and branding materials.</w:t>
      </w:r>
    </w:p>
    <w:p>
      <w:pPr>
        <w:pStyle w:val="Heading2"/>
      </w:pPr>
      <w:r>
        <w:t>4.3. Example: Internalizing Outcome-Based Education (OBE)</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2608"/>
        <w:gridCol w:w="6803"/>
      </w:tblGrid>
      <w:tr>
        <w:trPr>
          <w:tblHeader w:val="true"/>
        </w:trPr>
        <w:tc>
          <w:tcPr>
            <w:tcW w:type="dxa" w:w="2608"/>
            <w:shd w:val="clear" w:color="auto" w:fill="1F3A5F"/>
          </w:tcPr>
          <w:p>
            <w:pPr>
              <w:spacing w:after="20" w:before="20" w:line="240" w:lineRule="auto"/>
              <w:jc w:val="left"/>
            </w:pPr>
            <w:r>
              <w:rPr>
                <w:b/>
                <w:color w:val="FFFFFF"/>
                <w:sz w:val="21"/>
              </w:rPr>
              <w:t>Phase</w:t>
            </w:r>
          </w:p>
        </w:tc>
        <w:tc>
          <w:tcPr>
            <w:tcW w:type="dxa" w:w="6803"/>
            <w:shd w:val="clear" w:color="auto" w:fill="1F3A5F"/>
          </w:tcPr>
          <w:p>
            <w:pPr>
              <w:spacing w:after="20" w:before="20" w:line="240" w:lineRule="auto"/>
              <w:jc w:val="left"/>
            </w:pPr>
            <w:r>
              <w:rPr>
                <w:b/>
                <w:color w:val="FFFFFF"/>
                <w:sz w:val="21"/>
              </w:rPr>
              <w:t>Action</w:t>
            </w:r>
          </w:p>
        </w:tc>
      </w:tr>
      <w:tr>
        <w:tc>
          <w:tcPr>
            <w:tcW w:type="dxa" w:w="2608"/>
          </w:tcPr>
          <w:p>
            <w:pPr>
              <w:spacing w:after="20" w:before="20" w:line="240" w:lineRule="auto"/>
              <w:jc w:val="left"/>
            </w:pPr>
            <w:r>
              <w:rPr>
                <w:sz w:val="21"/>
              </w:rPr>
              <w:t>Awareness</w:t>
            </w:r>
          </w:p>
        </w:tc>
        <w:tc>
          <w:tcPr>
            <w:tcW w:type="dxa" w:w="6803"/>
          </w:tcPr>
          <w:p>
            <w:pPr>
              <w:spacing w:after="20" w:before="20" w:line="240" w:lineRule="auto"/>
              <w:jc w:val="left"/>
            </w:pPr>
            <w:r>
              <w:rPr>
                <w:sz w:val="21"/>
              </w:rPr>
              <w:t>Faculty orientation on Bloom’s Taxonomy and CO-PO mapping</w:t>
            </w:r>
          </w:p>
        </w:tc>
      </w:tr>
      <w:tr>
        <w:tc>
          <w:tcPr>
            <w:tcW w:type="dxa" w:w="2608"/>
            <w:shd w:val="clear" w:color="auto" w:fill="E8EEF5"/>
          </w:tcPr>
          <w:p>
            <w:pPr>
              <w:spacing w:after="20" w:before="20" w:line="240" w:lineRule="auto"/>
              <w:jc w:val="left"/>
            </w:pPr>
            <w:r>
              <w:rPr>
                <w:sz w:val="21"/>
              </w:rPr>
              <w:t>Involvement</w:t>
            </w:r>
          </w:p>
        </w:tc>
        <w:tc>
          <w:tcPr>
            <w:tcW w:type="dxa" w:w="6803"/>
            <w:shd w:val="clear" w:color="auto" w:fill="E8EEF5"/>
          </w:tcPr>
          <w:p>
            <w:pPr>
              <w:spacing w:after="20" w:before="20" w:line="240" w:lineRule="auto"/>
              <w:jc w:val="left"/>
            </w:pPr>
            <w:r>
              <w:rPr>
                <w:sz w:val="21"/>
              </w:rPr>
              <w:t>Faculty and students jointly work on course outcomes</w:t>
            </w:r>
          </w:p>
        </w:tc>
      </w:tr>
      <w:tr>
        <w:tc>
          <w:tcPr>
            <w:tcW w:type="dxa" w:w="2608"/>
          </w:tcPr>
          <w:p>
            <w:pPr>
              <w:spacing w:after="20" w:before="20" w:line="240" w:lineRule="auto"/>
              <w:jc w:val="left"/>
            </w:pPr>
            <w:r>
              <w:rPr>
                <w:sz w:val="21"/>
              </w:rPr>
              <w:t>Routine</w:t>
            </w:r>
          </w:p>
        </w:tc>
        <w:tc>
          <w:tcPr>
            <w:tcW w:type="dxa" w:w="6803"/>
          </w:tcPr>
          <w:p>
            <w:pPr>
              <w:spacing w:after="20" w:before="20" w:line="240" w:lineRule="auto"/>
              <w:jc w:val="left"/>
            </w:pPr>
            <w:r>
              <w:rPr>
                <w:sz w:val="21"/>
              </w:rPr>
              <w:t>COs discussed at the start and end of every course</w:t>
            </w:r>
          </w:p>
        </w:tc>
      </w:tr>
      <w:tr>
        <w:tc>
          <w:tcPr>
            <w:tcW w:type="dxa" w:w="2608"/>
            <w:shd w:val="clear" w:color="auto" w:fill="E8EEF5"/>
          </w:tcPr>
          <w:p>
            <w:pPr>
              <w:spacing w:after="20" w:before="20" w:line="240" w:lineRule="auto"/>
              <w:jc w:val="left"/>
            </w:pPr>
            <w:r>
              <w:rPr>
                <w:sz w:val="21"/>
              </w:rPr>
              <w:t>Reinforcement</w:t>
            </w:r>
          </w:p>
        </w:tc>
        <w:tc>
          <w:tcPr>
            <w:tcW w:type="dxa" w:w="6803"/>
            <w:shd w:val="clear" w:color="auto" w:fill="E8EEF5"/>
          </w:tcPr>
          <w:p>
            <w:pPr>
              <w:spacing w:after="20" w:before="20" w:line="240" w:lineRule="auto"/>
              <w:jc w:val="left"/>
            </w:pPr>
            <w:r>
              <w:rPr>
                <w:sz w:val="21"/>
              </w:rPr>
              <w:t>Student assessments linked directly to CO attainment</w:t>
            </w:r>
          </w:p>
        </w:tc>
      </w:tr>
      <w:tr>
        <w:tc>
          <w:tcPr>
            <w:tcW w:type="dxa" w:w="2608"/>
          </w:tcPr>
          <w:p>
            <w:pPr>
              <w:spacing w:after="20" w:before="20" w:line="240" w:lineRule="auto"/>
              <w:jc w:val="left"/>
            </w:pPr>
            <w:r>
              <w:rPr>
                <w:sz w:val="21"/>
              </w:rPr>
              <w:t>Reflection</w:t>
            </w:r>
          </w:p>
        </w:tc>
        <w:tc>
          <w:tcPr>
            <w:tcW w:type="dxa" w:w="6803"/>
          </w:tcPr>
          <w:p>
            <w:pPr>
              <w:spacing w:after="20" w:before="20" w:line="240" w:lineRule="auto"/>
              <w:jc w:val="left"/>
            </w:pPr>
            <w:r>
              <w:rPr>
                <w:sz w:val="21"/>
              </w:rPr>
              <w:t>Regular IQAC feedback on outcome achievement</w:t>
            </w:r>
          </w:p>
        </w:tc>
      </w:tr>
      <w:tr>
        <w:tc>
          <w:tcPr>
            <w:tcW w:type="dxa" w:w="2608"/>
            <w:shd w:val="clear" w:color="auto" w:fill="E8EEF5"/>
          </w:tcPr>
          <w:p>
            <w:pPr>
              <w:spacing w:after="20" w:before="20" w:line="240" w:lineRule="auto"/>
              <w:jc w:val="left"/>
            </w:pPr>
            <w:r>
              <w:rPr>
                <w:sz w:val="21"/>
              </w:rPr>
              <w:t>Belief Shift</w:t>
            </w:r>
          </w:p>
        </w:tc>
        <w:tc>
          <w:tcPr>
            <w:tcW w:type="dxa" w:w="6803"/>
            <w:shd w:val="clear" w:color="auto" w:fill="E8EEF5"/>
          </w:tcPr>
          <w:p>
            <w:pPr>
              <w:spacing w:after="20" w:before="20" w:line="240" w:lineRule="auto"/>
              <w:jc w:val="left"/>
            </w:pPr>
            <w:r>
              <w:rPr>
                <w:sz w:val="21"/>
              </w:rPr>
              <w:t>Faculty adopt OBE not as a requirement, but as a teaching philosophy</w:t>
            </w:r>
          </w:p>
        </w:tc>
      </w:tr>
    </w:tbl>
    <w:p>
      <w:pPr>
        <w:spacing w:after="80"/>
      </w:pPr>
    </w:p>
    <w:p>
      <w:pPr>
        <w:pStyle w:val="Heading2"/>
      </w:pPr>
      <w:r>
        <w:t>4.4. Indicators of Successful Internalization</w:t>
      </w:r>
    </w:p>
    <w:p>
      <w:pPr>
        <w:pStyle w:val="ListBullet"/>
      </w:pPr>
      <w:r>
        <w:rPr/>
        <w:t>Stakeholders voluntarily practice and promote the initiative.</w:t>
      </w:r>
    </w:p>
    <w:p>
      <w:pPr>
        <w:pStyle w:val="ListBullet"/>
      </w:pPr>
      <w:r>
        <w:rPr/>
        <w:t>The practice is not seen as compliance, but as an identity of the institution.</w:t>
      </w:r>
    </w:p>
    <w:p>
      <w:pPr>
        <w:pStyle w:val="ListBullet"/>
      </w:pPr>
      <w:r>
        <w:rPr/>
        <w:t>Visible behavioral and cultural change among students and staff.</w:t>
      </w:r>
    </w:p>
    <w:p>
      <w:pPr>
        <w:pStyle w:val="ListBullet"/>
      </w:pPr>
      <w:r>
        <w:rPr/>
        <w:t>Continues even with change in leadership or policy shifts.</w:t>
      </w:r>
    </w:p>
    <w:p>
      <w:pPr>
        <w:pStyle w:val="Heading1"/>
      </w:pPr>
      <w:r>
        <w:t>5. Dissemination of Best Practices in Higher Education Institutions (HEIs)</w:t>
      </w:r>
    </w:p>
    <w:p>
      <w:r>
        <w:rPr/>
        <w:t>Dissemination of Best Practices in Higher Education Institutions (HEIs) involves systematically sharing successful, impactful practices within and beyond the institution to enhance institutional learning, encourage replication, and promote a culture of quality and innovation in the academic ecosystem.</w:t>
      </w:r>
    </w:p>
    <w:p>
      <w:pPr>
        <w:pStyle w:val="Heading2"/>
      </w:pPr>
      <w:r>
        <w:t>5.1. Objectives of Dissemination:</w:t>
      </w:r>
    </w:p>
    <w:p>
      <w:pPr>
        <w:pStyle w:val="ListBullet"/>
      </w:pPr>
      <w:r>
        <w:rPr/>
        <w:t>Promote transparency and quality consciousness.</w:t>
      </w:r>
    </w:p>
    <w:p>
      <w:pPr>
        <w:pStyle w:val="ListBullet"/>
      </w:pPr>
      <w:r>
        <w:rPr/>
        <w:t>Inspire peer institutions and foster collaboration.</w:t>
      </w:r>
    </w:p>
    <w:p>
      <w:pPr>
        <w:pStyle w:val="ListBullet"/>
      </w:pPr>
      <w:r>
        <w:rPr/>
        <w:t>Receive constructive feedback for further improvement.</w:t>
      </w:r>
    </w:p>
    <w:p>
      <w:pPr>
        <w:pStyle w:val="ListBullet"/>
      </w:pPr>
      <w:r>
        <w:rPr/>
        <w:t>Comply with accreditation and ranking requirements (e.g., NAAC, NBA, NIRF).</w:t>
      </w:r>
    </w:p>
    <w:p>
      <w:pPr>
        <w:pStyle w:val="ListBullet"/>
      </w:pPr>
      <w:r>
        <w:rPr/>
        <w:t>Showcase institutional achievements to stakeholders and society.</w:t>
      </w:r>
    </w:p>
    <w:p>
      <w:pPr>
        <w:pStyle w:val="Heading2"/>
      </w:pPr>
      <w:r>
        <w:t>5.2. Methods of Dissemination</w:t>
      </w:r>
    </w:p>
    <w:p>
      <w:pPr>
        <w:pStyle w:val="Heading3"/>
      </w:pPr>
      <w:r>
        <w:t>Internal Dissemination</w:t>
      </w:r>
    </w:p>
    <w:p>
      <w:r>
        <w:rPr>
          <w:b/>
        </w:rPr>
        <w:t>Target:</w:t>
      </w:r>
      <w:r>
        <w:rPr/>
        <w:t xml:space="preserve"> Faculty, students, administration within the institution</w:t>
      </w:r>
    </w:p>
    <w:p>
      <w:pPr>
        <w:spacing w:after="60"/>
        <w:ind w:left="567" w:hanging="283"/>
      </w:pPr>
      <w:r>
        <w:rPr/>
        <w:t>1. Orientation programs and workshops (especially for new staff and students)</w:t>
      </w:r>
    </w:p>
    <w:p>
      <w:pPr>
        <w:spacing w:after="60"/>
        <w:ind w:left="567" w:hanging="283"/>
      </w:pPr>
      <w:r>
        <w:rPr/>
        <w:t>2. Faculty development programs (FDPs) on best practice themes</w:t>
      </w:r>
    </w:p>
    <w:p>
      <w:pPr>
        <w:spacing w:after="60"/>
        <w:ind w:left="567" w:hanging="283"/>
      </w:pPr>
      <w:r>
        <w:rPr/>
        <w:t>3. Departmental meetings and IQAC reviews</w:t>
      </w:r>
    </w:p>
    <w:p>
      <w:pPr>
        <w:spacing w:after="60"/>
        <w:ind w:left="567" w:hanging="283"/>
      </w:pPr>
      <w:r>
        <w:rPr/>
        <w:t>4. Student forums, clubs, and mentoring sessions</w:t>
      </w:r>
    </w:p>
    <w:p>
      <w:pPr>
        <w:spacing w:after="60"/>
        <w:ind w:left="567" w:hanging="283"/>
      </w:pPr>
      <w:r>
        <w:rPr/>
        <w:t>5. Institutional handbook/manual updates</w:t>
      </w:r>
    </w:p>
    <w:p>
      <w:pPr>
        <w:spacing w:after="60"/>
        <w:ind w:left="567" w:hanging="283"/>
      </w:pPr>
      <w:r>
        <w:rPr/>
        <w:t>6. Posters, banners, and digital screens displaying key practices across campus</w:t>
      </w:r>
    </w:p>
    <w:p>
      <w:pPr>
        <w:pStyle w:val="Heading2"/>
      </w:pPr>
      <w:r>
        <w:t>5.3. External Dissemination</w:t>
      </w:r>
    </w:p>
    <w:p>
      <w:r>
        <w:rPr>
          <w:b/>
        </w:rPr>
        <w:t>Target:</w:t>
      </w:r>
      <w:r>
        <w:rPr/>
        <w:t xml:space="preserve"> Other HEIs, regulatory bodies, public, industry</w:t>
      </w:r>
    </w:p>
    <w:p>
      <w:pPr>
        <w:spacing w:after="60"/>
        <w:ind w:left="567" w:hanging="283"/>
      </w:pPr>
      <w:r>
        <w:rPr/>
        <w:t>1. Annual Quality Assurance Reports (AQAR) and Self-Study Reports (SSR) submitted to NAAC/NBA</w:t>
      </w:r>
    </w:p>
    <w:p>
      <w:pPr>
        <w:spacing w:after="60"/>
        <w:ind w:left="567" w:hanging="283"/>
      </w:pPr>
      <w:r>
        <w:rPr/>
        <w:t>2. Institutional website with a dedicated "Best Practices" section</w:t>
      </w:r>
    </w:p>
    <w:p>
      <w:pPr>
        <w:spacing w:after="60"/>
        <w:ind w:left="567" w:hanging="283"/>
      </w:pPr>
      <w:r>
        <w:rPr/>
        <w:t>3. Research papers and case studies in academic journals</w:t>
      </w:r>
    </w:p>
    <w:p>
      <w:pPr>
        <w:spacing w:after="60"/>
        <w:ind w:left="567" w:hanging="283"/>
      </w:pPr>
      <w:r>
        <w:rPr/>
        <w:t>4. Participation in conferences, symposiums, and expos</w:t>
      </w:r>
    </w:p>
    <w:p>
      <w:pPr>
        <w:spacing w:after="60"/>
        <w:ind w:left="567" w:hanging="283"/>
      </w:pPr>
      <w:r>
        <w:rPr/>
        <w:t>5. Collaboration with other institutions through MoUs and best practice exchange visits</w:t>
      </w:r>
    </w:p>
    <w:p>
      <w:pPr>
        <w:spacing w:after="60"/>
        <w:ind w:left="567" w:hanging="283"/>
      </w:pPr>
      <w:r>
        <w:rPr/>
        <w:t>6. Social media, YouTube, newsletters, and press releases</w:t>
      </w:r>
    </w:p>
    <w:p>
      <w:pPr>
        <w:pStyle w:val="Heading2"/>
      </w:pPr>
      <w:r>
        <w:t>5.4. What to Include in Dissemination Materials:</w:t>
      </w:r>
    </w:p>
    <w:p>
      <w:pPr>
        <w:pStyle w:val="ListBullet"/>
      </w:pPr>
      <w:r>
        <w:rPr/>
        <w:t>Title and brief description of the practice</w:t>
      </w:r>
    </w:p>
    <w:p>
      <w:pPr>
        <w:pStyle w:val="ListBullet"/>
      </w:pPr>
      <w:r>
        <w:rPr/>
        <w:t>Context and need it addresses</w:t>
      </w:r>
    </w:p>
    <w:p>
      <w:pPr>
        <w:pStyle w:val="ListBullet"/>
      </w:pPr>
      <w:r>
        <w:rPr/>
        <w:t>Objectives</w:t>
      </w:r>
    </w:p>
    <w:p>
      <w:pPr>
        <w:pStyle w:val="ListBullet"/>
      </w:pPr>
      <w:r>
        <w:rPr/>
        <w:t>Implementation strategy</w:t>
      </w:r>
    </w:p>
    <w:p>
      <w:pPr>
        <w:pStyle w:val="ListBullet"/>
      </w:pPr>
      <w:r>
        <w:rPr/>
        <w:t>Evidence of impact (quantitative/qualitative)</w:t>
      </w:r>
    </w:p>
    <w:p>
      <w:pPr>
        <w:pStyle w:val="ListBullet"/>
      </w:pPr>
      <w:r>
        <w:rPr/>
        <w:t>Challenges faced and solutions</w:t>
      </w:r>
    </w:p>
    <w:p>
      <w:pPr>
        <w:pStyle w:val="ListBullet"/>
      </w:pPr>
      <w:r>
        <w:rPr/>
        <w:t>Replicability potential</w:t>
      </w:r>
    </w:p>
    <w:p>
      <w:pPr>
        <w:pStyle w:val="Heading2"/>
      </w:pPr>
      <w:r>
        <w:t>5.5. Example: Dissemination of a Best Practice – "Mentor-Mentee System"</w:t>
      </w:r>
    </w:p>
    <w:tbl>
      <w:tblPr>
        <w:tblW w:type="dxa" w:w="9412"/>
        <w:jc w:val="center"/>
        <w:tblLayout w:type="fixed"/>
        <w:tblLook w:firstColumn="1" w:firstRow="1" w:lastColumn="0" w:lastRow="0" w:noHBand="0" w:noVBand="1" w:val="04A0"/>
        <w:tblBorders>
          <w:top w:val="single" w:sz="4" w:space="0" w:color="9AA9BC"/>
          <w:left w:val="single" w:sz="4" w:space="0" w:color="9AA9BC"/>
          <w:bottom w:val="single" w:sz="4" w:space="0" w:color="9AA9BC"/>
          <w:right w:val="single" w:sz="4" w:space="0" w:color="9AA9BC"/>
          <w:insideH w:val="single" w:sz="4" w:space="0" w:color="9AA9BC"/>
          <w:insideV w:val="single" w:sz="4" w:space="0" w:color="9AA9BC"/>
        </w:tblBorders>
        <w:tblLayout w:type="fixed"/>
      </w:tblPr>
      <w:tblGrid>
        <w:gridCol w:w="2608"/>
        <w:gridCol w:w="6803"/>
      </w:tblGrid>
      <w:tr>
        <w:trPr>
          <w:tblHeader w:val="true"/>
        </w:trPr>
        <w:tc>
          <w:tcPr>
            <w:tcW w:type="dxa" w:w="2608"/>
            <w:shd w:val="clear" w:color="auto" w:fill="1F3A5F"/>
          </w:tcPr>
          <w:p>
            <w:pPr>
              <w:spacing w:after="20" w:before="20" w:line="240" w:lineRule="auto"/>
              <w:jc w:val="left"/>
            </w:pPr>
            <w:r>
              <w:rPr>
                <w:b/>
                <w:color w:val="FFFFFF"/>
                <w:sz w:val="21"/>
              </w:rPr>
              <w:t>Platform</w:t>
            </w:r>
          </w:p>
        </w:tc>
        <w:tc>
          <w:tcPr>
            <w:tcW w:type="dxa" w:w="6803"/>
            <w:shd w:val="clear" w:color="auto" w:fill="1F3A5F"/>
          </w:tcPr>
          <w:p>
            <w:pPr>
              <w:spacing w:after="20" w:before="20" w:line="240" w:lineRule="auto"/>
              <w:jc w:val="left"/>
            </w:pPr>
            <w:r>
              <w:rPr>
                <w:b/>
                <w:color w:val="FFFFFF"/>
                <w:sz w:val="21"/>
              </w:rPr>
              <w:t>Method</w:t>
            </w:r>
          </w:p>
        </w:tc>
      </w:tr>
      <w:tr>
        <w:tc>
          <w:tcPr>
            <w:tcW w:type="dxa" w:w="2608"/>
          </w:tcPr>
          <w:p>
            <w:pPr>
              <w:spacing w:after="20" w:before="20" w:line="240" w:lineRule="auto"/>
              <w:jc w:val="left"/>
            </w:pPr>
            <w:r>
              <w:rPr>
                <w:sz w:val="21"/>
              </w:rPr>
              <w:t>Internal FDP</w:t>
            </w:r>
          </w:p>
        </w:tc>
        <w:tc>
          <w:tcPr>
            <w:tcW w:type="dxa" w:w="6803"/>
          </w:tcPr>
          <w:p>
            <w:pPr>
              <w:spacing w:after="20" w:before="20" w:line="240" w:lineRule="auto"/>
              <w:jc w:val="left"/>
            </w:pPr>
            <w:r>
              <w:rPr>
                <w:sz w:val="21"/>
              </w:rPr>
              <w:t>Workshop on mentor tracking tools</w:t>
            </w:r>
          </w:p>
        </w:tc>
      </w:tr>
      <w:tr>
        <w:tc>
          <w:tcPr>
            <w:tcW w:type="dxa" w:w="2608"/>
            <w:shd w:val="clear" w:color="auto" w:fill="E8EEF5"/>
          </w:tcPr>
          <w:p>
            <w:pPr>
              <w:spacing w:after="20" w:before="20" w:line="240" w:lineRule="auto"/>
              <w:jc w:val="left"/>
            </w:pPr>
            <w:r>
              <w:rPr>
                <w:sz w:val="21"/>
              </w:rPr>
              <w:t>Website</w:t>
            </w:r>
          </w:p>
        </w:tc>
        <w:tc>
          <w:tcPr>
            <w:tcW w:type="dxa" w:w="6803"/>
            <w:shd w:val="clear" w:color="auto" w:fill="E8EEF5"/>
          </w:tcPr>
          <w:p>
            <w:pPr>
              <w:spacing w:after="20" w:before="20" w:line="240" w:lineRule="auto"/>
              <w:jc w:val="left"/>
            </w:pPr>
            <w:r>
              <w:rPr>
                <w:sz w:val="21"/>
              </w:rPr>
              <w:t>Page under “Quality Initiatives”</w:t>
            </w:r>
          </w:p>
        </w:tc>
      </w:tr>
      <w:tr>
        <w:tc>
          <w:tcPr>
            <w:tcW w:type="dxa" w:w="2608"/>
          </w:tcPr>
          <w:p>
            <w:pPr>
              <w:spacing w:after="20" w:before="20" w:line="240" w:lineRule="auto"/>
              <w:jc w:val="left"/>
            </w:pPr>
            <w:r>
              <w:rPr>
                <w:sz w:val="21"/>
              </w:rPr>
              <w:t>Newsletter</w:t>
            </w:r>
          </w:p>
        </w:tc>
        <w:tc>
          <w:tcPr>
            <w:tcW w:type="dxa" w:w="6803"/>
          </w:tcPr>
          <w:p>
            <w:pPr>
              <w:spacing w:after="20" w:before="20" w:line="240" w:lineRule="auto"/>
              <w:jc w:val="left"/>
            </w:pPr>
            <w:r>
              <w:rPr>
                <w:sz w:val="21"/>
              </w:rPr>
              <w:t>Feature on improved student outcomes</w:t>
            </w:r>
          </w:p>
        </w:tc>
      </w:tr>
      <w:tr>
        <w:tc>
          <w:tcPr>
            <w:tcW w:type="dxa" w:w="2608"/>
            <w:shd w:val="clear" w:color="auto" w:fill="E8EEF5"/>
          </w:tcPr>
          <w:p>
            <w:pPr>
              <w:spacing w:after="20" w:before="20" w:line="240" w:lineRule="auto"/>
              <w:jc w:val="left"/>
            </w:pPr>
            <w:r>
              <w:rPr>
                <w:sz w:val="21"/>
              </w:rPr>
              <w:t>Academic Paper</w:t>
            </w:r>
          </w:p>
        </w:tc>
        <w:tc>
          <w:tcPr>
            <w:tcW w:type="dxa" w:w="6803"/>
            <w:shd w:val="clear" w:color="auto" w:fill="E8EEF5"/>
          </w:tcPr>
          <w:p>
            <w:pPr>
              <w:spacing w:after="20" w:before="20" w:line="240" w:lineRule="auto"/>
              <w:jc w:val="left"/>
            </w:pPr>
            <w:r>
              <w:rPr>
                <w:sz w:val="21"/>
              </w:rPr>
              <w:t>Case study in a higher education journal</w:t>
            </w:r>
          </w:p>
        </w:tc>
      </w:tr>
      <w:tr>
        <w:tc>
          <w:tcPr>
            <w:tcW w:type="dxa" w:w="2608"/>
          </w:tcPr>
          <w:p>
            <w:pPr>
              <w:spacing w:after="20" w:before="20" w:line="240" w:lineRule="auto"/>
              <w:jc w:val="left"/>
            </w:pPr>
            <w:r>
              <w:rPr>
                <w:sz w:val="21"/>
              </w:rPr>
              <w:t>Conference</w:t>
            </w:r>
          </w:p>
        </w:tc>
        <w:tc>
          <w:tcPr>
            <w:tcW w:type="dxa" w:w="6803"/>
          </w:tcPr>
          <w:p>
            <w:pPr>
              <w:spacing w:after="20" w:before="20" w:line="240" w:lineRule="auto"/>
              <w:jc w:val="left"/>
            </w:pPr>
            <w:r>
              <w:rPr>
                <w:sz w:val="21"/>
              </w:rPr>
              <w:t>Presentation at NAAC best practice seminar</w:t>
            </w:r>
          </w:p>
        </w:tc>
      </w:tr>
    </w:tbl>
    <w:p>
      <w:pPr>
        <w:spacing w:after="80"/>
      </w:pPr>
    </w:p>
    <w:p>
      <w:pPr>
        <w:pStyle w:val="Heading2"/>
      </w:pPr>
      <w:r>
        <w:t>5.6. Tips for Effective Dissemination</w:t>
      </w:r>
    </w:p>
    <w:p>
      <w:pPr>
        <w:pStyle w:val="ListBullet"/>
      </w:pPr>
      <w:r>
        <w:rPr/>
        <w:t>Keep materials clear, concise, and evidence-based</w:t>
      </w:r>
    </w:p>
    <w:p>
      <w:pPr>
        <w:pStyle w:val="ListBullet"/>
      </w:pPr>
      <w:r>
        <w:rPr/>
        <w:t>Use visuals (charts, infographics, videos) where possible</w:t>
      </w:r>
    </w:p>
    <w:p>
      <w:pPr>
        <w:pStyle w:val="ListBullet"/>
      </w:pPr>
      <w:r>
        <w:rPr/>
        <w:t>Collect testimonials from stakeholders (students, faculty, industry)</w:t>
      </w:r>
    </w:p>
    <w:p>
      <w:pPr>
        <w:pStyle w:val="ListBullet"/>
      </w:pPr>
      <w:r>
        <w:rPr/>
        <w:t>Encourage peer feedback and discussion</w:t>
      </w:r>
    </w:p>
    <w:p>
      <w:pPr>
        <w:pStyle w:val="ListBullet"/>
      </w:pPr>
      <w:r>
        <w:rPr/>
        <w:t>Archive all dissemination efforts in IQAC records</w:t>
      </w:r>
    </w:p>
    <w:p>
      <w:pPr>
        <w:pStyle w:val="Heading1"/>
      </w:pPr>
      <w:r>
        <w:t>6. Best Practices Benchmarking in Higher Education</w:t>
      </w:r>
    </w:p>
    <w:p>
      <w:pPr>
        <w:pStyle w:val="Heading2"/>
      </w:pPr>
      <w:r>
        <w:t>1. Define Clear Goals and Objectives</w:t>
      </w:r>
    </w:p>
    <w:p>
      <w:pPr>
        <w:pStyle w:val="ListBullet"/>
      </w:pPr>
      <w:r>
        <w:rPr>
          <w:b/>
        </w:rPr>
        <w:t>Focus on Improvement:</w:t>
      </w:r>
      <w:r>
        <w:rPr/>
        <w:t xml:space="preserve"> Identify areas for improvement within teaching, learning, student engagement, and administrative processes.</w:t>
      </w:r>
    </w:p>
    <w:p>
      <w:pPr>
        <w:pStyle w:val="ListBullet"/>
      </w:pPr>
      <w:r>
        <w:rPr>
          <w:b/>
        </w:rPr>
        <w:t>Align with Institutional Mission:</w:t>
      </w:r>
      <w:r>
        <w:rPr/>
        <w:t xml:space="preserve"> Ensure benchmarking aligns with the institution's overall goals, mission, and values.</w:t>
      </w:r>
    </w:p>
    <w:p>
      <w:pPr>
        <w:pStyle w:val="ListBullet"/>
      </w:pPr>
      <w:r>
        <w:rPr>
          <w:b/>
        </w:rPr>
        <w:t>Relevance of Benchmarking:</w:t>
      </w:r>
      <w:r>
        <w:rPr/>
        <w:t xml:space="preserve"> Benchmarking, from the perspective discussed above, becomes relevant to higher education because of the external point of reference or standards it provides. It helps educational managers evaluate the quality of the processes they manage, offering valuable insights for prioritization and decision-making. By replacing "gut feel" or "stab in the dark" approaches with data-driven analysis, benchmarking answers critical questions like </w:t>
      </w:r>
      <w:r>
        <w:rPr>
          <w:i/>
        </w:rPr>
        <w:t>How good is good?</w:t>
      </w:r>
      <w:r>
        <w:rPr/>
        <w:t xml:space="preserve"> and </w:t>
      </w:r>
      <w:r>
        <w:rPr>
          <w:i/>
        </w:rPr>
        <w:t>Compared to what?</w:t>
      </w:r>
    </w:p>
    <w:p>
      <w:pPr>
        <w:pStyle w:val="Heading2"/>
      </w:pPr>
      <w:r>
        <w:t>2. Select Relevant Metrics</w:t>
      </w:r>
    </w:p>
    <w:p>
      <w:pPr>
        <w:pStyle w:val="ListBullet"/>
      </w:pPr>
      <w:r>
        <w:rPr>
          <w:b/>
        </w:rPr>
        <w:t>Academic Performance:</w:t>
      </w:r>
      <w:r>
        <w:rPr/>
        <w:t xml:space="preserve"> Include graduation rates, retention rates, GPA distributions, and faculty qualifications.</w:t>
      </w:r>
    </w:p>
    <w:p>
      <w:pPr>
        <w:pStyle w:val="ListBullet"/>
      </w:pPr>
      <w:r>
        <w:rPr>
          <w:b/>
        </w:rPr>
        <w:t>Student Satisfaction:</w:t>
      </w:r>
      <w:r>
        <w:rPr/>
        <w:t xml:space="preserve"> Surveys, feedback mechanisms, and engagement surveys.</w:t>
      </w:r>
    </w:p>
    <w:p>
      <w:pPr>
        <w:pStyle w:val="ListBullet"/>
      </w:pPr>
      <w:r>
        <w:rPr>
          <w:b/>
        </w:rPr>
        <w:t>Teaching and Learning Outcomes:</w:t>
      </w:r>
      <w:r>
        <w:rPr/>
        <w:t xml:space="preserve"> Assessments, course evaluations, and faculty performance.</w:t>
      </w:r>
    </w:p>
    <w:p>
      <w:pPr>
        <w:pStyle w:val="ListBullet"/>
      </w:pPr>
      <w:r>
        <w:rPr>
          <w:b/>
        </w:rPr>
        <w:t>Operational Efficiency:</w:t>
      </w:r>
      <w:r>
        <w:rPr/>
        <w:t xml:space="preserve"> Resource allocation, cost-effectiveness, and administrative processes.</w:t>
      </w:r>
    </w:p>
    <w:p>
      <w:pPr>
        <w:pStyle w:val="ListBullet"/>
      </w:pPr>
      <w:r>
        <w:rPr>
          <w:b/>
        </w:rPr>
        <w:t>Traditional Data Limitations:</w:t>
      </w:r>
      <w:r>
        <w:rPr/>
        <w:t xml:space="preserve"> Traditionally, higher education has been awash in nonoperational data, such as finance, staffing, and operational expenditures per student. This data has often been used to justify budgets or secure funding, but little has been used to directly improve quality. Best Practices Benchmarking can address this gap by directly focusing on quality enhancement.</w:t>
      </w:r>
    </w:p>
    <w:p>
      <w:pPr>
        <w:pStyle w:val="Heading2"/>
      </w:pPr>
      <w:r>
        <w:t>3. Choose Comparators Carefully</w:t>
      </w:r>
    </w:p>
    <w:p>
      <w:pPr>
        <w:pStyle w:val="ListBullet"/>
      </w:pPr>
      <w:r>
        <w:rPr>
          <w:b/>
        </w:rPr>
        <w:t>Peer Institutions:</w:t>
      </w:r>
      <w:r>
        <w:rPr/>
        <w:t xml:space="preserve"> Select institutions with similar characteristics, size, and objectives to compare.</w:t>
      </w:r>
    </w:p>
    <w:p>
      <w:pPr>
        <w:pStyle w:val="ListBullet"/>
      </w:pPr>
      <w:r>
        <w:rPr>
          <w:b/>
        </w:rPr>
        <w:t>Best-in-Class Institutions:</w:t>
      </w:r>
      <w:r>
        <w:rPr/>
        <w:t xml:space="preserve"> Benchmark against high-performing institutions known for excellence in the desired areas.</w:t>
      </w:r>
    </w:p>
    <w:p>
      <w:pPr>
        <w:pStyle w:val="Heading2"/>
      </w:pPr>
      <w:r>
        <w:t>4. Data Collection and Analysis</w:t>
      </w:r>
    </w:p>
    <w:p>
      <w:pPr>
        <w:pStyle w:val="ListBullet"/>
      </w:pPr>
      <w:r>
        <w:rPr>
          <w:b/>
        </w:rPr>
        <w:t>Quantitative Data:</w:t>
      </w:r>
      <w:r>
        <w:rPr/>
        <w:t xml:space="preserve"> Utilize standardized data sources like institutional research departments or government databases (e.g., graduation rates, course completion rates).</w:t>
      </w:r>
    </w:p>
    <w:p>
      <w:pPr>
        <w:pStyle w:val="ListBullet"/>
      </w:pPr>
      <w:r>
        <w:rPr>
          <w:b/>
        </w:rPr>
        <w:t>Qualitative Data:</w:t>
      </w:r>
      <w:r>
        <w:rPr/>
        <w:t xml:space="preserve"> Collect feedback from students, faculty, and staff through surveys, interviews, and focus groups.</w:t>
      </w:r>
    </w:p>
    <w:p>
      <w:pPr>
        <w:pStyle w:val="ListBullet"/>
      </w:pPr>
      <w:r>
        <w:rPr>
          <w:b/>
        </w:rPr>
        <w:t>Benchmarking Tools:</w:t>
      </w:r>
      <w:r>
        <w:rPr/>
        <w:t xml:space="preserve"> Use established frameworks and tools, such as QS rankings, THE rankings, or surveys from organizations like the National Survey of Student Engagement (NSSE).</w:t>
      </w:r>
    </w:p>
    <w:p>
      <w:pPr>
        <w:pStyle w:val="ListBullet"/>
      </w:pPr>
      <w:r>
        <w:rPr>
          <w:b/>
        </w:rPr>
        <w:t>Application for Quality Enhancement:</w:t>
      </w:r>
      <w:r>
        <w:rPr/>
        <w:t xml:space="preserve"> Benchmarking can serve as an ongoing, systematic means for identifying best practices from leading institutions, helping to inform the development of goals, strategies, and implementation plans for quality enhancement.</w:t>
      </w:r>
    </w:p>
    <w:p>
      <w:pPr>
        <w:pStyle w:val="Heading2"/>
      </w:pPr>
      <w:r>
        <w:t>5. Engage Stakeholders</w:t>
      </w:r>
    </w:p>
    <w:p>
      <w:pPr>
        <w:pStyle w:val="ListBullet"/>
      </w:pPr>
      <w:r>
        <w:rPr>
          <w:b/>
        </w:rPr>
        <w:t>Faculty and Staff Involvement:</w:t>
      </w:r>
      <w:r>
        <w:rPr/>
        <w:t xml:space="preserve"> Engage academic staff in setting benchmarks and interpreting results to ensure buy-in and relevance.</w:t>
      </w:r>
    </w:p>
    <w:p>
      <w:pPr>
        <w:pStyle w:val="ListBullet"/>
      </w:pPr>
      <w:r>
        <w:rPr>
          <w:b/>
        </w:rPr>
        <w:t>Student Involvement:</w:t>
      </w:r>
      <w:r>
        <w:rPr/>
        <w:t xml:space="preserve"> Consider using student representatives for surveys and feedback mechanisms.</w:t>
      </w:r>
    </w:p>
    <w:p>
      <w:pPr>
        <w:pStyle w:val="ListBullet"/>
      </w:pPr>
      <w:r>
        <w:rPr>
          <w:b/>
        </w:rPr>
        <w:t>Administrative Support:</w:t>
      </w:r>
      <w:r>
        <w:rPr/>
        <w:t xml:space="preserve"> Ensure leadership support for the benchmarking process to provide resources and ensure focus on outcomes.</w:t>
      </w:r>
    </w:p>
    <w:p>
      <w:pPr>
        <w:pStyle w:val="Heading2"/>
      </w:pPr>
      <w:r>
        <w:t>6. Implement a Continuous Feedback Loop</w:t>
      </w:r>
    </w:p>
    <w:p>
      <w:pPr>
        <w:pStyle w:val="ListBullet"/>
      </w:pPr>
      <w:r>
        <w:rPr>
          <w:b/>
        </w:rPr>
        <w:t>Regular Updates:</w:t>
      </w:r>
      <w:r>
        <w:rPr/>
        <w:t xml:space="preserve"> Regularly update benchmarking data and metrics to reflect institutional changes and evolving educational standards.</w:t>
      </w:r>
    </w:p>
    <w:p>
      <w:pPr>
        <w:pStyle w:val="ListBullet"/>
      </w:pPr>
      <w:r>
        <w:rPr>
          <w:b/>
        </w:rPr>
        <w:t>Actionable Insights:</w:t>
      </w:r>
      <w:r>
        <w:rPr/>
        <w:t xml:space="preserve"> Ensure that results from benchmarking lead to actionable steps for improvement.</w:t>
      </w:r>
    </w:p>
    <w:p>
      <w:pPr>
        <w:pStyle w:val="ListBullet"/>
      </w:pPr>
      <w:r>
        <w:rPr>
          <w:b/>
        </w:rPr>
        <w:t>Internal Reviews:</w:t>
      </w:r>
      <w:r>
        <w:rPr/>
        <w:t xml:space="preserve"> Conduct periodic internal reviews to assess the impact of changes and whether benchmarks need adjustment.</w:t>
      </w:r>
    </w:p>
    <w:p>
      <w:pPr>
        <w:pStyle w:val="Heading2"/>
      </w:pPr>
      <w:r>
        <w:t>7. Focus on Data-Driven Decision Making</w:t>
      </w:r>
    </w:p>
    <w:p>
      <w:pPr>
        <w:pStyle w:val="ListBullet"/>
      </w:pPr>
      <w:r>
        <w:rPr>
          <w:b/>
        </w:rPr>
        <w:t>Strategic Planning:</w:t>
      </w:r>
      <w:r>
        <w:rPr/>
        <w:t xml:space="preserve"> Use benchmarking results to inform strategic planning processes, guiding decisions on resource allocation, curriculum changes, and policy developments.</w:t>
      </w:r>
    </w:p>
    <w:p>
      <w:pPr>
        <w:pStyle w:val="ListBullet"/>
      </w:pPr>
      <w:r>
        <w:rPr>
          <w:b/>
        </w:rPr>
        <w:t>Evidence-Based Adjustments:</w:t>
      </w:r>
      <w:r>
        <w:rPr/>
        <w:t xml:space="preserve"> Prioritize evidence-based decision-making where institutional practices are reformed based on what the data shows.</w:t>
      </w:r>
    </w:p>
    <w:p>
      <w:pPr>
        <w:pStyle w:val="Heading2"/>
      </w:pPr>
      <w:r>
        <w:t>8. Integrate Benchmarking with Institutional Culture</w:t>
      </w:r>
    </w:p>
    <w:p>
      <w:pPr>
        <w:pStyle w:val="ListBullet"/>
      </w:pPr>
      <w:r>
        <w:rPr>
          <w:b/>
        </w:rPr>
        <w:t>Alignment with Institutional Values:</w:t>
      </w:r>
      <w:r>
        <w:rPr/>
        <w:t xml:space="preserve"> Ensure the benchmarking process is compatible with the institution's cultural values.</w:t>
      </w:r>
    </w:p>
    <w:p>
      <w:pPr>
        <w:pStyle w:val="ListBullet"/>
      </w:pPr>
      <w:r>
        <w:rPr>
          <w:b/>
        </w:rPr>
        <w:t>Promote a Culture of Excellence:</w:t>
      </w:r>
      <w:r>
        <w:rPr/>
        <w:t xml:space="preserve"> Foster a continuous improvement culture where benchmarking results drive both academic and operational excellence.</w:t>
      </w:r>
    </w:p>
    <w:p>
      <w:pPr>
        <w:pStyle w:val="Heading2"/>
      </w:pPr>
      <w:r>
        <w:t>9. Monitor Progress and Measure Outcomes</w:t>
      </w:r>
    </w:p>
    <w:p>
      <w:pPr>
        <w:pStyle w:val="ListBullet"/>
      </w:pPr>
      <w:r>
        <w:rPr>
          <w:b/>
        </w:rPr>
        <w:t>Regular Reporting:</w:t>
      </w:r>
      <w:r>
        <w:rPr/>
        <w:t xml:space="preserve"> Report results of benchmarking to key stakeholders (e.g., academic staff, students, governing bodies).</w:t>
      </w:r>
    </w:p>
    <w:p>
      <w:pPr>
        <w:pStyle w:val="ListBullet"/>
      </w:pPr>
      <w:r>
        <w:rPr>
          <w:b/>
        </w:rPr>
        <w:t>Track Long-Term Trends:</w:t>
      </w:r>
      <w:r>
        <w:rPr/>
        <w:t xml:space="preserve"> Use long-term tracking to identify trends and make long-lasting changes to institutional practices.</w:t>
      </w:r>
    </w:p>
    <w:p>
      <w:pPr>
        <w:pStyle w:val="ListBullet"/>
      </w:pPr>
      <w:r>
        <w:rPr>
          <w:b/>
        </w:rPr>
        <w:t>Adjust Strategies:</w:t>
      </w:r>
      <w:r>
        <w:rPr/>
        <w:t xml:space="preserve"> Continuously refine benchmarks as new challenges and opportunities emerge within the higher education landscape.</w:t>
      </w:r>
    </w:p>
    <w:p>
      <w:pPr>
        <w:pStyle w:val="Heading2"/>
      </w:pPr>
      <w:r>
        <w:t>10. Ensure Transparency and Accountability</w:t>
      </w:r>
    </w:p>
    <w:p>
      <w:pPr>
        <w:pStyle w:val="ListBullet"/>
      </w:pPr>
      <w:r>
        <w:rPr>
          <w:b/>
        </w:rPr>
        <w:t>Clear Communication:</w:t>
      </w:r>
      <w:r>
        <w:rPr/>
        <w:t xml:space="preserve"> Maintain transparency in reporting results and decisions based on benchmarking.</w:t>
      </w:r>
    </w:p>
    <w:p>
      <w:pPr>
        <w:pStyle w:val="ListBullet"/>
      </w:pPr>
      <w:r>
        <w:rPr>
          <w:b/>
        </w:rPr>
        <w:t>Accountability for Results:</w:t>
      </w:r>
      <w:r>
        <w:rPr/>
        <w:t xml:space="preserve"> Establish mechanisms for holding departments or individuals accountable for the performance outcomes associated with benchmarks.</w:t>
      </w:r>
    </w:p>
    <w:p>
      <w:r>
        <w:rPr/>
        <w:t>By following these best practices, higher education institutions can use benchmarking not only to evaluate their current standing but also to drive continuous improvement and enhance the quality of educational provisions. Best Practices Benchmarking helps institutions implement the best practices that lead to significant improvements in education quality, addressing the critical question of quality enhancement rather than merely focusing on financial or operational metrics.</w:t>
      </w:r>
    </w:p>
    <w:p>
      <w:pPr>
        <w:pStyle w:val="Heading1"/>
      </w:pPr>
      <w:r>
        <w:t>7. Contributing to Best Practices Database</w:t>
      </w:r>
    </w:p>
    <w:p>
      <w:pPr>
        <w:pStyle w:val="Heading2"/>
      </w:pPr>
      <w:r>
        <w:t>7.1. Key Considerations</w:t>
      </w:r>
    </w:p>
    <w:p>
      <w:pPr>
        <w:pStyle w:val="Heading3"/>
      </w:pPr>
      <w:r>
        <w:t>1. Identify Key Areas for Contribution</w:t>
      </w:r>
    </w:p>
    <w:p>
      <w:pPr>
        <w:pStyle w:val="ListBullet2"/>
      </w:pPr>
      <w:r>
        <w:rPr>
          <w:b/>
        </w:rPr>
        <w:t>Focus on Institutional Strengths:</w:t>
      </w:r>
      <w:r>
        <w:rPr/>
        <w:t xml:space="preserve"> Contribute practices that highlight an institution’s unique strengths in teaching, learning, research, and student engagement.</w:t>
      </w:r>
    </w:p>
    <w:p>
      <w:pPr>
        <w:pStyle w:val="ListBullet2"/>
      </w:pPr>
      <w:r>
        <w:rPr>
          <w:b/>
        </w:rPr>
        <w:t>Alignment with Strategic Goals:</w:t>
      </w:r>
      <w:r>
        <w:rPr/>
        <w:t xml:space="preserve"> Ensure that the practices align with the broader strategic goals of higher education, such as quality enhancement, student success, and operational efficiency.</w:t>
      </w:r>
    </w:p>
    <w:p>
      <w:pPr>
        <w:pStyle w:val="Heading3"/>
      </w:pPr>
      <w:r>
        <w:t>2. Document Evidence-Based Practices</w:t>
      </w:r>
    </w:p>
    <w:p>
      <w:pPr>
        <w:pStyle w:val="ListBullet2"/>
      </w:pPr>
      <w:r>
        <w:rPr>
          <w:b/>
        </w:rPr>
        <w:t>Use Data to Support Practices:</w:t>
      </w:r>
      <w:r>
        <w:rPr/>
        <w:t xml:space="preserve"> Clearly document the outcomes of the best practices, backed by data such as improved student outcomes, enhanced faculty performance, or operational efficiencies.</w:t>
      </w:r>
    </w:p>
    <w:p>
      <w:pPr>
        <w:pStyle w:val="ListBullet2"/>
      </w:pPr>
      <w:r>
        <w:rPr>
          <w:b/>
        </w:rPr>
        <w:t>Success Stories:</w:t>
      </w:r>
      <w:r>
        <w:rPr/>
        <w:t xml:space="preserve"> Share detailed case studies or examples where the practice has led to demonstrable improvements.</w:t>
      </w:r>
    </w:p>
    <w:p>
      <w:pPr>
        <w:pStyle w:val="Heading3"/>
      </w:pPr>
      <w:r>
        <w:t>3. Standardize the Format for Submissions</w:t>
      </w:r>
    </w:p>
    <w:p>
      <w:pPr>
        <w:pStyle w:val="ListBullet2"/>
      </w:pPr>
      <w:r>
        <w:rPr>
          <w:b/>
        </w:rPr>
        <w:t>Consistent Structure:</w:t>
      </w:r>
      <w:r>
        <w:rPr/>
        <w:t xml:space="preserve"> Provide a standardized template or format for submitting best practices to ensure consistency across contributions.</w:t>
      </w:r>
    </w:p>
    <w:p>
      <w:pPr>
        <w:pStyle w:val="ListBullet3"/>
      </w:pPr>
      <w:r>
        <w:rPr/>
        <w:t>Title of Practice</w:t>
      </w:r>
    </w:p>
    <w:p>
      <w:pPr>
        <w:pStyle w:val="ListBullet3"/>
      </w:pPr>
      <w:r>
        <w:rPr/>
        <w:t>Institution Name</w:t>
      </w:r>
    </w:p>
    <w:p>
      <w:pPr>
        <w:pStyle w:val="ListBullet3"/>
      </w:pPr>
      <w:r>
        <w:rPr/>
        <w:t>Department/Area</w:t>
      </w:r>
    </w:p>
    <w:p>
      <w:pPr>
        <w:pStyle w:val="ListBullet3"/>
      </w:pPr>
      <w:r>
        <w:rPr/>
        <w:t>Description of Practice</w:t>
      </w:r>
    </w:p>
    <w:p>
      <w:pPr>
        <w:pStyle w:val="ListBullet3"/>
      </w:pPr>
      <w:r>
        <w:rPr/>
        <w:t>Evidence of Impact</w:t>
      </w:r>
    </w:p>
    <w:p>
      <w:pPr>
        <w:pStyle w:val="ListBullet3"/>
      </w:pPr>
      <w:r>
        <w:rPr/>
        <w:t>Challenges and Solutions</w:t>
      </w:r>
    </w:p>
    <w:p>
      <w:pPr>
        <w:pStyle w:val="ListBullet3"/>
      </w:pPr>
      <w:r>
        <w:rPr/>
        <w:t>Key Takeaways</w:t>
      </w:r>
    </w:p>
    <w:p>
      <w:pPr>
        <w:pStyle w:val="ListBullet2"/>
      </w:pPr>
      <w:r>
        <w:rPr>
          <w:b/>
        </w:rPr>
        <w:t>Clear Documentation:</w:t>
      </w:r>
      <w:r>
        <w:rPr/>
        <w:t xml:space="preserve"> Ensure the practice is well-documented with clear steps, outcomes, and lessons learned.</w:t>
      </w:r>
    </w:p>
    <w:p>
      <w:pPr>
        <w:pStyle w:val="Heading3"/>
      </w:pPr>
      <w:r>
        <w:t>4. Collaborate with Stakeholders</w:t>
      </w:r>
    </w:p>
    <w:p>
      <w:pPr>
        <w:pStyle w:val="ListBullet2"/>
      </w:pPr>
      <w:r>
        <w:rPr>
          <w:b/>
        </w:rPr>
        <w:t>Engage Faculty and Staff:</w:t>
      </w:r>
      <w:r>
        <w:rPr/>
        <w:t xml:space="preserve"> Involve faculty members, administrators, and other stakeholders who are directly involved in implementing best practices.</w:t>
      </w:r>
    </w:p>
    <w:p>
      <w:pPr>
        <w:pStyle w:val="ListBullet2"/>
      </w:pPr>
      <w:r>
        <w:rPr>
          <w:b/>
        </w:rPr>
        <w:t>Inclusive Approach:</w:t>
      </w:r>
      <w:r>
        <w:rPr/>
        <w:t xml:space="preserve"> Ensure that contributions are not limited to only one department or perspective. A collaborative approach can provide a holistic view of the practice.</w:t>
      </w:r>
    </w:p>
    <w:p>
      <w:pPr>
        <w:pStyle w:val="Heading3"/>
      </w:pPr>
      <w:r>
        <w:t>5. Ensure Scalability and Transferability</w:t>
      </w:r>
    </w:p>
    <w:p>
      <w:pPr>
        <w:pStyle w:val="ListBullet2"/>
      </w:pPr>
      <w:r>
        <w:rPr>
          <w:b/>
        </w:rPr>
        <w:t>Replicability:</w:t>
      </w:r>
      <w:r>
        <w:rPr/>
        <w:t xml:space="preserve"> When contributing a best practice, consider its scalability and adaptability in different institutional contexts.</w:t>
      </w:r>
    </w:p>
    <w:p>
      <w:pPr>
        <w:pStyle w:val="ListBullet2"/>
      </w:pPr>
      <w:r>
        <w:rPr>
          <w:b/>
        </w:rPr>
        <w:t>Broader Application:</w:t>
      </w:r>
      <w:r>
        <w:rPr/>
        <w:t xml:space="preserve"> Emphasize how the practice can be adopted by other institutions or departments with minimal customization.</w:t>
      </w:r>
    </w:p>
    <w:p>
      <w:pPr>
        <w:pStyle w:val="Heading3"/>
      </w:pPr>
      <w:r>
        <w:t>6. Highlight Innovation and Creativity</w:t>
      </w:r>
    </w:p>
    <w:p>
      <w:pPr>
        <w:pStyle w:val="ListBullet2"/>
      </w:pPr>
      <w:r>
        <w:rPr>
          <w:b/>
        </w:rPr>
        <w:t>Innovative Approaches:</w:t>
      </w:r>
      <w:r>
        <w:rPr/>
        <w:t xml:space="preserve"> Encourage contributions that involve creative or innovative methods in areas such as teaching, learning technologies, assessment, or administrative operations.</w:t>
      </w:r>
    </w:p>
    <w:p>
      <w:pPr>
        <w:pStyle w:val="ListBullet2"/>
      </w:pPr>
      <w:r>
        <w:rPr>
          <w:b/>
        </w:rPr>
        <w:t>Technology Integration:</w:t>
      </w:r>
      <w:r>
        <w:rPr/>
        <w:t xml:space="preserve"> Contribute practices that leverage new technologies to enhance educational outcomes, such as AI, learning management systems (LMS), and student engagement tools.</w:t>
      </w:r>
    </w:p>
    <w:p>
      <w:pPr>
        <w:pStyle w:val="Heading3"/>
      </w:pPr>
      <w:r>
        <w:t>7. Provide Practical Guidelines for Implementation</w:t>
      </w:r>
    </w:p>
    <w:p>
      <w:pPr>
        <w:pStyle w:val="ListBullet2"/>
      </w:pPr>
      <w:r>
        <w:rPr>
          <w:b/>
        </w:rPr>
        <w:t>Step-by-Step Process:</w:t>
      </w:r>
      <w:r>
        <w:rPr/>
        <w:t xml:space="preserve"> Offer a detailed implementation guide or checklist to help institutions replicate the practice.</w:t>
      </w:r>
    </w:p>
    <w:p>
      <w:pPr>
        <w:pStyle w:val="ListBullet2"/>
      </w:pPr>
      <w:r>
        <w:rPr>
          <w:b/>
        </w:rPr>
        <w:t>Support Materials:</w:t>
      </w:r>
      <w:r>
        <w:rPr/>
        <w:t xml:space="preserve"> Share any templates, tools, or resources that could help other institutions implement the best practice.</w:t>
      </w:r>
    </w:p>
    <w:p>
      <w:pPr>
        <w:pStyle w:val="Heading3"/>
      </w:pPr>
      <w:r>
        <w:t>8. Monitor and Evaluate Impact</w:t>
      </w:r>
    </w:p>
    <w:p>
      <w:pPr>
        <w:pStyle w:val="ListBullet2"/>
      </w:pPr>
      <w:r>
        <w:rPr>
          <w:b/>
        </w:rPr>
        <w:t>Continuous Assessment:</w:t>
      </w:r>
      <w:r>
        <w:rPr/>
        <w:t xml:space="preserve"> Encourage continuous assessment of the contributed practices to ensure they remain effective and up-to-date.</w:t>
      </w:r>
    </w:p>
    <w:p>
      <w:pPr>
        <w:pStyle w:val="ListBullet2"/>
      </w:pPr>
      <w:r>
        <w:rPr>
          <w:b/>
        </w:rPr>
        <w:t>Feedback Loop:</w:t>
      </w:r>
      <w:r>
        <w:rPr/>
        <w:t xml:space="preserve"> Include feedback mechanisms that allow institutions to report back on the success or challenges encountered while implementing the practice.</w:t>
      </w:r>
    </w:p>
    <w:p>
      <w:pPr>
        <w:pStyle w:val="Heading3"/>
      </w:pPr>
      <w:r>
        <w:t>9. Ensure Ethical Considerations and Inclusivity</w:t>
      </w:r>
    </w:p>
    <w:p>
      <w:pPr>
        <w:pStyle w:val="ListBullet2"/>
      </w:pPr>
      <w:r>
        <w:rPr>
          <w:b/>
        </w:rPr>
        <w:t>Ethical Standards:</w:t>
      </w:r>
      <w:r>
        <w:rPr/>
        <w:t xml:space="preserve"> Ensure that the best practices adhere to ethical standards, especially when dealing with sensitive student data or research findings.</w:t>
      </w:r>
    </w:p>
    <w:p>
      <w:pPr>
        <w:pStyle w:val="ListBullet2"/>
      </w:pPr>
      <w:r>
        <w:rPr>
          <w:b/>
        </w:rPr>
        <w:t>Inclusivity and Equity:</w:t>
      </w:r>
      <w:r>
        <w:rPr/>
        <w:t xml:space="preserve"> Contribute practices that promote inclusivity, diversity, and equity in teaching, learning, and student support.</w:t>
      </w:r>
    </w:p>
    <w:p>
      <w:pPr>
        <w:pStyle w:val="Heading3"/>
      </w:pPr>
      <w:r>
        <w:t>10. Share Best Practices through Collaborative Platforms</w:t>
      </w:r>
    </w:p>
    <w:p>
      <w:pPr>
        <w:pStyle w:val="ListBullet"/>
      </w:pPr>
      <w:r>
        <w:rPr>
          <w:b/>
        </w:rPr>
        <w:t>Institutional Databases:</w:t>
      </w:r>
      <w:r>
        <w:rPr/>
        <w:t xml:space="preserve"> Contribute practices to institutional or national best practice databases, making them accessible to a wide audience.</w:t>
      </w:r>
    </w:p>
    <w:p>
      <w:pPr>
        <w:pStyle w:val="ListBullet"/>
      </w:pPr>
      <w:r>
        <w:rPr>
          <w:b/>
        </w:rPr>
        <w:t>Professional Networks:</w:t>
      </w:r>
      <w:r>
        <w:rPr/>
        <w:t xml:space="preserve"> Participate in professional networks, conferences, and forums where best practices can be shared and discussed, promoting cross-institutional learning.</w:t>
      </w:r>
    </w:p>
    <w:p>
      <w:pPr>
        <w:pStyle w:val="Heading2"/>
      </w:pPr>
      <w:r>
        <w:t>2. Historical Context of Best Practices Sharing in Higher Education</w:t>
      </w:r>
    </w:p>
    <w:p>
      <w:pPr>
        <w:pStyle w:val="ListBullet"/>
      </w:pPr>
      <w:r>
        <w:rPr>
          <w:b/>
        </w:rPr>
        <w:t>Long-standing Desire to Learn from Each Other:</w:t>
      </w:r>
      <w:r>
        <w:rPr/>
        <w:t xml:space="preserve"> For most institutions of higher education, the desire to learn from each other and share aspects of good practice is almost as old as the institutions themselves. This desire has traditionally manifested itself through various channels such as professional associations (both academic and non-academic), meetings to share common interests, and visits by delegations from one higher education system to examine practices in another.</w:t>
      </w:r>
    </w:p>
    <w:p>
      <w:pPr>
        <w:pStyle w:val="ListBullet"/>
      </w:pPr>
      <w:r>
        <w:rPr>
          <w:b/>
        </w:rPr>
        <w:t>Collaborative Assessment:</w:t>
      </w:r>
      <w:r>
        <w:rPr/>
        <w:t xml:space="preserve"> One notable example is the increasing interest in participating in the assessment activities of the National Assessment and Accreditation Council (NAAC). This formalized approach to comparing performance and improving practices by collaborating with other Higher Education Institutions (HEIs) has become an integral part of academic and institutional development.</w:t>
      </w:r>
    </w:p>
    <w:p>
      <w:pPr>
        <w:pStyle w:val="ListBullet"/>
      </w:pPr>
      <w:r>
        <w:rPr>
          <w:b/>
        </w:rPr>
        <w:t>Formalizing Comparisons:</w:t>
      </w:r>
      <w:r>
        <w:rPr/>
        <w:t xml:space="preserve"> While the interest in improving performance through collaboration or comparison with other institutions is not new, what is new is the formalization of these comparisons. The development of Best Practices Databases represents one of the latest efforts to systematize and structure the sharing of practices across institutions.</w:t>
      </w:r>
    </w:p>
    <w:p>
      <w:pPr>
        <w:pStyle w:val="Heading2"/>
      </w:pPr>
      <w:r>
        <w:t>3. Benefits of Contributing to Best Practices Databases</w:t>
      </w:r>
    </w:p>
    <w:p>
      <w:pPr>
        <w:pStyle w:val="ListBullet"/>
      </w:pPr>
      <w:r>
        <w:rPr>
          <w:b/>
        </w:rPr>
        <w:t>Enhanced Reputation:</w:t>
      </w:r>
      <w:r>
        <w:rPr/>
        <w:t xml:space="preserve"> Institutions contributing high-quality best practices can improve their reputation for innovation and leadership in higher education.</w:t>
      </w:r>
    </w:p>
    <w:p>
      <w:pPr>
        <w:pStyle w:val="ListBullet"/>
      </w:pPr>
      <w:r>
        <w:rPr>
          <w:b/>
        </w:rPr>
        <w:t>Knowledge Sharing:</w:t>
      </w:r>
      <w:r>
        <w:rPr/>
        <w:t xml:space="preserve"> Sharing practices leads to knowledge exchange and helps institutions learn from each other, improving the overall quality of higher education.</w:t>
      </w:r>
    </w:p>
    <w:p>
      <w:pPr>
        <w:pStyle w:val="ListBullet"/>
      </w:pPr>
      <w:r>
        <w:rPr>
          <w:b/>
        </w:rPr>
        <w:t>Strategic Insights:</w:t>
      </w:r>
      <w:r>
        <w:rPr/>
        <w:t xml:space="preserve"> Contributing practices provides valuable insights into what works, fostering a culture of reflection and continuous improvement.</w:t>
      </w:r>
    </w:p>
    <w:p>
      <w:r>
        <w:rPr/>
        <w:t>By contributing to a Best Practices Database, institutions help shape the future of higher education, improving not just their own operations, but also the wider community.</w:t>
      </w:r>
    </w:p>
    <w:p>
      <w:pPr>
        <w:pStyle w:val="Heading1"/>
      </w:pPr>
      <w:r>
        <w:t>8. Best Practices in Curricular Aspects</w:t>
      </w:r>
    </w:p>
    <w:p>
      <w:pPr>
        <w:pStyle w:val="Heading2"/>
      </w:pPr>
      <w:r>
        <w:t>1. Introduction</w:t>
      </w:r>
    </w:p>
    <w:p>
      <w:pPr>
        <w:pStyle w:val="ListBullet"/>
      </w:pPr>
      <w:r>
        <w:rPr/>
        <w:t>The curriculum is the notional foundation of an educational activity conceived by a provider and it may be spiritual, social, or focused on any other domain. However, the realization of this notion—or policy—depends entirely on the community of stakeholders at an institution, including students, teachers, administrators, and staff. The operationalization of the curriculum depends on the best curricular practices.</w:t>
      </w:r>
    </w:p>
    <w:p>
      <w:pPr>
        <w:pStyle w:val="ListBullet"/>
      </w:pPr>
      <w:r>
        <w:rPr/>
        <w:t>In setting up mutually enriching and acceptable practices, no single institution can work in isolation from another because all institutions are networked in some way or another. Hence, mutual dependence and enrichment carry an advantage, allowing institutions to learn from each other, collaborate, and improve collectively. This chapter is an attempt to set forth the conceptual framework of the best curricular practices of the best providers in the country (Section A) and to present case illustrations of these practices (Section B). The practices are identified according to criteria that are both universal and contextual, and the case illustrations reflect them.</w:t>
      </w:r>
    </w:p>
    <w:p>
      <w:pPr>
        <w:pStyle w:val="Heading2"/>
      </w:pPr>
      <w:r>
        <w:t>2. Objective</w:t>
      </w:r>
    </w:p>
    <w:p>
      <w:pPr>
        <w:pStyle w:val="ListBullet"/>
      </w:pPr>
      <w:r>
        <w:rPr/>
        <w:t>To implement best practices that enhance curriculum development, ensuring it is contemporary, flexible, inclusive, and geared toward producing competent graduates who can thrive in both academic and professional environments.</w:t>
      </w:r>
    </w:p>
    <w:p>
      <w:pPr>
        <w:pStyle w:val="Heading2"/>
      </w:pPr>
      <w:r>
        <w:t>3. Key Practices in Curricular Aspects</w:t>
      </w:r>
    </w:p>
    <w:p>
      <w:pPr>
        <w:pStyle w:val="Heading3"/>
      </w:pPr>
      <w:r>
        <w:t>1. Curriculum Design and Development:</w:t>
      </w:r>
    </w:p>
    <w:p>
      <w:pPr>
        <w:pStyle w:val="ListBullet2"/>
      </w:pPr>
      <w:r>
        <w:rPr>
          <w:b/>
        </w:rPr>
        <w:t>Industry and Stakeholder Input:</w:t>
      </w:r>
      <w:r>
        <w:rPr/>
        <w:t xml:space="preserve"> Involve external stakeholders, such as industry experts, alumni, and professional organizations, in the curriculum design process to ensure it is aligned with current and future job market demands.</w:t>
      </w:r>
    </w:p>
    <w:p>
      <w:pPr>
        <w:pStyle w:val="ListBullet2"/>
      </w:pPr>
      <w:r>
        <w:rPr>
          <w:b/>
        </w:rPr>
        <w:t>Modular Curriculum Structure:</w:t>
      </w:r>
      <w:r>
        <w:rPr/>
        <w:t xml:space="preserve"> Design the curriculum in a modular format, which allows flexibility in course selection, offering students the ability to tailor their learning path according to their interests and career aspirations.</w:t>
      </w:r>
    </w:p>
    <w:p>
      <w:pPr>
        <w:pStyle w:val="ListBullet2"/>
      </w:pPr>
      <w:r>
        <w:rPr>
          <w:b/>
        </w:rPr>
        <w:t>Integrated Learning Outcomes:</w:t>
      </w:r>
      <w:r>
        <w:rPr/>
        <w:t xml:space="preserve"> Define clear, measurable learning outcomes for each course, program, and module to ensure alignment with overall institutional goals. This promotes clarity in assessment and improves student learning experiences.</w:t>
      </w:r>
    </w:p>
    <w:p>
      <w:pPr>
        <w:pStyle w:val="Heading3"/>
      </w:pPr>
      <w:r>
        <w:t>2. Curriculum Flexibility:</w:t>
      </w:r>
    </w:p>
    <w:p>
      <w:pPr>
        <w:pStyle w:val="ListBullet2"/>
      </w:pPr>
      <w:r>
        <w:rPr>
          <w:b/>
        </w:rPr>
        <w:t>Elective Courses:</w:t>
      </w:r>
      <w:r>
        <w:rPr/>
        <w:t xml:space="preserve"> Offer a variety of elective courses across disciplines, enabling students to expand their knowledge beyond their primary field of study. Encourage interdisciplinary learning by allowing students to take electives in different departments or even other institutions.</w:t>
      </w:r>
    </w:p>
    <w:p>
      <w:pPr>
        <w:pStyle w:val="ListBullet2"/>
      </w:pPr>
      <w:r>
        <w:rPr>
          <w:b/>
        </w:rPr>
        <w:t>Dual Degree Programs:</w:t>
      </w:r>
      <w:r>
        <w:rPr/>
        <w:t xml:space="preserve"> Offer dual degree programs or joint degrees, enabling students to gain expertise in more than one area, enhancing their employability in a competitive job market.</w:t>
      </w:r>
    </w:p>
    <w:p>
      <w:pPr>
        <w:pStyle w:val="ListBullet2"/>
      </w:pPr>
      <w:r>
        <w:rPr>
          <w:b/>
        </w:rPr>
        <w:t>Customization Options:</w:t>
      </w:r>
      <w:r>
        <w:rPr/>
        <w:t xml:space="preserve"> Provide opportunities for students to design customized learning tracks based on their career goals and academic interests, with faculty mentorship to ensure academic rigor.</w:t>
      </w:r>
    </w:p>
    <w:p>
      <w:pPr>
        <w:pStyle w:val="Heading3"/>
      </w:pPr>
      <w:r>
        <w:t>3. Interdisciplinary Approach:</w:t>
      </w:r>
    </w:p>
    <w:p>
      <w:pPr>
        <w:pStyle w:val="ListBullet2"/>
      </w:pPr>
      <w:r>
        <w:rPr>
          <w:b/>
        </w:rPr>
        <w:t>Cross-Disciplinary Collaboration:</w:t>
      </w:r>
      <w:r>
        <w:rPr/>
        <w:t xml:space="preserve"> Foster collaboration between departments to develop interdisciplinary courses that combine theories, practices, and methodologies from different fields. For example, courses that combine engineering, business, and technology could be developed for innovation-driven fields.</w:t>
      </w:r>
    </w:p>
    <w:p>
      <w:pPr>
        <w:pStyle w:val="ListBullet2"/>
      </w:pPr>
      <w:r>
        <w:rPr>
          <w:b/>
        </w:rPr>
        <w:t>Interdisciplinary Projects and Capstone Courses:</w:t>
      </w:r>
      <w:r>
        <w:rPr/>
        <w:t xml:space="preserve"> Encourage students to participate in interdisciplinary research projects or capstone courses that require integrating knowledge from multiple disciplines, helping them solve complex real-world problems.</w:t>
      </w:r>
    </w:p>
    <w:p>
      <w:pPr>
        <w:pStyle w:val="Heading3"/>
      </w:pPr>
      <w:r>
        <w:t>4. Curriculum Review and Assessment:</w:t>
      </w:r>
    </w:p>
    <w:p>
      <w:pPr>
        <w:pStyle w:val="ListBullet2"/>
      </w:pPr>
      <w:r>
        <w:rPr>
          <w:b/>
        </w:rPr>
        <w:t>Periodic Curriculum Review:</w:t>
      </w:r>
      <w:r>
        <w:rPr/>
        <w:t xml:space="preserve"> Implement regular curriculum review cycles to ensure the content remains relevant and reflective of global and local trends in academia and industry. Engage faculty, students, and industry representatives in the process.</w:t>
      </w:r>
    </w:p>
    <w:p>
      <w:pPr>
        <w:pStyle w:val="ListBullet2"/>
      </w:pPr>
      <w:r>
        <w:rPr>
          <w:b/>
        </w:rPr>
        <w:t>Feedback Mechanisms:</w:t>
      </w:r>
      <w:r>
        <w:rPr/>
        <w:t xml:space="preserve"> Use student, alumni, and employer feedback to inform the curriculum review process. This can include surveys, focus groups, or advisory boards that give real-time insights into the needs of the academic and professional sectors.</w:t>
      </w:r>
    </w:p>
    <w:p>
      <w:pPr>
        <w:pStyle w:val="ListBullet2"/>
      </w:pPr>
      <w:r>
        <w:rPr>
          <w:b/>
        </w:rPr>
        <w:t>Alignment with Accreditation Standards:</w:t>
      </w:r>
      <w:r>
        <w:rPr/>
        <w:t xml:space="preserve"> Ensure the curriculum aligns with national and international accreditation standards (e.g., NAAC, NBA, and other professional bodies). This guarantees the institution's curriculum meets recognized educational benchmarks.</w:t>
      </w:r>
    </w:p>
    <w:p>
      <w:pPr>
        <w:pStyle w:val="Heading3"/>
      </w:pPr>
      <w:r>
        <w:t>5. Innovative Teaching and Learning Methods:</w:t>
      </w:r>
    </w:p>
    <w:p>
      <w:pPr>
        <w:pStyle w:val="ListBullet2"/>
      </w:pPr>
      <w:r>
        <w:rPr>
          <w:b/>
        </w:rPr>
        <w:t>Blended and Online Learning:</w:t>
      </w:r>
      <w:r>
        <w:rPr/>
        <w:t xml:space="preserve"> Incorporate blended learning and online platforms into the curriculum, combining traditional face-to-face learning with digital tools, ensuring flexibility and accessibility for students.</w:t>
      </w:r>
    </w:p>
    <w:p>
      <w:pPr>
        <w:pStyle w:val="ListBullet2"/>
      </w:pPr>
      <w:r>
        <w:rPr>
          <w:b/>
        </w:rPr>
        <w:t>Project-Based Learning:</w:t>
      </w:r>
      <w:r>
        <w:rPr/>
        <w:t xml:space="preserve"> Implement project-based learning (PBL) across various disciplines, allowing students to engage in hands-on, real-world projects that foster practical problem-solving, teamwork, and communication skills.</w:t>
      </w:r>
    </w:p>
    <w:p>
      <w:pPr>
        <w:pStyle w:val="ListBullet2"/>
      </w:pPr>
      <w:r>
        <w:rPr>
          <w:b/>
        </w:rPr>
        <w:t>Flipped Classrooms:</w:t>
      </w:r>
      <w:r>
        <w:rPr/>
        <w:t xml:space="preserve"> Adopt the flipped classroom model where students engage with course content before class (e.g., through videos or reading materials), and class time is used for discussions, collaborative activities, and problem-solving exercises.</w:t>
      </w:r>
    </w:p>
    <w:p>
      <w:pPr>
        <w:pStyle w:val="Heading3"/>
      </w:pPr>
      <w:r>
        <w:t>6. Assessment and Evaluation:</w:t>
      </w:r>
    </w:p>
    <w:p>
      <w:pPr>
        <w:pStyle w:val="ListBullet2"/>
      </w:pPr>
      <w:r>
        <w:rPr>
          <w:b/>
        </w:rPr>
        <w:t>Holistic Assessment:</w:t>
      </w:r>
      <w:r>
        <w:rPr/>
        <w:t xml:space="preserve"> Move beyond traditional exams and include diverse assessment methods such as peer reviews, self-assessments, presentations, portfolios, and group work. This ensures a holistic evaluation of student learning and capabilities.</w:t>
      </w:r>
    </w:p>
    <w:p>
      <w:pPr>
        <w:pStyle w:val="ListBullet2"/>
      </w:pPr>
      <w:r>
        <w:rPr>
          <w:b/>
        </w:rPr>
        <w:t>Learning Analytics:</w:t>
      </w:r>
      <w:r>
        <w:rPr/>
        <w:t xml:space="preserve"> Leverage learning management systems (LMS) and other tools to collect data on student progress, identifying areas for intervention and improvement in real-time. This data-driven approach enables personalized learning experiences.</w:t>
      </w:r>
    </w:p>
    <w:p>
      <w:pPr>
        <w:pStyle w:val="ListBullet2"/>
      </w:pPr>
      <w:r>
        <w:rPr>
          <w:b/>
        </w:rPr>
        <w:t>Formative and Summative Assessments:</w:t>
      </w:r>
      <w:r>
        <w:rPr/>
        <w:t xml:space="preserve"> Balance formative assessments (ongoing assessments that provide feedback) with summative assessments (final evaluations), ensuring that students receive continuous feedback to guide their learning and development.</w:t>
      </w:r>
    </w:p>
    <w:p>
      <w:pPr>
        <w:pStyle w:val="Heading3"/>
      </w:pPr>
      <w:r>
        <w:t>7. Faculty Development and Involvement:</w:t>
      </w:r>
    </w:p>
    <w:p>
      <w:pPr>
        <w:pStyle w:val="ListBullet2"/>
      </w:pPr>
      <w:r>
        <w:rPr>
          <w:b/>
        </w:rPr>
        <w:t>Faculty Training and Pedagogical Support:</w:t>
      </w:r>
      <w:r>
        <w:rPr/>
        <w:t xml:space="preserve"> Provide ongoing professional development opportunities for faculty members to stay updated on the latest teaching methodologies, technologies, and trends in their respective fields.</w:t>
      </w:r>
    </w:p>
    <w:p>
      <w:pPr>
        <w:pStyle w:val="ListBullet2"/>
      </w:pPr>
      <w:r>
        <w:rPr>
          <w:b/>
        </w:rPr>
        <w:t>Interdisciplinary Teaching Teams:</w:t>
      </w:r>
      <w:r>
        <w:rPr/>
        <w:t xml:space="preserve"> Foster collaboration among faculty from different disciplines to co-create and co-deliver courses, ensuring that multiple perspectives and expertise are integrated into the teaching process.</w:t>
      </w:r>
    </w:p>
    <w:p>
      <w:pPr>
        <w:pStyle w:val="Heading3"/>
      </w:pPr>
      <w:r>
        <w:t>8. Global and Cultural Perspectives:</w:t>
      </w:r>
    </w:p>
    <w:p>
      <w:pPr>
        <w:pStyle w:val="ListBullet2"/>
      </w:pPr>
      <w:r>
        <w:rPr>
          <w:b/>
        </w:rPr>
        <w:t>International Collaboration:</w:t>
      </w:r>
      <w:r>
        <w:rPr/>
        <w:t xml:space="preserve"> Establish international partnerships with universities around the world to encourage global learning experiences, such as exchange programs, joint degrees, or collaborative research projects.</w:t>
      </w:r>
    </w:p>
    <w:p>
      <w:pPr>
        <w:pStyle w:val="ListBullet2"/>
      </w:pPr>
      <w:r>
        <w:rPr>
          <w:b/>
        </w:rPr>
        <w:t>Global Competencies in Curriculum:</w:t>
      </w:r>
      <w:r>
        <w:rPr/>
        <w:t xml:space="preserve"> Infuse courses with global competencies, teaching students to think critically about international issues and work in culturally diverse teams. This prepares graduates to operate in a globalized, interconnected world.</w:t>
      </w:r>
    </w:p>
    <w:p>
      <w:pPr>
        <w:pStyle w:val="Heading3"/>
      </w:pPr>
      <w:r>
        <w:t>9. Technology Integration:</w:t>
      </w:r>
    </w:p>
    <w:p>
      <w:pPr>
        <w:pStyle w:val="ListBullet2"/>
      </w:pPr>
      <w:r>
        <w:rPr>
          <w:b/>
        </w:rPr>
        <w:t>Digital Tools for Learning:</w:t>
      </w:r>
      <w:r>
        <w:rPr/>
        <w:t xml:space="preserve"> Integrate digital tools (e.g., Learning Management Systems, digital simulations, AI-driven tools) into the curriculum to enhance both teaching and student learning experiences.</w:t>
      </w:r>
    </w:p>
    <w:p>
      <w:pPr>
        <w:pStyle w:val="ListBullet2"/>
      </w:pPr>
      <w:r>
        <w:rPr>
          <w:b/>
        </w:rPr>
        <w:t>Data Science and Analytics:</w:t>
      </w:r>
      <w:r>
        <w:rPr/>
        <w:t xml:space="preserve"> Incorporate emerging technologies, such as data science and analytics, into the curriculum, ensuring that students are prepared for modern data-driven environments across industries.</w:t>
      </w:r>
    </w:p>
    <w:p>
      <w:pPr>
        <w:pStyle w:val="ListBullet2"/>
      </w:pPr>
      <w:r>
        <w:rPr>
          <w:b/>
        </w:rPr>
        <w:t>Virtual and Augmented Reality:</w:t>
      </w:r>
      <w:r>
        <w:rPr/>
        <w:t xml:space="preserve"> Explore virtual and augmented reality applications to create immersive learning experiences, especially in fields like engineering, medicine, and architecture.</w:t>
      </w:r>
    </w:p>
    <w:p>
      <w:pPr>
        <w:pStyle w:val="Heading3"/>
      </w:pPr>
      <w:r>
        <w:t>10. Community and Industry Engagement:</w:t>
      </w:r>
    </w:p>
    <w:p>
      <w:pPr>
        <w:pStyle w:val="ListBullet2"/>
      </w:pPr>
      <w:r>
        <w:rPr>
          <w:b/>
        </w:rPr>
        <w:t>Community-Based Learning:</w:t>
      </w:r>
      <w:r>
        <w:rPr/>
        <w:t xml:space="preserve"> Integrate service learning and community-based projects into the curriculum, allowing students to apply their academic knowledge to real-world societal challenges.</w:t>
      </w:r>
    </w:p>
    <w:p>
      <w:pPr>
        <w:pStyle w:val="ListBullet2"/>
      </w:pPr>
      <w:r>
        <w:rPr>
          <w:b/>
        </w:rPr>
        <w:t>Industry Partnerships and Guest Lectures:</w:t>
      </w:r>
      <w:r>
        <w:rPr/>
        <w:t xml:space="preserve"> Establish strong ties with industry and invite industry experts for guest lectures, seminars, or mentorship programs, enabling students to gain insights into current industry trends and challenges.</w:t>
      </w:r>
    </w:p>
    <w:p>
      <w:pPr>
        <w:pStyle w:val="ListBullet2"/>
      </w:pPr>
      <w:r>
        <w:rPr>
          <w:b/>
        </w:rPr>
        <w:t>Internships and Field Work:</w:t>
      </w:r>
      <w:r>
        <w:rPr/>
        <w:t xml:space="preserve"> Include mandatory or optional internships, co-op programs, and field work experiences as part of the curriculum to provide students with practical, hands-on exposure to their respective industries.</w:t>
      </w:r>
    </w:p>
    <w:p>
      <w:pPr>
        <w:pStyle w:val="Heading2"/>
      </w:pPr>
      <w:r>
        <w:t>4. Impact of Best Practices in Curricular Aspects</w:t>
      </w:r>
    </w:p>
    <w:p>
      <w:pPr>
        <w:pStyle w:val="Heading3"/>
      </w:pPr>
      <w:r>
        <w:t>1. Improved Student Outcomes:</w:t>
      </w:r>
    </w:p>
    <w:p>
      <w:pPr>
        <w:pStyle w:val="ListBullet2"/>
      </w:pPr>
      <w:r>
        <w:rPr/>
        <w:t>A well-designed and continuously updated curriculum ensures that students are equipped with the knowledge, skills, and competencies necessary for success in their chosen fields.</w:t>
      </w:r>
    </w:p>
    <w:p>
      <w:pPr>
        <w:pStyle w:val="Heading3"/>
      </w:pPr>
      <w:r>
        <w:t>2. Increased Employability:</w:t>
      </w:r>
    </w:p>
    <w:p>
      <w:pPr>
        <w:pStyle w:val="ListBullet2"/>
      </w:pPr>
      <w:r>
        <w:rPr/>
        <w:t>By aligning the curriculum with industry needs and ensuring students develop both technical and soft skills, graduates are more likely to be employed and have a successful career trajectory.</w:t>
      </w:r>
    </w:p>
    <w:p>
      <w:pPr>
        <w:pStyle w:val="Heading3"/>
      </w:pPr>
      <w:r>
        <w:t>3. Global Competitiveness:</w:t>
      </w:r>
    </w:p>
    <w:p>
      <w:pPr>
        <w:pStyle w:val="ListBullet2"/>
      </w:pPr>
      <w:r>
        <w:rPr/>
        <w:t>Implementing best practices in curriculum design ensures that graduates are prepared to work in a globalized workforce, contributing to their institution’s reputation for producing high-quality, globally competent professionals.</w:t>
      </w:r>
    </w:p>
    <w:p>
      <w:pPr>
        <w:pStyle w:val="Heading3"/>
      </w:pPr>
      <w:r>
        <w:t>4. Institutional Reputation:</w:t>
      </w:r>
    </w:p>
    <w:p>
      <w:pPr>
        <w:pStyle w:val="ListBullet2"/>
      </w:pPr>
      <w:r>
        <w:rPr/>
        <w:t>Institutions that prioritize curricular innovation and responsiveness to industry trends enhance their reputation as leaders in academic excellence and student preparation.</w:t>
      </w:r>
    </w:p>
    <w:p>
      <w:pPr>
        <w:pStyle w:val="Heading3"/>
      </w:pPr>
      <w:r>
        <w:t>5. Enhanced Learning Experience:</w:t>
      </w:r>
    </w:p>
    <w:p>
      <w:pPr>
        <w:pStyle w:val="ListBullet2"/>
      </w:pPr>
      <w:r>
        <w:rPr/>
        <w:t>Through a balanced approach of theory and practice, diverse assessment strategies, and collaborative teaching methods, students experience an engaging, well-rounded education that prepares them for lifelong learning.</w:t>
      </w:r>
    </w:p>
    <w:p>
      <w:pPr>
        <w:pStyle w:val="Heading3"/>
      </w:pPr>
      <w:r>
        <w:t>6. Continuous Improvement Culture:</w:t>
      </w:r>
    </w:p>
    <w:p>
      <w:pPr>
        <w:pStyle w:val="ListBullet2"/>
      </w:pPr>
      <w:r>
        <w:rPr/>
        <w:t>A system of periodic curriculum reviews, combined with feedback from various stakeholders, ensures that institutions continuously adapt and improve to meet evolving educational demands.</w:t>
      </w:r>
    </w:p>
    <w:p>
      <w:r>
        <w:rPr/>
        <w:t>By following these best practices, educational institutions can ensure that their curriculum remains dynamic, relevant, and aligned with the needs of students, industry, and society, fostering an environment conducive to academic success and lifelong learning. The collaboration among institutions and mutual sharing of best practices is key to sustaining a progressive and responsive educational landscape.</w:t>
      </w:r>
    </w:p>
    <w:p>
      <w:pPr>
        <w:pStyle w:val="Heading1"/>
      </w:pPr>
      <w:r>
        <w:t>9. Curricular Aspects that Promote Excellence</w:t>
      </w:r>
    </w:p>
    <w:p>
      <w:pPr>
        <w:pStyle w:val="Heading2"/>
      </w:pPr>
      <w:r>
        <w:t>1. Introduction</w:t>
      </w:r>
    </w:p>
    <w:p>
      <w:pPr>
        <w:pStyle w:val="ListBullet"/>
      </w:pPr>
      <w:r>
        <w:rPr/>
        <w:t>The curriculum is central to the academic success of an institution. It forms the foundation upon which students' knowledge, skills, and competencies are built. Curricular aspects that promote excellence are those that ensure the curriculum remains dynamic, relevant, and effective in meeting the needs of students, society, and industry. Excellence in curricular aspects is achieved when the curriculum is designed, implemented, and continuously refined to support holistic development, foster innovation, and prepare students to excel in a globalized world.</w:t>
      </w:r>
    </w:p>
    <w:p>
      <w:pPr>
        <w:pStyle w:val="Heading2"/>
      </w:pPr>
      <w:r>
        <w:t>2. Objective</w:t>
      </w:r>
    </w:p>
    <w:p>
      <w:pPr>
        <w:pStyle w:val="ListBullet"/>
      </w:pPr>
      <w:r>
        <w:rPr/>
        <w:t>To establish and implement curricular practices that promote academic excellence by fostering a conducive learning environment, encouraging innovation, integrating industry-relevant skills, and ensuring that students are prepared for real-world challenges.</w:t>
      </w:r>
    </w:p>
    <w:p>
      <w:pPr>
        <w:pStyle w:val="Heading2"/>
      </w:pPr>
      <w:r>
        <w:t>3. Key Curricular Aspects that Promote Excellence</w:t>
      </w:r>
    </w:p>
    <w:p>
      <w:pPr>
        <w:pStyle w:val="Heading3"/>
      </w:pPr>
      <w:r>
        <w:t>1. Clear Vision and Mission Alignment:</w:t>
      </w:r>
    </w:p>
    <w:p>
      <w:pPr>
        <w:pStyle w:val="ListBullet2"/>
      </w:pPr>
      <w:r>
        <w:rPr>
          <w:b/>
        </w:rPr>
        <w:t>Institutional Vision:</w:t>
      </w:r>
      <w:r>
        <w:rPr/>
        <w:t xml:space="preserve"> Ensure the curriculum aligns with the overall vision and mission of the institution, focusing on fostering critical thinking, creativity, and societal contributions.</w:t>
      </w:r>
    </w:p>
    <w:p>
      <w:pPr>
        <w:pStyle w:val="ListBullet2"/>
      </w:pPr>
      <w:r>
        <w:rPr>
          <w:b/>
        </w:rPr>
        <w:t>Clear Educational Goals:</w:t>
      </w:r>
      <w:r>
        <w:rPr/>
        <w:t xml:space="preserve"> Define specific, measurable, and achievable goals for each academic program to ensure that students acquire the necessary knowledge and skills to succeed in their chosen field.</w:t>
      </w:r>
    </w:p>
    <w:p>
      <w:pPr>
        <w:pStyle w:val="Heading3"/>
      </w:pPr>
      <w:r>
        <w:t>2. Curriculum Design for Student-Centered Learning:</w:t>
      </w:r>
    </w:p>
    <w:p>
      <w:pPr>
        <w:pStyle w:val="ListBullet2"/>
      </w:pPr>
      <w:r>
        <w:rPr>
          <w:b/>
        </w:rPr>
        <w:t>Active Learning Approach:</w:t>
      </w:r>
      <w:r>
        <w:rPr/>
        <w:t xml:space="preserve"> Promote a student-centered approach where students actively engage in the learning process through discussions, problem-solving, research projects, and practical experiences.</w:t>
      </w:r>
    </w:p>
    <w:p>
      <w:pPr>
        <w:pStyle w:val="ListBullet2"/>
      </w:pPr>
      <w:r>
        <w:rPr>
          <w:b/>
        </w:rPr>
        <w:t>Personalized Learning:</w:t>
      </w:r>
      <w:r>
        <w:rPr/>
        <w:t xml:space="preserve"> Incorporate strategies that allow students to tailor their learning experience to their interests, strengths, and career aspirations, such as elective courses, internships, and individualized study plans.</w:t>
      </w:r>
    </w:p>
    <w:p>
      <w:pPr>
        <w:pStyle w:val="ListBullet2"/>
      </w:pPr>
      <w:r>
        <w:rPr>
          <w:b/>
        </w:rPr>
        <w:t>Learning Outcomes Alignment:</w:t>
      </w:r>
      <w:r>
        <w:rPr/>
        <w:t xml:space="preserve"> Ensure that each course and program has well-defined learning outcomes that align with the institutional mission and program goals, helping students understand what they are expected to achieve.</w:t>
      </w:r>
    </w:p>
    <w:p>
      <w:pPr>
        <w:pStyle w:val="Heading3"/>
      </w:pPr>
      <w:r>
        <w:t>3. Integration of Soft Skills and Employability:</w:t>
      </w:r>
    </w:p>
    <w:p>
      <w:pPr>
        <w:pStyle w:val="ListBullet2"/>
      </w:pPr>
      <w:r>
        <w:rPr>
          <w:b/>
        </w:rPr>
        <w:t>Communication Skills:</w:t>
      </w:r>
      <w:r>
        <w:rPr/>
        <w:t xml:space="preserve"> Integrate courses and activities that enhance communication skills, including writing, public speaking, and interpersonal communication, which are essential for professional success.</w:t>
      </w:r>
    </w:p>
    <w:p>
      <w:pPr>
        <w:pStyle w:val="ListBullet2"/>
      </w:pPr>
      <w:r>
        <w:rPr>
          <w:b/>
        </w:rPr>
        <w:t>Critical Thinking and Problem-Solving:</w:t>
      </w:r>
      <w:r>
        <w:rPr/>
        <w:t xml:space="preserve"> Focus on developing students' ability to think critically, analyze situations from multiple perspectives, and solve complex problems in innovative ways.</w:t>
      </w:r>
    </w:p>
    <w:p>
      <w:pPr>
        <w:pStyle w:val="ListBullet2"/>
      </w:pPr>
      <w:r>
        <w:rPr>
          <w:b/>
        </w:rPr>
        <w:t>Leadership and Teamwork:</w:t>
      </w:r>
      <w:r>
        <w:rPr/>
        <w:t xml:space="preserve"> Promote group projects, leadership roles, and collaborative activities that help students develop teamwork and leadership skills.</w:t>
      </w:r>
    </w:p>
    <w:p>
      <w:pPr>
        <w:pStyle w:val="Heading3"/>
      </w:pPr>
      <w:r>
        <w:t>4. Innovative Pedagogical Approaches:</w:t>
      </w:r>
    </w:p>
    <w:p>
      <w:pPr>
        <w:pStyle w:val="ListBullet2"/>
      </w:pPr>
      <w:r>
        <w:rPr>
          <w:b/>
        </w:rPr>
        <w:t>Blended Learning:</w:t>
      </w:r>
      <w:r>
        <w:rPr/>
        <w:t xml:space="preserve"> Combine traditional classroom learning with online resources, video lectures, and interactive materials to provide a more flexible and engaging learning experience.</w:t>
      </w:r>
    </w:p>
    <w:p>
      <w:pPr>
        <w:pStyle w:val="ListBullet2"/>
      </w:pPr>
      <w:r>
        <w:rPr>
          <w:b/>
        </w:rPr>
        <w:t>Flipped Classrooms:</w:t>
      </w:r>
      <w:r>
        <w:rPr/>
        <w:t xml:space="preserve"> Reverse traditional teaching methods by having students review lecture materials before class and using class time for collaborative learning, discussions, and problem-solving exercises.</w:t>
      </w:r>
    </w:p>
    <w:p>
      <w:pPr>
        <w:pStyle w:val="ListBullet2"/>
      </w:pPr>
      <w:r>
        <w:rPr>
          <w:b/>
        </w:rPr>
        <w:t>Project-Based Learning (PBL):</w:t>
      </w:r>
      <w:r>
        <w:rPr/>
        <w:t xml:space="preserve"> Focus on practical, real-world projects that require students to apply their knowledge and skills to solve industry-relevant problems, fostering deeper learning and critical thinking.</w:t>
      </w:r>
    </w:p>
    <w:p>
      <w:pPr>
        <w:pStyle w:val="Heading3"/>
      </w:pPr>
      <w:r>
        <w:t>5. Curriculum Relevance and Adaptability:</w:t>
      </w:r>
    </w:p>
    <w:p>
      <w:pPr>
        <w:pStyle w:val="ListBullet2"/>
      </w:pPr>
      <w:r>
        <w:rPr>
          <w:b/>
        </w:rPr>
        <w:t>Industry Collaboration:</w:t>
      </w:r>
      <w:r>
        <w:rPr/>
        <w:t xml:space="preserve"> Engage with industry experts, alumni, and other stakeholders to ensure the curriculum stays relevant to current and future job market demands. Regularly update curriculum content to reflect emerging trends and technologies.</w:t>
      </w:r>
    </w:p>
    <w:p>
      <w:pPr>
        <w:pStyle w:val="ListBullet2"/>
      </w:pPr>
      <w:r>
        <w:rPr>
          <w:b/>
        </w:rPr>
        <w:t>Global Competence:</w:t>
      </w:r>
      <w:r>
        <w:rPr/>
        <w:t xml:space="preserve"> Incorporate international perspectives and global issues into the curriculum, preparing students to operate in an interconnected world. Encourage exchange programs, global projects, and case studies from diverse regions.</w:t>
      </w:r>
    </w:p>
    <w:p>
      <w:pPr>
        <w:pStyle w:val="ListBullet2"/>
      </w:pPr>
      <w:r>
        <w:rPr>
          <w:b/>
        </w:rPr>
        <w:t>Interdisciplinary Learning:</w:t>
      </w:r>
      <w:r>
        <w:rPr/>
        <w:t xml:space="preserve"> Promote interdisciplinary courses and projects that combine knowledge from multiple disciplines, enabling students to approach problems from various perspectives and fostering creativity.</w:t>
      </w:r>
    </w:p>
    <w:p>
      <w:pPr>
        <w:pStyle w:val="Heading3"/>
      </w:pPr>
      <w:r>
        <w:t>6. Continuous Curriculum Improvement:</w:t>
      </w:r>
    </w:p>
    <w:p>
      <w:pPr>
        <w:pStyle w:val="ListBullet2"/>
      </w:pPr>
      <w:r>
        <w:rPr>
          <w:b/>
        </w:rPr>
        <w:t>Regular Curriculum Review:</w:t>
      </w:r>
      <w:r>
        <w:rPr/>
        <w:t xml:space="preserve"> Conduct periodic curriculum reviews with feedback from faculty, students, alumni, and employers to identify areas of improvement and ensure the curriculum remains aligned with both academic and industry standards.</w:t>
      </w:r>
    </w:p>
    <w:p>
      <w:pPr>
        <w:pStyle w:val="ListBullet2"/>
      </w:pPr>
      <w:r>
        <w:rPr>
          <w:b/>
        </w:rPr>
        <w:t>Adaptation to Emerging Technologies:</w:t>
      </w:r>
      <w:r>
        <w:rPr/>
        <w:t xml:space="preserve"> Stay abreast of technological advancements and integrate them into the curriculum. This includes emerging fields like Artificial Intelligence, Data Science, and Sustainability, ensuring students are prepared for the digital age.</w:t>
      </w:r>
    </w:p>
    <w:p>
      <w:pPr>
        <w:pStyle w:val="ListBullet2"/>
      </w:pPr>
      <w:r>
        <w:rPr>
          <w:b/>
        </w:rPr>
        <w:t>Feedback Loops:</w:t>
      </w:r>
      <w:r>
        <w:rPr/>
        <w:t xml:space="preserve"> Establish formal and informal mechanisms for gathering feedback from students, alumni, and industry partners, using it to inform future curriculum revisions and improvements.</w:t>
      </w:r>
    </w:p>
    <w:p>
      <w:pPr>
        <w:pStyle w:val="Heading3"/>
      </w:pPr>
      <w:r>
        <w:t>7. Assessment and Evaluation for Excellence:</w:t>
      </w:r>
    </w:p>
    <w:p>
      <w:pPr>
        <w:pStyle w:val="ListBullet2"/>
      </w:pPr>
      <w:r>
        <w:rPr>
          <w:b/>
        </w:rPr>
        <w:t>Holistic Assessments:</w:t>
      </w:r>
      <w:r>
        <w:rPr/>
        <w:t xml:space="preserve"> Use a variety of assessment methods (e.g., exams, projects, presentations, and peer reviews) to evaluate students' overall learning and competencies.</w:t>
      </w:r>
    </w:p>
    <w:p>
      <w:pPr>
        <w:pStyle w:val="ListBullet2"/>
      </w:pPr>
      <w:r>
        <w:rPr>
          <w:b/>
        </w:rPr>
        <w:t>Formative and Summative Assessments:</w:t>
      </w:r>
      <w:r>
        <w:rPr/>
        <w:t xml:space="preserve"> Incorporate both formative assessments, which provide ongoing feedback for improvement, and summative assessments, which evaluate overall achievement.</w:t>
      </w:r>
    </w:p>
    <w:p>
      <w:pPr>
        <w:pStyle w:val="ListBullet2"/>
      </w:pPr>
      <w:r>
        <w:rPr>
          <w:b/>
        </w:rPr>
        <w:t>Learning Analytics:</w:t>
      </w:r>
      <w:r>
        <w:rPr/>
        <w:t xml:space="preserve"> Utilize learning management systems (LMS) to track student performance, identify learning gaps, and offer targeted interventions to ensure continuous improvement in student outcomes.</w:t>
      </w:r>
    </w:p>
    <w:p>
      <w:pPr>
        <w:pStyle w:val="Heading3"/>
      </w:pPr>
      <w:r>
        <w:t>8. Incorporation of Research and Innovation:</w:t>
      </w:r>
    </w:p>
    <w:p>
      <w:pPr>
        <w:pStyle w:val="ListBullet2"/>
      </w:pPr>
      <w:r>
        <w:rPr>
          <w:b/>
        </w:rPr>
        <w:t>Research Integration:</w:t>
      </w:r>
      <w:r>
        <w:rPr/>
        <w:t xml:space="preserve"> Encourage students to participate in research projects that apply theoretical knowledge to practical problems, preparing them for advanced academic work or industry research roles.</w:t>
      </w:r>
    </w:p>
    <w:p>
      <w:pPr>
        <w:pStyle w:val="ListBullet2"/>
      </w:pPr>
      <w:r>
        <w:rPr>
          <w:b/>
        </w:rPr>
        <w:t>Research Opportunities for Students:</w:t>
      </w:r>
      <w:r>
        <w:rPr/>
        <w:t xml:space="preserve"> Provide students with opportunities to collaborate on faculty-led research, attend research seminars, and publish their findings, which enriches their learning experience and contributes to academic innovation.</w:t>
      </w:r>
    </w:p>
    <w:p>
      <w:pPr>
        <w:pStyle w:val="ListBullet2"/>
      </w:pPr>
      <w:r>
        <w:rPr>
          <w:b/>
        </w:rPr>
        <w:t>Innovation Hubs and Makerspaces:</w:t>
      </w:r>
      <w:r>
        <w:rPr/>
        <w:t xml:space="preserve"> Establish spaces where students can work on innovative projects, develop prototypes, and collaborate with peers from other disciplines to bring creative ideas to life.</w:t>
      </w:r>
    </w:p>
    <w:p>
      <w:pPr>
        <w:pStyle w:val="Heading3"/>
      </w:pPr>
      <w:r>
        <w:t>9. Technology-Enhanced Learning:</w:t>
      </w:r>
    </w:p>
    <w:p>
      <w:pPr>
        <w:pStyle w:val="ListBullet2"/>
      </w:pPr>
      <w:r>
        <w:rPr>
          <w:b/>
        </w:rPr>
        <w:t>Digital Resources and Tools:</w:t>
      </w:r>
      <w:r>
        <w:rPr/>
        <w:t xml:space="preserve"> Integrate digital tools like learning management systems (LMS), virtual labs, and educational apps to facilitate learning outside the classroom and provide students with immediate access to resources.</w:t>
      </w:r>
    </w:p>
    <w:p>
      <w:pPr>
        <w:pStyle w:val="ListBullet2"/>
      </w:pPr>
      <w:r>
        <w:rPr>
          <w:b/>
        </w:rPr>
        <w:t>Online Learning Platforms:</w:t>
      </w:r>
      <w:r>
        <w:rPr/>
        <w:t xml:space="preserve"> Offer online courses, certifications, and modules that complement traditional learning, enabling students to learn at their own pace while balancing other responsibilities.</w:t>
      </w:r>
    </w:p>
    <w:p>
      <w:pPr>
        <w:pStyle w:val="ListBullet2"/>
      </w:pPr>
      <w:r>
        <w:rPr>
          <w:b/>
        </w:rPr>
        <w:t>Virtual Reality and Simulations:</w:t>
      </w:r>
      <w:r>
        <w:rPr/>
        <w:t xml:space="preserve"> Use cutting-edge technologies like VR/AR for immersive learning experiences, especially in fields like engineering, medicine, and architecture.</w:t>
      </w:r>
    </w:p>
    <w:p>
      <w:pPr>
        <w:pStyle w:val="Heading3"/>
      </w:pPr>
      <w:r>
        <w:t>10. Community and Industry Engagement:</w:t>
      </w:r>
    </w:p>
    <w:p>
      <w:pPr>
        <w:pStyle w:val="ListBullet2"/>
      </w:pPr>
      <w:r>
        <w:rPr>
          <w:b/>
        </w:rPr>
        <w:t>Community-Based Learning:</w:t>
      </w:r>
      <w:r>
        <w:rPr/>
        <w:t xml:space="preserve"> Integrate service learning and community-based projects into the curriculum, allowing students to apply their academic knowledge to real-world societal challenges.</w:t>
      </w:r>
    </w:p>
    <w:p>
      <w:pPr>
        <w:pStyle w:val="ListBullet2"/>
      </w:pPr>
      <w:r>
        <w:rPr>
          <w:b/>
        </w:rPr>
        <w:t>Industry Partnerships and Guest Lectures:</w:t>
      </w:r>
      <w:r>
        <w:rPr/>
        <w:t xml:space="preserve"> Establish strong ties with industry and invite industry experts for guest lectures, seminars, or mentorship programs, enabling students to gain insights into current industry trends and challenges.</w:t>
      </w:r>
    </w:p>
    <w:p>
      <w:pPr>
        <w:pStyle w:val="ListBullet2"/>
      </w:pPr>
      <w:r>
        <w:rPr>
          <w:b/>
        </w:rPr>
        <w:t>Internships and Field Work:</w:t>
      </w:r>
      <w:r>
        <w:rPr/>
        <w:t xml:space="preserve"> Include mandatory or optional internships, co-op programs, and fieldwork experiences as part of the curriculum to provide students with practical, hands-on exposure to their respective industries.</w:t>
      </w:r>
    </w:p>
    <w:p>
      <w:pPr>
        <w:pStyle w:val="Heading2"/>
      </w:pPr>
      <w:r>
        <w:t>4. Curricular Models that Promote Excellence</w:t>
      </w:r>
    </w:p>
    <w:p>
      <w:pPr>
        <w:pStyle w:val="ListBullet"/>
      </w:pPr>
      <w:r>
        <w:rPr/>
        <w:t>Tripartite Curricular Model for Learner Competence:</w:t>
      </w:r>
    </w:p>
    <w:p>
      <w:pPr>
        <w:pStyle w:val="ListBullet2"/>
      </w:pPr>
      <w:r>
        <w:rPr/>
        <w:t>There are some other best practices which seek to enhance the competence and skills of learners towards achieving excellence. One effective model is the tripartite curricular structure of a college, which facilitates learners in the following phases:</w:t>
      </w:r>
    </w:p>
    <w:p>
      <w:pPr>
        <w:pStyle w:val="ListBullet3"/>
      </w:pPr>
      <w:r>
        <w:rPr>
          <w:b/>
        </w:rPr>
        <w:t>General Studies in the First Year:</w:t>
      </w:r>
      <w:r>
        <w:rPr/>
        <w:t xml:space="preserve"> Students focus on foundational courses that help them build a broad knowledge base.</w:t>
      </w:r>
    </w:p>
    <w:p>
      <w:pPr>
        <w:pStyle w:val="ListBullet3"/>
      </w:pPr>
      <w:r>
        <w:rPr>
          <w:b/>
        </w:rPr>
        <w:t>Field Placement in Both Combat and Non-Combat Areas in the Second Year:</w:t>
      </w:r>
      <w:r>
        <w:rPr/>
        <w:t xml:space="preserve"> Students gain real-world experience through field placements, allowing them to apply their learning in various environments.</w:t>
      </w:r>
    </w:p>
    <w:p>
      <w:pPr>
        <w:pStyle w:val="ListBullet3"/>
      </w:pPr>
      <w:r>
        <w:rPr>
          <w:b/>
        </w:rPr>
        <w:t>Advanced Studies in the Third Year:</w:t>
      </w:r>
      <w:r>
        <w:rPr/>
        <w:t xml:space="preserve"> Students delve into specialized courses, deepening their knowledge and skills in their chosen discipline.</w:t>
      </w:r>
    </w:p>
    <w:p>
      <w:pPr>
        <w:pStyle w:val="ListBullet2"/>
      </w:pPr>
      <w:r>
        <w:rPr/>
        <w:t>This structure not only promotes knowledge assimilation but also fosters skill development simultaneously.</w:t>
      </w:r>
    </w:p>
    <w:p>
      <w:pPr>
        <w:pStyle w:val="ListBullet"/>
      </w:pPr>
      <w:r>
        <w:rPr/>
        <w:t>Integrated Curriculum for Technical Institutions:</w:t>
      </w:r>
    </w:p>
    <w:p>
      <w:pPr>
        <w:pStyle w:val="ListBullet2"/>
      </w:pPr>
      <w:r>
        <w:rPr/>
        <w:t>A somewhat similar model is found in technical institutions, where the curriculum is both rigorous and highly beneficial to learners. This integrated curriculum allows students to obtain two degrees, offering them a comprehensive educational experience that combines both theoretical and practical aspects. This dual-degree approach equips students with the skills necessary to excel in their field while giving them a competitive edge in the job market.</w:t>
      </w:r>
    </w:p>
    <w:p>
      <w:pPr>
        <w:pStyle w:val="ListBullet"/>
      </w:pPr>
      <w:r>
        <w:rPr/>
        <w:t>Enhancement of Communicative and Cognitive Skills:</w:t>
      </w:r>
    </w:p>
    <w:p>
      <w:pPr>
        <w:pStyle w:val="ListBullet2"/>
      </w:pPr>
      <w:r>
        <w:rPr/>
        <w:t>Efforts of lesser fame but highly beneficial for promoting excellence include curricular initiatives that focus on enhancing students' communicative and cognitive skills. These skills are crucial for academic and professional success and are integrated into the curriculum through various means, such as dedicated communication courses, cognitive skill workshops, and interdisciplinary projects. Illustrations of these efforts are numerous across institutions and play a vital role in shaping well-rounded graduates.</w:t>
      </w:r>
    </w:p>
    <w:p>
      <w:pPr>
        <w:pStyle w:val="Heading2"/>
      </w:pPr>
      <w:r>
        <w:t>5. Impact of Curricular Aspects that Promote Excellence</w:t>
      </w:r>
    </w:p>
    <w:p>
      <w:pPr>
        <w:pStyle w:val="Heading3"/>
      </w:pPr>
      <w:r>
        <w:t>1. Improved Student Outcomes:</w:t>
      </w:r>
    </w:p>
    <w:p>
      <w:pPr>
        <w:pStyle w:val="ListBullet2"/>
      </w:pPr>
      <w:r>
        <w:rPr/>
        <w:t>A well-structured and continuously updated curriculum ensures that students acquire the necessary knowledge and skills for both academic and professional success.</w:t>
      </w:r>
    </w:p>
    <w:p>
      <w:pPr>
        <w:pStyle w:val="Heading3"/>
      </w:pPr>
      <w:r>
        <w:t>2. Better Employability:</w:t>
      </w:r>
    </w:p>
    <w:p>
      <w:pPr>
        <w:pStyle w:val="ListBullet2"/>
      </w:pPr>
      <w:r>
        <w:rPr/>
        <w:t>Graduates equipped with relevant knowledge, soft skills, and real-world experience are better prepared for the workforce, increasing their employability and adaptability in a competitive job market.</w:t>
      </w:r>
    </w:p>
    <w:p>
      <w:pPr>
        <w:pStyle w:val="Heading3"/>
      </w:pPr>
      <w:r>
        <w:t>3. Global Competence:</w:t>
      </w:r>
    </w:p>
    <w:p>
      <w:pPr>
        <w:pStyle w:val="ListBullet2"/>
      </w:pPr>
      <w:r>
        <w:rPr/>
        <w:t>A curriculum that includes international perspectives and interdisciplinary learning equips students with the skills to operate in a globalized environment, fostering cross-cultural competence and international collaboration.</w:t>
      </w:r>
    </w:p>
    <w:p>
      <w:pPr>
        <w:pStyle w:val="Heading3"/>
      </w:pPr>
      <w:r>
        <w:t>4. Innovation and Creativity:</w:t>
      </w:r>
    </w:p>
    <w:p>
      <w:pPr>
        <w:pStyle w:val="ListBullet2"/>
      </w:pPr>
      <w:r>
        <w:rPr/>
        <w:t>Encouraging innovative teaching methods, interdisciplinary projects, and research initiatives fosters creativity among students, preparing them to address complex challenges and contribute to groundbreaking innovations in their fields.</w:t>
      </w:r>
    </w:p>
    <w:p>
      <w:pPr>
        <w:pStyle w:val="Heading3"/>
      </w:pPr>
      <w:r>
        <w:t>5. Institutional Reputation:</w:t>
      </w:r>
    </w:p>
    <w:p>
      <w:pPr>
        <w:pStyle w:val="ListBullet2"/>
      </w:pPr>
      <w:r>
        <w:rPr/>
        <w:t>Institutions that promote curricular excellence gain recognition as leaders in education, attracting top-tier students, faculty, and industry partners, and improving their overall reputation and ranking.</w:t>
      </w:r>
    </w:p>
    <w:p>
      <w:pPr>
        <w:pStyle w:val="Heading3"/>
      </w:pPr>
      <w:r>
        <w:t>6. Continuous Improvement:</w:t>
      </w:r>
    </w:p>
    <w:p>
      <w:pPr>
        <w:pStyle w:val="ListBullet2"/>
      </w:pPr>
      <w:r>
        <w:rPr/>
        <w:t>The ongoing review and adaptation of the curriculum ensure that institutions stay at the forefront of educational developments, creating a culture of continuous improvement and academic excellence.</w:t>
      </w:r>
    </w:p>
    <w:p>
      <w:r>
        <w:rPr/>
        <w:t>By following these best practices, educational institutions can ensure that their curriculum not only promotes academic excellence but also prepares students for a successful future in an ever-evolving global landscape. The collaboration among institutions and mutual sharing of best practices is key to sustaining a progressive and responsive educational landscape. The inclusion of innovative models like the tripartite and integrated curricula further contributes to learners' holistic development and success.</w:t>
      </w:r>
    </w:p>
    <w:p>
      <w:pPr>
        <w:pStyle w:val="Heading1"/>
      </w:pPr>
      <w:r>
        <w:t>10. Curricular Aspects that Promote Value-Addition</w:t>
      </w:r>
    </w:p>
    <w:p>
      <w:pPr>
        <w:pStyle w:val="Heading2"/>
      </w:pPr>
      <w:r>
        <w:t>10.1. Introduction</w:t>
      </w:r>
    </w:p>
    <w:p>
      <w:pPr>
        <w:pStyle w:val="ListBullet"/>
      </w:pPr>
      <w:r>
        <w:rPr/>
        <w:t>Curricular aspects that promote value-addition are essential for preparing students not just for academic success, but also for real-world challenges. The goal is to equip students with both theoretical knowledge and practical skills that are transferable across various industries and disciplines. These aspects enhance students' employability, personal development, and overall contribution to society. The integration of value-addition into the curriculum helps foster holistic development, emphasizing critical thinking, ethical reasoning, teamwork, and global awareness.</w:t>
      </w:r>
    </w:p>
    <w:p>
      <w:pPr>
        <w:pStyle w:val="Heading2"/>
      </w:pPr>
      <w:r>
        <w:t>10.2. Objective</w:t>
      </w:r>
    </w:p>
    <w:p>
      <w:pPr>
        <w:pStyle w:val="ListBullet"/>
      </w:pPr>
      <w:r>
        <w:rPr/>
        <w:t>To develop curricular practices that add value to students' educational experience, ensuring they gain essential skills, knowledge, and experiences that enable them to excel in their careers and contribute positively to society. Value-addition focuses on enhancing students' competencies in ways that go beyond the content of their core subjects.</w:t>
      </w:r>
    </w:p>
    <w:p>
      <w:pPr>
        <w:pStyle w:val="Heading2"/>
      </w:pPr>
      <w:r>
        <w:t>10.3. Key Curricular Aspects that Promote Value-Addition</w:t>
      </w:r>
    </w:p>
    <w:p>
      <w:pPr>
        <w:pStyle w:val="Heading3"/>
      </w:pPr>
      <w:r>
        <w:t>1. Focus on Employability Skills:</w:t>
      </w:r>
    </w:p>
    <w:p>
      <w:pPr>
        <w:pStyle w:val="ListBullet2"/>
      </w:pPr>
      <w:r>
        <w:rPr>
          <w:b/>
        </w:rPr>
        <w:t>Soft Skills Integration:</w:t>
      </w:r>
      <w:r>
        <w:rPr/>
        <w:t xml:space="preserve"> Incorporate courses and activities that develop students’ communication, leadership, teamwork, time management, and critical thinking skills.</w:t>
      </w:r>
    </w:p>
    <w:p>
      <w:pPr>
        <w:pStyle w:val="ListBullet2"/>
      </w:pPr>
      <w:r>
        <w:rPr>
          <w:b/>
        </w:rPr>
        <w:t>Industry-Relevant Training:</w:t>
      </w:r>
      <w:r>
        <w:rPr/>
        <w:t xml:space="preserve"> Align curriculum content with the skills demanded by industries, ensuring students graduate with qualifications that are highly sought after in the job market.</w:t>
      </w:r>
    </w:p>
    <w:p>
      <w:pPr>
        <w:pStyle w:val="ListBullet2"/>
      </w:pPr>
      <w:r>
        <w:rPr>
          <w:b/>
        </w:rPr>
        <w:t>Career Development Programs:</w:t>
      </w:r>
      <w:r>
        <w:rPr/>
        <w:t xml:space="preserve"> Include placement services, resume building, and career-oriented workshops, job mock interviews as part of the curriculum to better prepare students for the workforce.</w:t>
      </w:r>
    </w:p>
    <w:p>
      <w:pPr>
        <w:pStyle w:val="Heading3"/>
      </w:pPr>
      <w:r>
        <w:t>2. Holistic Learning Approach:</w:t>
      </w:r>
    </w:p>
    <w:p>
      <w:pPr>
        <w:pStyle w:val="ListBullet2"/>
      </w:pPr>
      <w:r>
        <w:rPr>
          <w:b/>
        </w:rPr>
        <w:t>Cross-Disciplinary Exposure:</w:t>
      </w:r>
      <w:r>
        <w:rPr/>
        <w:t xml:space="preserve"> Encourage students to engage in interdisciplinary courses, combining knowledge from various fields. For instance, integrating business with technology, or healthcare with ethics, helps students gain diverse perspectives.</w:t>
      </w:r>
    </w:p>
    <w:p>
      <w:pPr>
        <w:pStyle w:val="ListBullet2"/>
      </w:pPr>
      <w:r>
        <w:rPr>
          <w:b/>
        </w:rPr>
        <w:t>Character Building and Ethical Learning:</w:t>
      </w:r>
      <w:r>
        <w:rPr/>
        <w:t xml:space="preserve"> Embed ethical decision-making, social responsibility, and environmental awareness into the curriculum to produce well-rounded individuals who are conscious of their societal impact.</w:t>
      </w:r>
    </w:p>
    <w:p>
      <w:pPr>
        <w:pStyle w:val="ListBullet2"/>
      </w:pPr>
      <w:r>
        <w:rPr>
          <w:b/>
        </w:rPr>
        <w:t>Global Awareness:</w:t>
      </w:r>
      <w:r>
        <w:rPr/>
        <w:t xml:space="preserve"> Incorporate global issues such as climate change, inequality, and international diplomacy into the curriculum, encouraging students to think about their roles on a global scale.</w:t>
      </w:r>
    </w:p>
    <w:p>
      <w:pPr>
        <w:pStyle w:val="Heading3"/>
      </w:pPr>
      <w:r>
        <w:t>3. Hands-On and Practical Learning:</w:t>
      </w:r>
    </w:p>
    <w:p>
      <w:pPr>
        <w:pStyle w:val="ListBullet2"/>
      </w:pPr>
      <w:r>
        <w:rPr>
          <w:b/>
        </w:rPr>
        <w:t>Internships and Industry Exposure:</w:t>
      </w:r>
      <w:r>
        <w:rPr/>
        <w:t xml:space="preserve"> Offer students opportunities for internships, co-ops, or field placements in real-world settings. These provide students with valuable exposure to industry practices, allowing them to apply theoretical knowledge and gain professional experience.</w:t>
      </w:r>
    </w:p>
    <w:p>
      <w:pPr>
        <w:pStyle w:val="ListBullet2"/>
      </w:pPr>
      <w:r>
        <w:rPr>
          <w:b/>
        </w:rPr>
        <w:t>Lab-Based Learning:</w:t>
      </w:r>
      <w:r>
        <w:rPr/>
        <w:t xml:space="preserve"> Integrate practical laboratory work, technical workshops, and simulations to provide students with hands-on experience in their respective fields.</w:t>
      </w:r>
    </w:p>
    <w:p>
      <w:pPr>
        <w:pStyle w:val="ListBullet2"/>
      </w:pPr>
      <w:r>
        <w:rPr>
          <w:b/>
        </w:rPr>
        <w:t>Service Learning:</w:t>
      </w:r>
      <w:r>
        <w:rPr/>
        <w:t xml:space="preserve"> Incorporate community-based learning projects where students work with local organizations to solve real-world challenges, thus gaining both academic and social value.</w:t>
      </w:r>
    </w:p>
    <w:p>
      <w:pPr>
        <w:pStyle w:val="Heading3"/>
      </w:pPr>
      <w:r>
        <w:t>4. Research-Oriented Curriculum:</w:t>
      </w:r>
    </w:p>
    <w:p>
      <w:pPr>
        <w:pStyle w:val="ListBullet2"/>
      </w:pPr>
      <w:r>
        <w:rPr>
          <w:b/>
        </w:rPr>
        <w:t>Encouraging Research Skills:</w:t>
      </w:r>
      <w:r>
        <w:rPr/>
        <w:t xml:space="preserve"> Promote student involvement in research projects, either individually or collaboratively, fostering an inquiry-based approach to learning. Research enhances critical thinking, analytical abilities, and problem-solving skills.</w:t>
      </w:r>
    </w:p>
    <w:p>
      <w:pPr>
        <w:pStyle w:val="ListBullet2"/>
      </w:pPr>
      <w:r>
        <w:rPr>
          <w:b/>
        </w:rPr>
        <w:t>Access to Research Opportunities:</w:t>
      </w:r>
      <w:r>
        <w:rPr/>
        <w:t xml:space="preserve"> Provide opportunities for students to work with faculty on research initiatives, present at conferences, or publish papers. This encourages academic excellence while preparing students for advanced studies or research-based careers.</w:t>
      </w:r>
    </w:p>
    <w:p>
      <w:pPr>
        <w:pStyle w:val="ListBullet2"/>
      </w:pPr>
      <w:r>
        <w:rPr>
          <w:b/>
        </w:rPr>
        <w:t>Capstone Projects:</w:t>
      </w:r>
      <w:r>
        <w:rPr/>
        <w:t xml:space="preserve"> Design capstone projects that require students to engage in comprehensive research, data analysis, and problem-solving, integrating the knowledge gained throughout their course of study.</w:t>
      </w:r>
    </w:p>
    <w:p>
      <w:pPr>
        <w:pStyle w:val="Heading3"/>
      </w:pPr>
      <w:r>
        <w:t>5. Technology Integration:</w:t>
      </w:r>
    </w:p>
    <w:p>
      <w:pPr>
        <w:pStyle w:val="ListBullet2"/>
      </w:pPr>
      <w:r>
        <w:rPr>
          <w:b/>
        </w:rPr>
        <w:t>Digital Literacy:</w:t>
      </w:r>
      <w:r>
        <w:rPr/>
        <w:t xml:space="preserve"> Ensure that the curriculum includes a focus on technology and digital tools, helping students become proficient in using software, data analysis tools, and digital communication platforms.</w:t>
      </w:r>
    </w:p>
    <w:p>
      <w:pPr>
        <w:pStyle w:val="ListBullet2"/>
      </w:pPr>
      <w:r>
        <w:rPr>
          <w:b/>
        </w:rPr>
        <w:t>Emerging Technologies:</w:t>
      </w:r>
      <w:r>
        <w:rPr/>
        <w:t xml:space="preserve"> Introduce courses that focus on cutting-edge technologies such as Artificial Intelligence, Data Science, Blockchain, and Internet of Things (IoT), equipping students with the skills needed in rapidly growing sectors.</w:t>
      </w:r>
    </w:p>
    <w:p>
      <w:pPr>
        <w:pStyle w:val="ListBullet2"/>
      </w:pPr>
      <w:r>
        <w:rPr>
          <w:b/>
        </w:rPr>
        <w:t>E-Learning and Online Platforms:</w:t>
      </w:r>
      <w:r>
        <w:rPr/>
        <w:t xml:space="preserve"> Make use of e-learning platforms and digital resources to offer flexibility in learning, as well as to expose students to modern learning environments.</w:t>
      </w:r>
    </w:p>
    <w:p>
      <w:pPr>
        <w:pStyle w:val="Heading3"/>
      </w:pPr>
      <w:r>
        <w:t>6. Global and Cultural Competence:</w:t>
      </w:r>
    </w:p>
    <w:p>
      <w:pPr>
        <w:pStyle w:val="ListBullet2"/>
      </w:pPr>
      <w:r>
        <w:rPr>
          <w:b/>
        </w:rPr>
        <w:t>Global Perspectives in Curriculum:</w:t>
      </w:r>
      <w:r>
        <w:rPr/>
        <w:t xml:space="preserve"> Include global case studies, international guest speakers, and study-abroad opportunities that expose students to global business practices, cultural understanding, and international collaborations.</w:t>
      </w:r>
    </w:p>
    <w:p>
      <w:pPr>
        <w:pStyle w:val="ListBullet2"/>
      </w:pPr>
      <w:r>
        <w:rPr>
          <w:b/>
        </w:rPr>
        <w:t>Cultural Sensitivity:</w:t>
      </w:r>
      <w:r>
        <w:rPr/>
        <w:t xml:space="preserve"> Promote courses and workshops that foster cultural awareness and inclusivity, preparing students to work in diverse and multinational environments.</w:t>
      </w:r>
    </w:p>
    <w:p>
      <w:pPr>
        <w:pStyle w:val="ListBullet2"/>
      </w:pPr>
      <w:r>
        <w:rPr>
          <w:b/>
        </w:rPr>
        <w:t>Language Learning:</w:t>
      </w:r>
      <w:r>
        <w:rPr/>
        <w:t xml:space="preserve"> Offer language courses or partnerships with institutions abroad to enhance students’ communication skills in a global context, thereby broadening their career prospects.</w:t>
      </w:r>
    </w:p>
    <w:p>
      <w:pPr>
        <w:pStyle w:val="Heading3"/>
      </w:pPr>
      <w:r>
        <w:t>7. Sustainability and Social Responsibility:</w:t>
      </w:r>
    </w:p>
    <w:p>
      <w:pPr>
        <w:pStyle w:val="ListBullet2"/>
      </w:pPr>
      <w:r>
        <w:rPr>
          <w:b/>
        </w:rPr>
        <w:t>Sustainable Practices:</w:t>
      </w:r>
      <w:r>
        <w:rPr/>
        <w:t xml:space="preserve"> Integrate sustainability concepts into the curriculum, such as environmental conservation, renewable energy, and sustainable business practices, to prepare students to address global challenges.</w:t>
      </w:r>
    </w:p>
    <w:sectPr w:rsidR="00FC693F" w:rsidRPr="0006063C" w:rsidSect="00034616">
      <w:footerReference w:type="default" r:id="rId9"/>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Cambria" w:hAnsi="Cambria" w:hint="default" w:cs="Cambria"/>
      </w:rPr>
    </w:lvl>
  </w:abstractNum>
  <w:abstractNum w:abstractNumId="6">
    <w:nsid w:val="FFFFFF83"/>
    <w:multiLevelType w:val="singleLevel"/>
    <w:tmpl w:val="3D1EFFD4"/>
    <w:lvl w:ilvl="0">
      <w:start w:val="1"/>
      <w:numFmt w:val="bullet"/>
      <w:pStyle w:val="ListBullet2"/>
      <w:lvlText w:val="o"/>
      <w:lvlJc w:val="left"/>
      <w:pPr>
        <w:tabs>
          <w:tab w:val="num" w:pos="720"/>
        </w:tabs>
        <w:ind w:left="720" w:hanging="360"/>
      </w:pPr>
      <w:rPr>
        <w:rFonts w:ascii="Courier New" w:hAnsi="Courier New" w:hint="default" w:cs="Courier New"/>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Cambria" w:hAnsi="Cambria" w:hint="default" w:cs="Cambri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jc w:val="left"/>
      <w:outlineLvl w:val="0"/>
    </w:pPr>
    <w:rPr>
      <w:rFonts w:ascii="Cambria" w:hAnsi="Cambria" w:eastAsia="Cambria" w:cs="Cambria"/>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rFonts w:ascii="Cambria" w:hAnsi="Cambria" w:eastAsia="Cambria" w:cs="Cambria"/>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Cambria" w:hAnsi="Cambria" w:eastAsia="Cambria" w:cs="Cambria"/>
      <w:b/>
      <w:bCs/>
      <w:i w:val="0"/>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both"/>
    </w:pPr>
    <w:rPr>
      <w:rFonts w:ascii="Cambria" w:hAnsi="Cambria" w:eastAsia="Cambria" w:cs="Cambria"/>
      <w:sz w:val="22"/>
    </w:rPr>
  </w:style>
  <w:style w:type="paragraph" w:styleId="ListBullet2">
    <w:name w:val="List Bullet 2"/>
    <w:basedOn w:val="Normal"/>
    <w:uiPriority w:val="99"/>
    <w:unhideWhenUsed/>
    <w:rsid w:val="00326F90"/>
    <w:pPr>
      <w:numPr>
        <w:numId w:val="2"/>
      </w:numPr>
      <w:spacing w:after="60"/>
      <w:contextualSpacing/>
      <w:jc w:val="both"/>
    </w:pPr>
    <w:rPr>
      <w:rFonts w:ascii="Cambria" w:hAnsi="Cambria" w:eastAsia="Cambria" w:cs="Cambria"/>
      <w:sz w:val="22"/>
    </w:rPr>
  </w:style>
  <w:style w:type="paragraph" w:styleId="ListBullet3">
    <w:name w:val="List Bullet 3"/>
    <w:basedOn w:val="Normal"/>
    <w:uiPriority w:val="99"/>
    <w:unhideWhenUsed/>
    <w:rsid w:val="00326F90"/>
    <w:pPr>
      <w:numPr>
        <w:numId w:val="3"/>
      </w:numPr>
      <w:spacing w:after="60"/>
      <w:contextualSpacing/>
      <w:jc w:val="both"/>
    </w:pPr>
    <w:rPr>
      <w:rFonts w:ascii="Cambria" w:hAnsi="Cambria" w:eastAsia="Cambria" w:cs="Cambria"/>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Implementation of Best Practices in HEIs</dc:title>
  <dc:subject/>
  <dc:creator>Dr. V. Rama Krishna Tottempudi; Dr. P.V.S.K.Phanidhar Varma;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