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360"/>
        <w:jc w:val="center"/>
      </w:pPr>
      <w:r>
        <w:rPr>
          <w:b/>
          <w:color w:val="1F3A5F"/>
          <w:sz w:val="52"/>
        </w:rPr>
        <w:t>Financial Operations and Management Policy in Higher Education Institutions</w:t>
      </w:r>
    </w:p>
    <w:p>
      <w:pPr>
        <w:spacing w:after="1200"/>
        <w:jc w:val="center"/>
      </w:pPr>
      <w:r>
        <w:rPr>
          <w:b/>
          <w:color w:val="1F3A5F"/>
          <w:sz w:val="28"/>
        </w:rPr>
        <w:t>A Comprehensive Framework Linking Finance Policy to NAAC, NBA, NIRF, QS I-GAUGE, and SDGs</w:t>
      </w:r>
    </w:p>
    <w:p>
      <w:pPr>
        <w:spacing w:after="80"/>
        <w:jc w:val="center"/>
      </w:pPr>
      <w:r>
        <w:rPr>
          <w:b/>
          <w:sz w:val="26"/>
        </w:rPr>
        <w:t>Dr Venkata Rama Krishna Tottempudi</w:t>
      </w:r>
    </w:p>
    <w:p>
      <w:pPr>
        <w:spacing w:after="0"/>
        <w:jc w:val="center"/>
      </w:pPr>
      <w:r>
        <w:rPr>
          <w:b/>
          <w:sz w:val="26"/>
        </w:rPr>
        <w:t>Sai Saran Tottempudi</w:t>
      </w:r>
    </w:p>
    <w:p>
      <w:pPr>
        <w:spacing w:after="0"/>
      </w:pPr>
      <w:r>
        <w:br w:type="page"/>
      </w:r>
    </w:p>
    <w:p>
      <w:pPr>
        <w:pStyle w:val="Heading1"/>
        <w:spacing w:before="0"/>
        <w:jc w:val="center"/>
      </w:pPr>
      <w:r>
        <w:rPr/>
        <w:t>Acknowledgement</w:t>
      </w:r>
    </w:p>
    <w:p>
      <w:r>
        <w:rPr/>
        <w:t xml:space="preserve">We extend our sincere gratitude to all those who have contributed to the development of the </w:t>
      </w:r>
      <w:r>
        <w:rPr>
          <w:i/>
        </w:rPr>
        <w:t>Financial Operations and Management Policy in Higher Education Institutions</w:t>
      </w:r>
      <w:r>
        <w:rPr/>
        <w:t>. This policy is the result of collective efforts aimed at strengthening financial governance, transparency, and sustainability within academic institutions.</w:t>
      </w:r>
    </w:p>
    <w:p>
      <w:r>
        <w:rPr/>
        <w:t>We acknowledge the guidance and support of the Governing Body and institutional leadership for their vision in prioritizing sound financial management as a foundation for academic excellence and institutional growth. Special thanks are due to the Finance Committee, Registrar, and Finance Officers whose expertise and practical insights have been invaluable in shaping the structure and content of this policy.</w:t>
      </w:r>
    </w:p>
    <w:p>
      <w:r>
        <w:rPr/>
        <w:t>We also recognize the contributions of faculty members, administrative staff, auditors, and external experts who shared their perspectives and provided constructive feedback during the drafting and review process. Their participation has ensured that the policy reflects both compliance with regulatory frameworks and responsiveness to the evolving needs of higher education.</w:t>
      </w:r>
    </w:p>
    <w:p>
      <w:r>
        <w:rPr/>
        <w:t>Finally, we acknowledge the broader academic and professional community for their continued commitment to upholding principles of accountability, efficiency, and ethical financial practices. It is our belief that this policy will serve as a guiding framework to foster financial discipline, resource optimization, and long-term sustainability in Higher Education Institutions, thereby contributing to the mission of delivering quality education, advancing research, and promoting societal well-being.</w:t>
      </w:r>
    </w:p>
    <w:p>
      <w:r>
        <w:rPr/>
        <w:t xml:space="preserve">In addition, I gratefully acknowledge the support of </w:t>
      </w:r>
      <w:r>
        <w:rPr>
          <w:b/>
        </w:rPr>
        <w:t>Dr. P. Phanidhar Varma</w:t>
      </w:r>
      <w:r>
        <w:rPr/>
        <w:t xml:space="preserve"> and </w:t>
      </w:r>
      <w:r>
        <w:rPr>
          <w:b/>
        </w:rPr>
        <w:t>Dr. Mahesh Babu Kota</w:t>
      </w:r>
      <w:r>
        <w:rPr/>
        <w:t xml:space="preserve"> whose contributions have been invaluable.</w:t>
      </w:r>
    </w:p>
    <w:p>
      <w:r>
        <w:rPr/>
        <w:t xml:space="preserve">Most importantly, I must thank my wife and best friend, </w:t>
      </w:r>
      <w:r>
        <w:rPr>
          <w:b/>
        </w:rPr>
        <w:t>Sailaja Tottempudi</w:t>
      </w:r>
      <w:r>
        <w:rPr/>
        <w:t>, for her unwavering support and strength through every phase of this journey.</w:t>
      </w:r>
    </w:p>
    <w:p>
      <w:r>
        <w:rPr/>
        <w:t>Finally, I express my deep gratitude to my family and well-wishers for their continuous encouragement and moral support throughout this endeavor.</w:t>
      </w:r>
    </w:p>
    <w:p>
      <w:r>
        <w:rPr/>
        <w:t>This book is a humble contribution toward building a more quality-conscious, outcome-oriented, and institutionally accountable higher education ecosystem in India.</w:t>
      </w:r>
    </w:p>
    <w:p>
      <w:pPr>
        <w:spacing w:after="0" w:before="120"/>
        <w:jc w:val="left"/>
      </w:pPr>
      <w:r>
        <w:rPr>
          <w:b/>
          <w:sz w:val="24"/>
        </w:rPr>
        <w:t>Dr. V. Rama Krishna Tottempudi</w:t>
      </w:r>
    </w:p>
    <w:p>
      <w:pPr>
        <w:spacing w:after="0" w:before="0"/>
        <w:jc w:val="left"/>
      </w:pPr>
      <w:r>
        <w:rPr>
          <w:b/>
          <w:sz w:val="24"/>
        </w:rPr>
        <w:t>Sai Saran Tottempudi</w:t>
      </w:r>
    </w:p>
    <w:p>
      <w:pPr>
        <w:spacing w:after="0"/>
      </w:pPr>
      <w:r>
        <w:br w:type="page"/>
      </w:r>
    </w:p>
    <w:p>
      <w:pPr>
        <w:pStyle w:val="Heading1"/>
        <w:spacing w:before="0"/>
        <w:jc w:val="center"/>
      </w:pPr>
      <w:r>
        <w:rPr/>
        <w:t>Abstract</w:t>
      </w:r>
    </w:p>
    <w:p>
      <w:r>
        <w:rPr/>
        <w:t>A Financial Operations and Management Policy in Higher Education Institutions (HEIs) serves as a comprehensive framework designed to ensure sound financial management, accountability, and long-term sustainability. Its central purpose is to provide clear and standardized guidelines for all financial activities, thereby strengthening financial controls, reducing risks of mismanagement, and enabling institutions to comply with regulatory requirements while pursuing their strategic objectives. Built upon fundamental accounting principles such as transparency, consistency, prudence, accrual, and accountability, the policy establishes a uniform basis for recording, reporting, and auditing financial transactions. This ensures that financial practices are not only reliable and accurate but also credible in the eyes of all stakeholders, including students, faculty, governing bodies, donors, and regulators.</w:t>
      </w:r>
    </w:p>
    <w:p>
      <w:r>
        <w:rPr/>
        <w:t>The key objectives of the Finance Policy are multifaceted and designed to support both day-to-day operations and long-term institutional goals. One primary objective is to evolve and maintain strong financial management systems that safeguard against misuse of funds, while promoting efficiency, accountability, and effectiveness in all transactions. Equally important is the rational planning, coordination, and control of revenue inflows and expenditures, ensuring that income and expenses remain balanced, essential functions are prioritized, and allocations are aligned with the mission of the institution. These provisions extend to core areas such as academic programs, research, student and staff development, capital projects, and property maintenance. The policy also emphasizes effective financial management as a means of achieving stability, resilience, and academic excellence in an increasingly competitive higher education environment.</w:t>
      </w:r>
    </w:p>
    <w:p>
      <w:r>
        <w:rPr/>
        <w:t>Resource mobilization is another vital focus of the policy, with specific guidelines established for diversifying and strengthening financial inflows. Institutions are encouraged to draw from multiple sources, including tuition and examination fees, government grants, research funding, consultancy services, alumni contributions, donations, sponsorships, and revenue-generating activities. By tapping into such diverse streams, HEIs can reduce overreliance on a single source of funding and build a more sustainable financial base. At the same time, strict compliance with legal requirements, government regulations, and accounting standards remains non-negotiable, covering areas such as taxation, employee benefits, procurement practices, and auditing protocols. The adoption of standardized accounting procedures—such as accrual-based accounting and the double-entry system—further enhances the accuracy and reliability of financial records, enabling transparent reporting and timely disclosures.</w:t>
      </w:r>
    </w:p>
    <w:p>
      <w:r>
        <w:rPr/>
        <w:t>The scope of the Finance Policy is broad and encompasses all major aspects of institutional financial management. This includes the mobilization of financial resources through various channels, the allocation and utilization of funds across competing institutional priorities, and the assurance of compliance and accountability. Specific attention is paid to infrastructure development, academic enrichment, research activities, faculty development, student support services, and operational expenses. To ensure adherence to best practices, the policy mandates compliance with legal and statutory requirements, regular internal and external audits, financial reporting in accordance with national and international norms, and prompt submission of reports to governing councils and accreditation agencies.</w:t>
      </w:r>
    </w:p>
    <w:p>
      <w:r>
        <w:rPr/>
        <w:t>Cash inflows detailed in the policy highlight the diverse funding opportunities available to HEIs. These include student-related income such as tuition, examination, and other prescribed fees; government and non-government grants provided for academic schemes, research, and infrastructure development; consultancy revenue generated from institutional expertise; alumni contributions and philanthropic donations; corporate sponsorships; and interest earned from deposits or investments. Conversely, cash outflows outlined in the policy cover the full spectrum of institutional needs. These range from overheads and administrative costs—including staff salaries, utilities, and operational expenses—to infrastructure development and maintenance. They also encompass academic and research-related activities such as seminars, grants, collaborations, and publications; faculty and staff development initiatives including training and higher education support; student scholarships, welfare measures, and extracurricular activities; as well as procurement of books, equipment, and other learning resources essential for quality education.</w:t>
      </w:r>
    </w:p>
    <w:p>
      <w:r>
        <w:rPr/>
        <w:t>Monitoring and implementing the Finance Policy is a structured responsibility, shared across multiple layers of institutional governance. The Registrar or Principal, together with the Finance Officer, plays a central role in ensuring day-to-day compliance with the policy. Their duties include overseeing payment approvals in line with budgets, preparing and finalizing institutional budgets that integrate both short-term needs and long-term priorities, and monitoring financial performance against planned targets. The Governing Body provides supervisory oversight, particularly in approving major budget revisions or unforeseen expenditures. Meanwhile, accountability mechanisms are reinforced through rigorous internal and external audits, periodic reporting to stakeholders, and corrective actions for irregularities. The Finance Officer, in particular, has a critical role in maintaining accounts, ensuring proper revenue collection, preparing budgets, overseeing audits, and addressing financial discrepancies with diligence and transparency.</w:t>
      </w:r>
    </w:p>
    <w:p>
      <w:r>
        <w:rPr/>
        <w:t>Ultimately, the Financial Operations and Management Policy in Higher Education Institutions is far more than an administrative guideline—it is a strategic instrument for institutional growth, resilience, and credibility. By embedding sound financial management practices, the policy ensures that resources are managed prudently, efficiently, and ethically in alignment with the mission of quality education and research advancement. A well-structured Finance Policy not only sustains day-to-day institutional operations but also contributes to broader national and societal objectives, ensuring that HEIs remain financially robust, academically excellent, and socially relevant in the face of evolving challenges.</w:t>
      </w:r>
    </w:p>
    <w:p>
      <w:pPr>
        <w:spacing w:after="0"/>
      </w:pPr>
      <w:r>
        <w:br w:type="page"/>
      </w:r>
    </w:p>
    <w:p>
      <w:pPr>
        <w:pStyle w:val="Heading1"/>
        <w:spacing w:before="0"/>
        <w:jc w:val="center"/>
      </w:pPr>
      <w:r>
        <w:rPr/>
        <w:t>Contents</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850"/>
        <w:gridCol w:w="7540"/>
        <w:gridCol w:w="1020"/>
      </w:tblGrid>
      <w:tr>
        <w:trPr>
          <w:cantSplit w:val="true"/>
          <w:tblHeader w:val="true"/>
        </w:trPr>
        <w:tc>
          <w:tcPr>
            <w:tcW w:type="dxa" w:w="850"/>
            <w:shd w:val="clear" w:color="auto" w:fill="1F3A5F"/>
          </w:tcPr>
          <w:p>
            <w:pPr>
              <w:spacing w:after="20" w:before="20" w:line="240" w:lineRule="auto"/>
              <w:jc w:val="left"/>
            </w:pPr>
            <w:r>
              <w:rPr>
                <w:b/>
                <w:color w:val="FFFFFF"/>
                <w:sz w:val="21"/>
              </w:rPr>
              <w:t>S. No</w:t>
            </w:r>
          </w:p>
        </w:tc>
        <w:tc>
          <w:tcPr>
            <w:tcW w:type="dxa" w:w="7540"/>
            <w:shd w:val="clear" w:color="auto" w:fill="1F3A5F"/>
          </w:tcPr>
          <w:p>
            <w:pPr>
              <w:spacing w:after="20" w:before="20" w:line="240" w:lineRule="auto"/>
              <w:jc w:val="left"/>
            </w:pPr>
            <w:r>
              <w:rPr>
                <w:b/>
                <w:color w:val="FFFFFF"/>
                <w:sz w:val="21"/>
              </w:rPr>
              <w:t>Content</w:t>
            </w:r>
          </w:p>
        </w:tc>
        <w:tc>
          <w:tcPr>
            <w:tcW w:type="dxa" w:w="1020"/>
            <w:shd w:val="clear" w:color="auto" w:fill="1F3A5F"/>
          </w:tcPr>
          <w:p>
            <w:pPr>
              <w:spacing w:after="20" w:before="20" w:line="240" w:lineRule="auto"/>
              <w:jc w:val="left"/>
            </w:pPr>
            <w:r>
              <w:rPr>
                <w:b/>
                <w:color w:val="FFFFFF"/>
                <w:sz w:val="21"/>
              </w:rPr>
              <w:t>Pg. No</w:t>
            </w:r>
          </w:p>
        </w:tc>
      </w:tr>
      <w:tr>
        <w:trPr>
          <w:cantSplit w:val="true"/>
        </w:trPr>
        <w:tc>
          <w:tcPr>
            <w:tcW w:type="dxa" w:w="850"/>
          </w:tcPr>
          <w:p>
            <w:pPr>
              <w:spacing w:after="20" w:before="20" w:line="240" w:lineRule="auto"/>
              <w:jc w:val="left"/>
            </w:pPr>
            <w:r>
              <w:rPr>
                <w:sz w:val="21"/>
              </w:rPr>
              <w:t>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left"/>
            </w:pPr>
            <w:r>
              <w:rPr>
                <w:sz w:val="21"/>
              </w:rPr>
              <w:t>001</w:t>
            </w:r>
          </w:p>
        </w:tc>
      </w:tr>
      <w:tr>
        <w:trPr>
          <w:cantSplit w:val="true"/>
        </w:trPr>
        <w:tc>
          <w:tcPr>
            <w:tcW w:type="dxa" w:w="850"/>
            <w:shd w:val="clear" w:color="auto" w:fill="E8EEF5"/>
          </w:tcPr>
          <w:p>
            <w:pPr>
              <w:spacing w:after="20" w:before="20" w:line="240" w:lineRule="auto"/>
              <w:jc w:val="left"/>
            </w:pPr>
            <w:r>
              <w:rPr>
                <w:sz w:val="21"/>
              </w:rPr>
              <w:t>2</w:t>
            </w:r>
          </w:p>
        </w:tc>
        <w:tc>
          <w:tcPr>
            <w:tcW w:type="dxa" w:w="7540"/>
            <w:shd w:val="clear" w:color="auto" w:fill="E8EEF5"/>
          </w:tcPr>
          <w:p>
            <w:pPr>
              <w:spacing w:after="20" w:before="20" w:line="240" w:lineRule="auto"/>
              <w:jc w:val="left"/>
            </w:pPr>
            <w:r>
              <w:rPr>
                <w:sz w:val="21"/>
              </w:rPr>
              <w:t>Objectives of the Finance Policy</w:t>
            </w:r>
          </w:p>
        </w:tc>
        <w:tc>
          <w:tcPr>
            <w:tcW w:type="dxa" w:w="1020"/>
            <w:shd w:val="clear" w:color="auto" w:fill="E8EEF5"/>
          </w:tcPr>
          <w:p>
            <w:pPr>
              <w:spacing w:after="20" w:before="20" w:line="240" w:lineRule="auto"/>
              <w:jc w:val="left"/>
            </w:pPr>
            <w:r>
              <w:rPr>
                <w:sz w:val="21"/>
              </w:rPr>
              <w:t>002</w:t>
            </w:r>
          </w:p>
        </w:tc>
      </w:tr>
      <w:tr>
        <w:trPr>
          <w:cantSplit w:val="true"/>
        </w:trPr>
        <w:tc>
          <w:tcPr>
            <w:tcW w:type="dxa" w:w="850"/>
          </w:tcPr>
          <w:p>
            <w:pPr>
              <w:spacing w:after="20" w:before="20" w:line="240" w:lineRule="auto"/>
              <w:jc w:val="left"/>
            </w:pPr>
            <w:r>
              <w:rPr>
                <w:sz w:val="21"/>
              </w:rPr>
              <w:t>3</w:t>
            </w:r>
          </w:p>
        </w:tc>
        <w:tc>
          <w:tcPr>
            <w:tcW w:type="dxa" w:w="7540"/>
          </w:tcPr>
          <w:p>
            <w:pPr>
              <w:spacing w:after="20" w:before="20" w:line="240" w:lineRule="auto"/>
              <w:jc w:val="left"/>
            </w:pPr>
            <w:r>
              <w:rPr>
                <w:sz w:val="21"/>
              </w:rPr>
              <w:t>Scope of the Finance Policy</w:t>
            </w:r>
          </w:p>
        </w:tc>
        <w:tc>
          <w:tcPr>
            <w:tcW w:type="dxa" w:w="1020"/>
          </w:tcPr>
          <w:p>
            <w:pPr>
              <w:spacing w:after="20" w:before="20" w:line="240" w:lineRule="auto"/>
              <w:jc w:val="left"/>
            </w:pPr>
            <w:r>
              <w:rPr>
                <w:sz w:val="21"/>
              </w:rPr>
              <w:t>004</w:t>
            </w:r>
          </w:p>
        </w:tc>
      </w:tr>
      <w:tr>
        <w:trPr>
          <w:cantSplit w:val="true"/>
        </w:trPr>
        <w:tc>
          <w:tcPr>
            <w:tcW w:type="dxa" w:w="850"/>
            <w:shd w:val="clear" w:color="auto" w:fill="E8EEF5"/>
          </w:tcPr>
          <w:p>
            <w:pPr>
              <w:spacing w:after="20" w:before="20" w:line="240" w:lineRule="auto"/>
              <w:jc w:val="left"/>
            </w:pPr>
            <w:r>
              <w:rPr>
                <w:sz w:val="21"/>
              </w:rPr>
              <w:t>4</w:t>
            </w:r>
          </w:p>
        </w:tc>
        <w:tc>
          <w:tcPr>
            <w:tcW w:type="dxa" w:w="7540"/>
            <w:shd w:val="clear" w:color="auto" w:fill="E8EEF5"/>
          </w:tcPr>
          <w:p>
            <w:pPr>
              <w:spacing w:after="20" w:before="20" w:line="240" w:lineRule="auto"/>
              <w:jc w:val="left"/>
            </w:pPr>
            <w:r>
              <w:rPr>
                <w:sz w:val="21"/>
              </w:rPr>
              <w:t>Cash Inflow</w:t>
            </w:r>
          </w:p>
        </w:tc>
        <w:tc>
          <w:tcPr>
            <w:tcW w:type="dxa" w:w="1020"/>
            <w:shd w:val="clear" w:color="auto" w:fill="E8EEF5"/>
          </w:tcPr>
          <w:p>
            <w:pPr>
              <w:spacing w:after="20" w:before="20" w:line="240" w:lineRule="auto"/>
              <w:jc w:val="left"/>
            </w:pPr>
            <w:r>
              <w:rPr>
                <w:sz w:val="21"/>
              </w:rPr>
              <w:t>006</w:t>
            </w:r>
          </w:p>
        </w:tc>
      </w:tr>
      <w:tr>
        <w:trPr>
          <w:cantSplit w:val="true"/>
        </w:trPr>
        <w:tc>
          <w:tcPr>
            <w:tcW w:type="dxa" w:w="850"/>
          </w:tcPr>
          <w:p>
            <w:pPr>
              <w:spacing w:after="20" w:before="20" w:line="240" w:lineRule="auto"/>
              <w:jc w:val="left"/>
            </w:pPr>
            <w:r>
              <w:rPr>
                <w:sz w:val="21"/>
              </w:rPr>
              <w:t>5</w:t>
            </w:r>
          </w:p>
        </w:tc>
        <w:tc>
          <w:tcPr>
            <w:tcW w:type="dxa" w:w="7540"/>
          </w:tcPr>
          <w:p>
            <w:pPr>
              <w:spacing w:after="20" w:before="20" w:line="240" w:lineRule="auto"/>
              <w:jc w:val="left"/>
            </w:pPr>
            <w:r>
              <w:rPr>
                <w:sz w:val="21"/>
              </w:rPr>
              <w:t>Cash Outflow</w:t>
            </w:r>
          </w:p>
        </w:tc>
        <w:tc>
          <w:tcPr>
            <w:tcW w:type="dxa" w:w="1020"/>
          </w:tcPr>
          <w:p>
            <w:pPr>
              <w:spacing w:after="20" w:before="20" w:line="240" w:lineRule="auto"/>
              <w:jc w:val="left"/>
            </w:pPr>
            <w:r>
              <w:rPr>
                <w:sz w:val="21"/>
              </w:rPr>
              <w:t>008</w:t>
            </w:r>
          </w:p>
        </w:tc>
      </w:tr>
      <w:tr>
        <w:trPr>
          <w:cantSplit w:val="true"/>
        </w:trPr>
        <w:tc>
          <w:tcPr>
            <w:tcW w:type="dxa" w:w="850"/>
            <w:shd w:val="clear" w:color="auto" w:fill="E8EEF5"/>
          </w:tcPr>
          <w:p>
            <w:pPr>
              <w:spacing w:after="20" w:before="20" w:line="240" w:lineRule="auto"/>
              <w:jc w:val="left"/>
            </w:pPr>
            <w:r>
              <w:rPr>
                <w:sz w:val="21"/>
              </w:rPr>
              <w:t>6</w:t>
            </w:r>
          </w:p>
        </w:tc>
        <w:tc>
          <w:tcPr>
            <w:tcW w:type="dxa" w:w="7540"/>
            <w:shd w:val="clear" w:color="auto" w:fill="E8EEF5"/>
          </w:tcPr>
          <w:p>
            <w:pPr>
              <w:spacing w:after="20" w:before="20" w:line="240" w:lineRule="auto"/>
              <w:jc w:val="left"/>
            </w:pPr>
            <w:r>
              <w:rPr>
                <w:sz w:val="21"/>
              </w:rPr>
              <w:t>Monitoring of Policy Implementation</w:t>
            </w:r>
          </w:p>
        </w:tc>
        <w:tc>
          <w:tcPr>
            <w:tcW w:type="dxa" w:w="1020"/>
            <w:shd w:val="clear" w:color="auto" w:fill="E8EEF5"/>
          </w:tcPr>
          <w:p>
            <w:pPr>
              <w:spacing w:after="20" w:before="20" w:line="240" w:lineRule="auto"/>
              <w:jc w:val="left"/>
            </w:pPr>
            <w:r>
              <w:rPr>
                <w:sz w:val="21"/>
              </w:rPr>
              <w:t>010</w:t>
            </w:r>
          </w:p>
        </w:tc>
      </w:tr>
      <w:tr>
        <w:trPr>
          <w:cantSplit w:val="true"/>
        </w:trPr>
        <w:tc>
          <w:tcPr>
            <w:tcW w:type="dxa" w:w="850"/>
          </w:tcPr>
          <w:p>
            <w:pPr>
              <w:spacing w:after="20" w:before="20" w:line="240" w:lineRule="auto"/>
              <w:jc w:val="left"/>
            </w:pPr>
            <w:r>
              <w:rPr>
                <w:sz w:val="21"/>
              </w:rPr>
              <w:t>7</w:t>
            </w:r>
          </w:p>
        </w:tc>
        <w:tc>
          <w:tcPr>
            <w:tcW w:type="dxa" w:w="7540"/>
          </w:tcPr>
          <w:p>
            <w:pPr>
              <w:spacing w:after="20" w:before="20" w:line="240" w:lineRule="auto"/>
              <w:jc w:val="left"/>
            </w:pPr>
            <w:r>
              <w:rPr>
                <w:sz w:val="21"/>
              </w:rPr>
              <w:t>Powers and Duties of the Finance Officer</w:t>
            </w:r>
          </w:p>
        </w:tc>
        <w:tc>
          <w:tcPr>
            <w:tcW w:type="dxa" w:w="1020"/>
          </w:tcPr>
          <w:p>
            <w:pPr>
              <w:spacing w:after="20" w:before="20" w:line="240" w:lineRule="auto"/>
              <w:jc w:val="left"/>
            </w:pPr>
            <w:r>
              <w:rPr>
                <w:sz w:val="21"/>
              </w:rPr>
              <w:t>011</w:t>
            </w:r>
          </w:p>
        </w:tc>
      </w:tr>
      <w:tr>
        <w:trPr>
          <w:cantSplit w:val="true"/>
        </w:trPr>
        <w:tc>
          <w:tcPr>
            <w:tcW w:type="dxa" w:w="850"/>
            <w:shd w:val="clear" w:color="auto" w:fill="E8EEF5"/>
          </w:tcPr>
          <w:p>
            <w:pPr>
              <w:spacing w:after="20" w:before="20" w:line="240" w:lineRule="auto"/>
              <w:jc w:val="left"/>
            </w:pPr>
            <w:r>
              <w:rPr>
                <w:sz w:val="21"/>
              </w:rPr>
              <w:t>8</w:t>
            </w:r>
          </w:p>
        </w:tc>
        <w:tc>
          <w:tcPr>
            <w:tcW w:type="dxa" w:w="7540"/>
            <w:shd w:val="clear" w:color="auto" w:fill="E8EEF5"/>
          </w:tcPr>
          <w:p>
            <w:pPr>
              <w:spacing w:after="20" w:before="20" w:line="240" w:lineRule="auto"/>
              <w:jc w:val="left"/>
            </w:pPr>
            <w:r>
              <w:rPr>
                <w:sz w:val="21"/>
              </w:rPr>
              <w:t>Fee Payments by Students</w:t>
            </w:r>
          </w:p>
        </w:tc>
        <w:tc>
          <w:tcPr>
            <w:tcW w:type="dxa" w:w="1020"/>
            <w:shd w:val="clear" w:color="auto" w:fill="E8EEF5"/>
          </w:tcPr>
          <w:p>
            <w:pPr>
              <w:spacing w:after="20" w:before="20" w:line="240" w:lineRule="auto"/>
              <w:jc w:val="left"/>
            </w:pPr>
            <w:r>
              <w:rPr>
                <w:sz w:val="21"/>
              </w:rPr>
              <w:t>013</w:t>
            </w:r>
          </w:p>
        </w:tc>
      </w:tr>
      <w:tr>
        <w:trPr>
          <w:cantSplit w:val="true"/>
        </w:trPr>
        <w:tc>
          <w:tcPr>
            <w:tcW w:type="dxa" w:w="850"/>
          </w:tcPr>
          <w:p>
            <w:pPr>
              <w:spacing w:after="20" w:before="20" w:line="240" w:lineRule="auto"/>
              <w:jc w:val="left"/>
            </w:pPr>
            <w:r>
              <w:rPr>
                <w:sz w:val="21"/>
              </w:rPr>
              <w:t>9</w:t>
            </w:r>
          </w:p>
        </w:tc>
        <w:tc>
          <w:tcPr>
            <w:tcW w:type="dxa" w:w="7540"/>
          </w:tcPr>
          <w:p>
            <w:pPr>
              <w:spacing w:after="20" w:before="20" w:line="240" w:lineRule="auto"/>
              <w:jc w:val="left"/>
            </w:pPr>
            <w:r>
              <w:rPr>
                <w:sz w:val="21"/>
              </w:rPr>
              <w:t>Funds from External Organizations</w:t>
            </w:r>
          </w:p>
        </w:tc>
        <w:tc>
          <w:tcPr>
            <w:tcW w:type="dxa" w:w="1020"/>
          </w:tcPr>
          <w:p>
            <w:pPr>
              <w:spacing w:after="20" w:before="20" w:line="240" w:lineRule="auto"/>
              <w:jc w:val="left"/>
            </w:pPr>
            <w:r>
              <w:rPr>
                <w:sz w:val="21"/>
              </w:rPr>
              <w:t>014</w:t>
            </w:r>
          </w:p>
        </w:tc>
      </w:tr>
      <w:tr>
        <w:trPr>
          <w:cantSplit w:val="true"/>
        </w:trPr>
        <w:tc>
          <w:tcPr>
            <w:tcW w:type="dxa" w:w="850"/>
            <w:shd w:val="clear" w:color="auto" w:fill="E8EEF5"/>
          </w:tcPr>
          <w:p>
            <w:pPr>
              <w:spacing w:after="20" w:before="20" w:line="240" w:lineRule="auto"/>
              <w:jc w:val="left"/>
            </w:pPr>
            <w:r>
              <w:rPr>
                <w:sz w:val="21"/>
              </w:rPr>
              <w:t>10</w:t>
            </w:r>
          </w:p>
        </w:tc>
        <w:tc>
          <w:tcPr>
            <w:tcW w:type="dxa" w:w="7540"/>
            <w:shd w:val="clear" w:color="auto" w:fill="E8EEF5"/>
          </w:tcPr>
          <w:p>
            <w:pPr>
              <w:spacing w:after="20" w:before="20" w:line="240" w:lineRule="auto"/>
              <w:jc w:val="left"/>
            </w:pPr>
            <w:r>
              <w:rPr>
                <w:sz w:val="21"/>
              </w:rPr>
              <w:t>Policies Related to Payments</w:t>
            </w:r>
          </w:p>
        </w:tc>
        <w:tc>
          <w:tcPr>
            <w:tcW w:type="dxa" w:w="1020"/>
            <w:shd w:val="clear" w:color="auto" w:fill="E8EEF5"/>
          </w:tcPr>
          <w:p>
            <w:pPr>
              <w:spacing w:after="20" w:before="20" w:line="240" w:lineRule="auto"/>
              <w:jc w:val="left"/>
            </w:pPr>
            <w:r>
              <w:rPr>
                <w:sz w:val="21"/>
              </w:rPr>
              <w:t>015</w:t>
            </w:r>
          </w:p>
        </w:tc>
      </w:tr>
      <w:tr>
        <w:trPr>
          <w:cantSplit w:val="true"/>
        </w:trPr>
        <w:tc>
          <w:tcPr>
            <w:tcW w:type="dxa" w:w="850"/>
          </w:tcPr>
          <w:p>
            <w:pPr>
              <w:spacing w:after="20" w:before="20" w:line="240" w:lineRule="auto"/>
              <w:jc w:val="left"/>
            </w:pPr>
            <w:r>
              <w:rPr>
                <w:sz w:val="21"/>
              </w:rPr>
              <w:t>11</w:t>
            </w:r>
          </w:p>
        </w:tc>
        <w:tc>
          <w:tcPr>
            <w:tcW w:type="dxa" w:w="7540"/>
          </w:tcPr>
          <w:p>
            <w:pPr>
              <w:spacing w:after="20" w:before="20" w:line="240" w:lineRule="auto"/>
              <w:jc w:val="left"/>
            </w:pPr>
            <w:r>
              <w:rPr>
                <w:sz w:val="21"/>
              </w:rPr>
              <w:t>Construction-Related Payments Policy</w:t>
            </w:r>
          </w:p>
        </w:tc>
        <w:tc>
          <w:tcPr>
            <w:tcW w:type="dxa" w:w="1020"/>
          </w:tcPr>
          <w:p>
            <w:pPr>
              <w:spacing w:after="20" w:before="20" w:line="240" w:lineRule="auto"/>
              <w:jc w:val="left"/>
            </w:pPr>
            <w:r>
              <w:rPr>
                <w:sz w:val="21"/>
              </w:rPr>
              <w:t>016</w:t>
            </w:r>
          </w:p>
        </w:tc>
      </w:tr>
      <w:tr>
        <w:trPr>
          <w:cantSplit w:val="true"/>
        </w:trPr>
        <w:tc>
          <w:tcPr>
            <w:tcW w:type="dxa" w:w="850"/>
            <w:shd w:val="clear" w:color="auto" w:fill="E8EEF5"/>
          </w:tcPr>
          <w:p>
            <w:pPr>
              <w:spacing w:after="20" w:before="20" w:line="240" w:lineRule="auto"/>
              <w:jc w:val="left"/>
            </w:pPr>
            <w:r>
              <w:rPr>
                <w:sz w:val="21"/>
              </w:rPr>
              <w:t>12</w:t>
            </w:r>
          </w:p>
        </w:tc>
        <w:tc>
          <w:tcPr>
            <w:tcW w:type="dxa" w:w="7540"/>
            <w:shd w:val="clear" w:color="auto" w:fill="E8EEF5"/>
          </w:tcPr>
          <w:p>
            <w:pPr>
              <w:spacing w:after="20" w:before="20" w:line="240" w:lineRule="auto"/>
              <w:jc w:val="left"/>
            </w:pPr>
            <w:r>
              <w:rPr>
                <w:sz w:val="21"/>
              </w:rPr>
              <w:t>Purchase-Related Payments Policy</w:t>
            </w:r>
          </w:p>
        </w:tc>
        <w:tc>
          <w:tcPr>
            <w:tcW w:type="dxa" w:w="1020"/>
            <w:shd w:val="clear" w:color="auto" w:fill="E8EEF5"/>
          </w:tcPr>
          <w:p>
            <w:pPr>
              <w:spacing w:after="20" w:before="20" w:line="240" w:lineRule="auto"/>
              <w:jc w:val="left"/>
            </w:pPr>
            <w:r>
              <w:rPr>
                <w:sz w:val="21"/>
              </w:rPr>
              <w:t>017</w:t>
            </w:r>
          </w:p>
        </w:tc>
      </w:tr>
      <w:tr>
        <w:trPr>
          <w:cantSplit w:val="true"/>
        </w:trPr>
        <w:tc>
          <w:tcPr>
            <w:tcW w:type="dxa" w:w="850"/>
          </w:tcPr>
          <w:p>
            <w:pPr>
              <w:spacing w:after="20" w:before="20" w:line="240" w:lineRule="auto"/>
              <w:jc w:val="left"/>
            </w:pPr>
            <w:r>
              <w:rPr>
                <w:sz w:val="21"/>
              </w:rPr>
              <w:t>13</w:t>
            </w:r>
          </w:p>
        </w:tc>
        <w:tc>
          <w:tcPr>
            <w:tcW w:type="dxa" w:w="7540"/>
          </w:tcPr>
          <w:p>
            <w:pPr>
              <w:spacing w:after="20" w:before="20" w:line="240" w:lineRule="auto"/>
              <w:jc w:val="left"/>
            </w:pPr>
            <w:r>
              <w:rPr>
                <w:sz w:val="21"/>
              </w:rPr>
              <w:t>Operational Payments Policy</w:t>
            </w:r>
          </w:p>
        </w:tc>
        <w:tc>
          <w:tcPr>
            <w:tcW w:type="dxa" w:w="1020"/>
          </w:tcPr>
          <w:p>
            <w:pPr>
              <w:spacing w:after="20" w:before="20" w:line="240" w:lineRule="auto"/>
              <w:jc w:val="left"/>
            </w:pPr>
            <w:r>
              <w:rPr>
                <w:sz w:val="21"/>
              </w:rPr>
              <w:t>018</w:t>
            </w:r>
          </w:p>
        </w:tc>
      </w:tr>
      <w:tr>
        <w:trPr>
          <w:cantSplit w:val="true"/>
        </w:trPr>
        <w:tc>
          <w:tcPr>
            <w:tcW w:type="dxa" w:w="850"/>
            <w:shd w:val="clear" w:color="auto" w:fill="E8EEF5"/>
          </w:tcPr>
          <w:p>
            <w:pPr>
              <w:spacing w:after="20" w:before="20" w:line="240" w:lineRule="auto"/>
              <w:jc w:val="left"/>
            </w:pPr>
            <w:r>
              <w:rPr>
                <w:sz w:val="21"/>
              </w:rPr>
              <w:t>14</w:t>
            </w:r>
          </w:p>
        </w:tc>
        <w:tc>
          <w:tcPr>
            <w:tcW w:type="dxa" w:w="7540"/>
            <w:shd w:val="clear" w:color="auto" w:fill="E8EEF5"/>
          </w:tcPr>
          <w:p>
            <w:pPr>
              <w:spacing w:after="20" w:before="20" w:line="240" w:lineRule="auto"/>
              <w:jc w:val="left"/>
            </w:pPr>
            <w:r>
              <w:rPr>
                <w:sz w:val="21"/>
              </w:rPr>
              <w:t>Fixed Assets Policy</w:t>
            </w:r>
          </w:p>
        </w:tc>
        <w:tc>
          <w:tcPr>
            <w:tcW w:type="dxa" w:w="1020"/>
            <w:shd w:val="clear" w:color="auto" w:fill="E8EEF5"/>
          </w:tcPr>
          <w:p>
            <w:pPr>
              <w:spacing w:after="20" w:before="20" w:line="240" w:lineRule="auto"/>
              <w:jc w:val="left"/>
            </w:pPr>
            <w:r>
              <w:rPr>
                <w:sz w:val="21"/>
              </w:rPr>
              <w:t>019</w:t>
            </w:r>
          </w:p>
        </w:tc>
      </w:tr>
      <w:tr>
        <w:trPr>
          <w:cantSplit w:val="true"/>
        </w:trPr>
        <w:tc>
          <w:tcPr>
            <w:tcW w:type="dxa" w:w="850"/>
          </w:tcPr>
          <w:p>
            <w:pPr>
              <w:spacing w:after="20" w:before="20" w:line="240" w:lineRule="auto"/>
              <w:jc w:val="left"/>
            </w:pPr>
            <w:r>
              <w:rPr>
                <w:sz w:val="21"/>
              </w:rPr>
              <w:t>15</w:t>
            </w:r>
          </w:p>
        </w:tc>
        <w:tc>
          <w:tcPr>
            <w:tcW w:type="dxa" w:w="7540"/>
          </w:tcPr>
          <w:p>
            <w:pPr>
              <w:spacing w:after="20" w:before="20" w:line="240" w:lineRule="auto"/>
              <w:jc w:val="left"/>
            </w:pPr>
            <w:r>
              <w:rPr>
                <w:sz w:val="21"/>
              </w:rPr>
              <w:t>Internet Accounting Policy</w:t>
            </w:r>
          </w:p>
        </w:tc>
        <w:tc>
          <w:tcPr>
            <w:tcW w:type="dxa" w:w="1020"/>
          </w:tcPr>
          <w:p>
            <w:pPr>
              <w:spacing w:after="20" w:before="20" w:line="240" w:lineRule="auto"/>
              <w:jc w:val="left"/>
            </w:pPr>
            <w:r>
              <w:rPr>
                <w:sz w:val="21"/>
              </w:rPr>
              <w:t>027</w:t>
            </w:r>
          </w:p>
        </w:tc>
      </w:tr>
      <w:tr>
        <w:trPr>
          <w:cantSplit w:val="true"/>
        </w:trPr>
        <w:tc>
          <w:tcPr>
            <w:tcW w:type="dxa" w:w="850"/>
            <w:shd w:val="clear" w:color="auto" w:fill="E8EEF5"/>
          </w:tcPr>
          <w:p>
            <w:pPr>
              <w:spacing w:after="20" w:before="20" w:line="240" w:lineRule="auto"/>
              <w:jc w:val="left"/>
            </w:pPr>
            <w:r>
              <w:rPr>
                <w:sz w:val="21"/>
              </w:rPr>
              <w:t>16</w:t>
            </w:r>
          </w:p>
        </w:tc>
        <w:tc>
          <w:tcPr>
            <w:tcW w:type="dxa" w:w="7540"/>
            <w:shd w:val="clear" w:color="auto" w:fill="E8EEF5"/>
          </w:tcPr>
          <w:p>
            <w:pPr>
              <w:spacing w:after="20" w:before="20" w:line="240" w:lineRule="auto"/>
              <w:jc w:val="left"/>
            </w:pPr>
            <w:r>
              <w:rPr>
                <w:sz w:val="21"/>
              </w:rPr>
              <w:t>Printing and Stationery Accounting Policy</w:t>
            </w:r>
          </w:p>
        </w:tc>
        <w:tc>
          <w:tcPr>
            <w:tcW w:type="dxa" w:w="1020"/>
            <w:shd w:val="clear" w:color="auto" w:fill="E8EEF5"/>
          </w:tcPr>
          <w:p>
            <w:pPr>
              <w:spacing w:after="20" w:before="20" w:line="240" w:lineRule="auto"/>
              <w:jc w:val="left"/>
            </w:pPr>
            <w:r>
              <w:rPr>
                <w:sz w:val="21"/>
              </w:rPr>
              <w:t>028</w:t>
            </w:r>
          </w:p>
        </w:tc>
      </w:tr>
      <w:tr>
        <w:trPr>
          <w:cantSplit w:val="true"/>
        </w:trPr>
        <w:tc>
          <w:tcPr>
            <w:tcW w:type="dxa" w:w="850"/>
          </w:tcPr>
          <w:p>
            <w:pPr>
              <w:spacing w:after="20" w:before="20" w:line="240" w:lineRule="auto"/>
              <w:jc w:val="left"/>
            </w:pPr>
            <w:r>
              <w:rPr>
                <w:sz w:val="21"/>
              </w:rPr>
              <w:t>17</w:t>
            </w:r>
          </w:p>
        </w:tc>
        <w:tc>
          <w:tcPr>
            <w:tcW w:type="dxa" w:w="7540"/>
          </w:tcPr>
          <w:p>
            <w:pPr>
              <w:spacing w:after="20" w:before="20" w:line="240" w:lineRule="auto"/>
              <w:jc w:val="left"/>
            </w:pPr>
            <w:r>
              <w:rPr>
                <w:sz w:val="21"/>
              </w:rPr>
              <w:t>Maintenance Accounting Policy</w:t>
            </w:r>
          </w:p>
        </w:tc>
        <w:tc>
          <w:tcPr>
            <w:tcW w:type="dxa" w:w="1020"/>
          </w:tcPr>
          <w:p>
            <w:pPr>
              <w:spacing w:after="20" w:before="20" w:line="240" w:lineRule="auto"/>
              <w:jc w:val="left"/>
            </w:pPr>
            <w:r>
              <w:rPr>
                <w:sz w:val="21"/>
              </w:rPr>
              <w:t>029</w:t>
            </w:r>
          </w:p>
        </w:tc>
      </w:tr>
      <w:tr>
        <w:trPr>
          <w:cantSplit w:val="true"/>
        </w:trPr>
        <w:tc>
          <w:tcPr>
            <w:tcW w:type="dxa" w:w="850"/>
            <w:shd w:val="clear" w:color="auto" w:fill="E8EEF5"/>
          </w:tcPr>
          <w:p>
            <w:pPr>
              <w:spacing w:after="20" w:before="20" w:line="240" w:lineRule="auto"/>
              <w:jc w:val="left"/>
            </w:pPr>
            <w:r>
              <w:rPr>
                <w:sz w:val="21"/>
              </w:rPr>
              <w:t>18</w:t>
            </w:r>
          </w:p>
        </w:tc>
        <w:tc>
          <w:tcPr>
            <w:tcW w:type="dxa" w:w="7540"/>
            <w:shd w:val="clear" w:color="auto" w:fill="E8EEF5"/>
          </w:tcPr>
          <w:p>
            <w:pPr>
              <w:spacing w:after="20" w:before="20" w:line="240" w:lineRule="auto"/>
              <w:jc w:val="left"/>
            </w:pPr>
            <w:r>
              <w:rPr>
                <w:sz w:val="21"/>
              </w:rPr>
              <w:t>Financial Auditing Policies</w:t>
            </w:r>
          </w:p>
        </w:tc>
        <w:tc>
          <w:tcPr>
            <w:tcW w:type="dxa" w:w="1020"/>
            <w:shd w:val="clear" w:color="auto" w:fill="E8EEF5"/>
          </w:tcPr>
          <w:p>
            <w:pPr>
              <w:spacing w:after="20" w:before="20" w:line="240" w:lineRule="auto"/>
              <w:jc w:val="left"/>
            </w:pPr>
            <w:r>
              <w:rPr>
                <w:sz w:val="21"/>
              </w:rPr>
              <w:t>030</w:t>
            </w:r>
          </w:p>
        </w:tc>
      </w:tr>
      <w:tr>
        <w:trPr>
          <w:cantSplit w:val="true"/>
        </w:trPr>
        <w:tc>
          <w:tcPr>
            <w:tcW w:type="dxa" w:w="850"/>
          </w:tcPr>
          <w:p>
            <w:pPr>
              <w:spacing w:after="20" w:before="20" w:line="240" w:lineRule="auto"/>
              <w:jc w:val="left"/>
            </w:pPr>
            <w:r>
              <w:rPr>
                <w:sz w:val="21"/>
              </w:rPr>
              <w:t>19</w:t>
            </w:r>
          </w:p>
        </w:tc>
        <w:tc>
          <w:tcPr>
            <w:tcW w:type="dxa" w:w="7540"/>
          </w:tcPr>
          <w:p>
            <w:pPr>
              <w:spacing w:after="20" w:before="20" w:line="240" w:lineRule="auto"/>
              <w:jc w:val="left"/>
            </w:pPr>
            <w:r>
              <w:rPr>
                <w:sz w:val="21"/>
              </w:rPr>
              <w:t>General Principles to Be Followed in the Finance and Accounts Section</w:t>
            </w:r>
          </w:p>
        </w:tc>
        <w:tc>
          <w:tcPr>
            <w:tcW w:type="dxa" w:w="1020"/>
          </w:tcPr>
          <w:p>
            <w:pPr>
              <w:spacing w:after="20" w:before="20" w:line="240" w:lineRule="auto"/>
              <w:jc w:val="left"/>
            </w:pPr>
            <w:r>
              <w:rPr>
                <w:sz w:val="21"/>
              </w:rPr>
              <w:t>031</w:t>
            </w:r>
          </w:p>
        </w:tc>
      </w:tr>
      <w:tr>
        <w:trPr>
          <w:cantSplit w:val="true"/>
        </w:trPr>
        <w:tc>
          <w:tcPr>
            <w:tcW w:type="dxa" w:w="850"/>
            <w:shd w:val="clear" w:color="auto" w:fill="E8EEF5"/>
          </w:tcPr>
          <w:p>
            <w:pPr>
              <w:spacing w:after="20" w:before="20" w:line="240" w:lineRule="auto"/>
              <w:jc w:val="left"/>
            </w:pPr>
            <w:r>
              <w:rPr>
                <w:sz w:val="21"/>
              </w:rPr>
              <w:t>20</w:t>
            </w:r>
          </w:p>
        </w:tc>
        <w:tc>
          <w:tcPr>
            <w:tcW w:type="dxa" w:w="7540"/>
            <w:shd w:val="clear" w:color="auto" w:fill="E8EEF5"/>
          </w:tcPr>
          <w:p>
            <w:pPr>
              <w:spacing w:after="20" w:before="20" w:line="240" w:lineRule="auto"/>
              <w:jc w:val="left"/>
            </w:pPr>
            <w:r>
              <w:rPr>
                <w:sz w:val="21"/>
              </w:rPr>
              <w:t>Receipt Books Management Guidelines</w:t>
            </w:r>
          </w:p>
        </w:tc>
        <w:tc>
          <w:tcPr>
            <w:tcW w:type="dxa" w:w="1020"/>
            <w:shd w:val="clear" w:color="auto" w:fill="E8EEF5"/>
          </w:tcPr>
          <w:p>
            <w:pPr>
              <w:spacing w:after="20" w:before="20" w:line="240" w:lineRule="auto"/>
              <w:jc w:val="left"/>
            </w:pPr>
            <w:r>
              <w:rPr>
                <w:sz w:val="21"/>
              </w:rPr>
              <w:t>032</w:t>
            </w:r>
          </w:p>
        </w:tc>
      </w:tr>
      <w:tr>
        <w:trPr>
          <w:cantSplit w:val="true"/>
        </w:trPr>
        <w:tc>
          <w:tcPr>
            <w:tcW w:type="dxa" w:w="850"/>
          </w:tcPr>
          <w:p>
            <w:pPr>
              <w:spacing w:after="20" w:before="20" w:line="240" w:lineRule="auto"/>
              <w:jc w:val="left"/>
            </w:pPr>
            <w:r>
              <w:rPr>
                <w:sz w:val="21"/>
              </w:rPr>
              <w:t>21</w:t>
            </w:r>
          </w:p>
        </w:tc>
        <w:tc>
          <w:tcPr>
            <w:tcW w:type="dxa" w:w="7540"/>
          </w:tcPr>
          <w:p>
            <w:pPr>
              <w:spacing w:after="20" w:before="20" w:line="240" w:lineRule="auto"/>
              <w:jc w:val="left"/>
            </w:pPr>
            <w:r>
              <w:rPr>
                <w:sz w:val="21"/>
              </w:rPr>
              <w:t>Issue of Duplicate Receipts Guidelines</w:t>
            </w:r>
          </w:p>
        </w:tc>
        <w:tc>
          <w:tcPr>
            <w:tcW w:type="dxa" w:w="1020"/>
          </w:tcPr>
          <w:p>
            <w:pPr>
              <w:spacing w:after="20" w:before="20" w:line="240" w:lineRule="auto"/>
              <w:jc w:val="left"/>
            </w:pPr>
            <w:r>
              <w:rPr>
                <w:sz w:val="21"/>
              </w:rPr>
              <w:t>033</w:t>
            </w:r>
          </w:p>
        </w:tc>
      </w:tr>
      <w:tr>
        <w:trPr>
          <w:cantSplit w:val="true"/>
        </w:trPr>
        <w:tc>
          <w:tcPr>
            <w:tcW w:type="dxa" w:w="850"/>
            <w:shd w:val="clear" w:color="auto" w:fill="E8EEF5"/>
          </w:tcPr>
          <w:p>
            <w:pPr>
              <w:spacing w:after="20" w:before="20" w:line="240" w:lineRule="auto"/>
              <w:jc w:val="left"/>
            </w:pPr>
            <w:r>
              <w:rPr>
                <w:sz w:val="21"/>
              </w:rPr>
              <w:t>22</w:t>
            </w:r>
          </w:p>
        </w:tc>
        <w:tc>
          <w:tcPr>
            <w:tcW w:type="dxa" w:w="7540"/>
            <w:shd w:val="clear" w:color="auto" w:fill="E8EEF5"/>
          </w:tcPr>
          <w:p>
            <w:pPr>
              <w:spacing w:after="20" w:before="20" w:line="240" w:lineRule="auto"/>
              <w:jc w:val="left"/>
            </w:pPr>
            <w:r>
              <w:rPr>
                <w:sz w:val="21"/>
              </w:rPr>
              <w:t>General Principles Regarding Expenditure</w:t>
            </w:r>
          </w:p>
        </w:tc>
        <w:tc>
          <w:tcPr>
            <w:tcW w:type="dxa" w:w="1020"/>
            <w:shd w:val="clear" w:color="auto" w:fill="E8EEF5"/>
          </w:tcPr>
          <w:p>
            <w:pPr>
              <w:spacing w:after="20" w:before="20" w:line="240" w:lineRule="auto"/>
              <w:jc w:val="left"/>
            </w:pPr>
            <w:r>
              <w:rPr>
                <w:sz w:val="21"/>
              </w:rPr>
              <w:t>034</w:t>
            </w:r>
          </w:p>
        </w:tc>
      </w:tr>
      <w:tr>
        <w:trPr>
          <w:cantSplit w:val="true"/>
        </w:trPr>
        <w:tc>
          <w:tcPr>
            <w:tcW w:type="dxa" w:w="850"/>
          </w:tcPr>
          <w:p>
            <w:pPr>
              <w:spacing w:after="20" w:before="20" w:line="240" w:lineRule="auto"/>
              <w:jc w:val="left"/>
            </w:pPr>
            <w:r>
              <w:rPr>
                <w:sz w:val="21"/>
              </w:rPr>
              <w:t>23</w:t>
            </w:r>
          </w:p>
        </w:tc>
        <w:tc>
          <w:tcPr>
            <w:tcW w:type="dxa" w:w="7540"/>
          </w:tcPr>
          <w:p>
            <w:pPr>
              <w:spacing w:after="20" w:before="20" w:line="240" w:lineRule="auto"/>
              <w:jc w:val="left"/>
            </w:pPr>
            <w:r>
              <w:rPr>
                <w:sz w:val="21"/>
              </w:rPr>
              <w:t>Presentation of Bills</w:t>
            </w:r>
          </w:p>
        </w:tc>
        <w:tc>
          <w:tcPr>
            <w:tcW w:type="dxa" w:w="1020"/>
          </w:tcPr>
          <w:p>
            <w:pPr>
              <w:spacing w:after="20" w:before="20" w:line="240" w:lineRule="auto"/>
              <w:jc w:val="left"/>
            </w:pPr>
            <w:r>
              <w:rPr>
                <w:sz w:val="21"/>
              </w:rPr>
              <w:t>036</w:t>
            </w:r>
          </w:p>
        </w:tc>
      </w:tr>
      <w:tr>
        <w:trPr>
          <w:cantSplit w:val="true"/>
        </w:trPr>
        <w:tc>
          <w:tcPr>
            <w:tcW w:type="dxa" w:w="850"/>
            <w:shd w:val="clear" w:color="auto" w:fill="E8EEF5"/>
          </w:tcPr>
          <w:p>
            <w:pPr>
              <w:spacing w:after="20" w:before="20" w:line="240" w:lineRule="auto"/>
              <w:jc w:val="left"/>
            </w:pPr>
            <w:r>
              <w:rPr>
                <w:sz w:val="21"/>
              </w:rPr>
              <w:t>24</w:t>
            </w:r>
          </w:p>
        </w:tc>
        <w:tc>
          <w:tcPr>
            <w:tcW w:type="dxa" w:w="7540"/>
            <w:shd w:val="clear" w:color="auto" w:fill="E8EEF5"/>
          </w:tcPr>
          <w:p>
            <w:pPr>
              <w:spacing w:after="20" w:before="20" w:line="240" w:lineRule="auto"/>
              <w:jc w:val="left"/>
            </w:pPr>
            <w:r>
              <w:rPr>
                <w:sz w:val="21"/>
              </w:rPr>
              <w:t>Draw of Cheques</w:t>
            </w:r>
          </w:p>
        </w:tc>
        <w:tc>
          <w:tcPr>
            <w:tcW w:type="dxa" w:w="1020"/>
            <w:shd w:val="clear" w:color="auto" w:fill="E8EEF5"/>
          </w:tcPr>
          <w:p>
            <w:pPr>
              <w:spacing w:after="20" w:before="20" w:line="240" w:lineRule="auto"/>
              <w:jc w:val="left"/>
            </w:pPr>
            <w:r>
              <w:rPr>
                <w:sz w:val="21"/>
              </w:rPr>
              <w:t>037</w:t>
            </w:r>
          </w:p>
        </w:tc>
      </w:tr>
      <w:tr>
        <w:trPr>
          <w:cantSplit w:val="true"/>
        </w:trPr>
        <w:tc>
          <w:tcPr>
            <w:tcW w:type="dxa" w:w="850"/>
          </w:tcPr>
          <w:p>
            <w:pPr>
              <w:spacing w:after="20" w:before="20" w:line="240" w:lineRule="auto"/>
              <w:jc w:val="left"/>
            </w:pPr>
            <w:r>
              <w:rPr>
                <w:sz w:val="21"/>
              </w:rPr>
              <w:t>25</w:t>
            </w:r>
          </w:p>
        </w:tc>
        <w:tc>
          <w:tcPr>
            <w:tcW w:type="dxa" w:w="7540"/>
          </w:tcPr>
          <w:p>
            <w:pPr>
              <w:spacing w:after="20" w:before="20" w:line="240" w:lineRule="auto"/>
              <w:jc w:val="left"/>
            </w:pPr>
            <w:r>
              <w:rPr>
                <w:sz w:val="21"/>
              </w:rPr>
              <w:t>Cheque Books Management</w:t>
            </w:r>
          </w:p>
        </w:tc>
        <w:tc>
          <w:tcPr>
            <w:tcW w:type="dxa" w:w="1020"/>
          </w:tcPr>
          <w:p>
            <w:pPr>
              <w:spacing w:after="20" w:before="20" w:line="240" w:lineRule="auto"/>
              <w:jc w:val="left"/>
            </w:pPr>
            <w:r>
              <w:rPr>
                <w:sz w:val="21"/>
              </w:rPr>
              <w:t>038</w:t>
            </w:r>
          </w:p>
        </w:tc>
      </w:tr>
      <w:tr>
        <w:trPr>
          <w:cantSplit w:val="true"/>
        </w:trPr>
        <w:tc>
          <w:tcPr>
            <w:tcW w:type="dxa" w:w="850"/>
            <w:shd w:val="clear" w:color="auto" w:fill="E8EEF5"/>
          </w:tcPr>
          <w:p>
            <w:pPr>
              <w:spacing w:after="20" w:before="20" w:line="240" w:lineRule="auto"/>
              <w:jc w:val="left"/>
            </w:pPr>
            <w:r>
              <w:rPr>
                <w:sz w:val="21"/>
              </w:rPr>
              <w:t>26</w:t>
            </w:r>
          </w:p>
        </w:tc>
        <w:tc>
          <w:tcPr>
            <w:tcW w:type="dxa" w:w="7540"/>
            <w:shd w:val="clear" w:color="auto" w:fill="E8EEF5"/>
          </w:tcPr>
          <w:p>
            <w:pPr>
              <w:spacing w:after="20" w:before="20" w:line="240" w:lineRule="auto"/>
              <w:jc w:val="left"/>
            </w:pPr>
            <w:r>
              <w:rPr>
                <w:sz w:val="21"/>
              </w:rPr>
              <w:t>Currency of Cheques</w:t>
            </w:r>
          </w:p>
        </w:tc>
        <w:tc>
          <w:tcPr>
            <w:tcW w:type="dxa" w:w="1020"/>
            <w:shd w:val="clear" w:color="auto" w:fill="E8EEF5"/>
          </w:tcPr>
          <w:p>
            <w:pPr>
              <w:spacing w:after="20" w:before="20" w:line="240" w:lineRule="auto"/>
              <w:jc w:val="left"/>
            </w:pPr>
            <w:r>
              <w:rPr>
                <w:sz w:val="21"/>
              </w:rPr>
              <w:t>039</w:t>
            </w:r>
          </w:p>
        </w:tc>
      </w:tr>
      <w:tr>
        <w:trPr>
          <w:cantSplit w:val="true"/>
        </w:trPr>
        <w:tc>
          <w:tcPr>
            <w:tcW w:type="dxa" w:w="850"/>
          </w:tcPr>
          <w:p>
            <w:pPr>
              <w:spacing w:after="20" w:before="20" w:line="240" w:lineRule="auto"/>
              <w:jc w:val="left"/>
            </w:pPr>
            <w:r>
              <w:rPr>
                <w:sz w:val="21"/>
              </w:rPr>
              <w:t>27</w:t>
            </w:r>
          </w:p>
        </w:tc>
        <w:tc>
          <w:tcPr>
            <w:tcW w:type="dxa" w:w="7540"/>
          </w:tcPr>
          <w:p>
            <w:pPr>
              <w:spacing w:after="20" w:before="20" w:line="240" w:lineRule="auto"/>
              <w:jc w:val="left"/>
            </w:pPr>
            <w:r>
              <w:rPr>
                <w:sz w:val="21"/>
              </w:rPr>
              <w:t>Cancelled Cheques</w:t>
            </w:r>
          </w:p>
        </w:tc>
        <w:tc>
          <w:tcPr>
            <w:tcW w:type="dxa" w:w="1020"/>
          </w:tcPr>
          <w:p>
            <w:pPr>
              <w:spacing w:after="20" w:before="20" w:line="240" w:lineRule="auto"/>
              <w:jc w:val="left"/>
            </w:pPr>
            <w:r>
              <w:rPr>
                <w:sz w:val="21"/>
              </w:rPr>
              <w:t>040</w:t>
            </w:r>
          </w:p>
        </w:tc>
      </w:tr>
      <w:tr>
        <w:trPr>
          <w:cantSplit w:val="true"/>
        </w:trPr>
        <w:tc>
          <w:tcPr>
            <w:tcW w:type="dxa" w:w="850"/>
            <w:shd w:val="clear" w:color="auto" w:fill="E8EEF5"/>
          </w:tcPr>
          <w:p>
            <w:pPr>
              <w:spacing w:after="20" w:before="20" w:line="240" w:lineRule="auto"/>
              <w:jc w:val="left"/>
            </w:pPr>
            <w:r>
              <w:rPr>
                <w:sz w:val="21"/>
              </w:rPr>
              <w:t>28</w:t>
            </w:r>
          </w:p>
        </w:tc>
        <w:tc>
          <w:tcPr>
            <w:tcW w:type="dxa" w:w="7540"/>
            <w:shd w:val="clear" w:color="auto" w:fill="E8EEF5"/>
          </w:tcPr>
          <w:p>
            <w:pPr>
              <w:spacing w:after="20" w:before="20" w:line="240" w:lineRule="auto"/>
              <w:jc w:val="left"/>
            </w:pPr>
            <w:r>
              <w:rPr>
                <w:sz w:val="21"/>
              </w:rPr>
              <w:t>Cheques Lost/Destroyed</w:t>
            </w:r>
          </w:p>
        </w:tc>
        <w:tc>
          <w:tcPr>
            <w:tcW w:type="dxa" w:w="1020"/>
            <w:shd w:val="clear" w:color="auto" w:fill="E8EEF5"/>
          </w:tcPr>
          <w:p>
            <w:pPr>
              <w:spacing w:after="20" w:before="20" w:line="240" w:lineRule="auto"/>
              <w:jc w:val="left"/>
            </w:pPr>
            <w:r>
              <w:rPr>
                <w:sz w:val="21"/>
              </w:rPr>
              <w:t>041</w:t>
            </w:r>
          </w:p>
        </w:tc>
      </w:tr>
      <w:tr>
        <w:trPr>
          <w:cantSplit w:val="true"/>
        </w:trPr>
        <w:tc>
          <w:tcPr>
            <w:tcW w:type="dxa" w:w="850"/>
          </w:tcPr>
          <w:p>
            <w:pPr>
              <w:spacing w:after="20" w:before="20" w:line="240" w:lineRule="auto"/>
              <w:jc w:val="left"/>
            </w:pPr>
            <w:r>
              <w:rPr>
                <w:sz w:val="21"/>
              </w:rPr>
              <w:t>29</w:t>
            </w:r>
          </w:p>
        </w:tc>
        <w:tc>
          <w:tcPr>
            <w:tcW w:type="dxa" w:w="7540"/>
          </w:tcPr>
          <w:p>
            <w:pPr>
              <w:spacing w:after="20" w:before="20" w:line="240" w:lineRule="auto"/>
              <w:jc w:val="left"/>
            </w:pPr>
            <w:r>
              <w:rPr>
                <w:sz w:val="21"/>
              </w:rPr>
              <w:t>Unpaid Cheques</w:t>
            </w:r>
          </w:p>
        </w:tc>
        <w:tc>
          <w:tcPr>
            <w:tcW w:type="dxa" w:w="1020"/>
          </w:tcPr>
          <w:p>
            <w:pPr>
              <w:spacing w:after="20" w:before="20" w:line="240" w:lineRule="auto"/>
              <w:jc w:val="left"/>
            </w:pPr>
            <w:r>
              <w:rPr>
                <w:sz w:val="21"/>
              </w:rPr>
              <w:t>042</w:t>
            </w:r>
          </w:p>
        </w:tc>
      </w:tr>
      <w:tr>
        <w:trPr>
          <w:cantSplit w:val="true"/>
        </w:trPr>
        <w:tc>
          <w:tcPr>
            <w:tcW w:type="dxa" w:w="850"/>
            <w:shd w:val="clear" w:color="auto" w:fill="E8EEF5"/>
          </w:tcPr>
          <w:p>
            <w:pPr>
              <w:spacing w:after="20" w:before="20" w:line="240" w:lineRule="auto"/>
              <w:jc w:val="left"/>
            </w:pPr>
            <w:r>
              <w:rPr>
                <w:sz w:val="21"/>
              </w:rPr>
              <w:t>30</w:t>
            </w:r>
          </w:p>
        </w:tc>
        <w:tc>
          <w:tcPr>
            <w:tcW w:type="dxa" w:w="7540"/>
            <w:shd w:val="clear" w:color="auto" w:fill="E8EEF5"/>
          </w:tcPr>
          <w:p>
            <w:pPr>
              <w:spacing w:after="20" w:before="20" w:line="240" w:lineRule="auto"/>
              <w:jc w:val="left"/>
            </w:pPr>
            <w:r>
              <w:rPr>
                <w:sz w:val="21"/>
              </w:rPr>
              <w:t>Rounding Off of Amounts</w:t>
            </w:r>
          </w:p>
        </w:tc>
        <w:tc>
          <w:tcPr>
            <w:tcW w:type="dxa" w:w="1020"/>
            <w:shd w:val="clear" w:color="auto" w:fill="E8EEF5"/>
          </w:tcPr>
          <w:p>
            <w:pPr>
              <w:spacing w:after="20" w:before="20" w:line="240" w:lineRule="auto"/>
              <w:jc w:val="left"/>
            </w:pPr>
            <w:r>
              <w:rPr>
                <w:sz w:val="21"/>
              </w:rPr>
              <w:t>043</w:t>
            </w:r>
          </w:p>
        </w:tc>
      </w:tr>
      <w:tr>
        <w:trPr>
          <w:cantSplit w:val="true"/>
        </w:trPr>
        <w:tc>
          <w:tcPr>
            <w:tcW w:type="dxa" w:w="850"/>
          </w:tcPr>
          <w:p>
            <w:pPr>
              <w:spacing w:after="20" w:before="20" w:line="240" w:lineRule="auto"/>
              <w:jc w:val="left"/>
            </w:pPr>
            <w:r>
              <w:rPr>
                <w:sz w:val="21"/>
              </w:rPr>
              <w:t>31</w:t>
            </w:r>
          </w:p>
        </w:tc>
        <w:tc>
          <w:tcPr>
            <w:tcW w:type="dxa" w:w="7540"/>
          </w:tcPr>
          <w:p>
            <w:pPr>
              <w:spacing w:after="20" w:before="20" w:line="240" w:lineRule="auto"/>
              <w:jc w:val="left"/>
            </w:pPr>
            <w:r>
              <w:rPr>
                <w:sz w:val="21"/>
              </w:rPr>
              <w:t>Excess and Over Payments</w:t>
            </w:r>
          </w:p>
        </w:tc>
        <w:tc>
          <w:tcPr>
            <w:tcW w:type="dxa" w:w="1020"/>
          </w:tcPr>
          <w:p>
            <w:pPr>
              <w:spacing w:after="20" w:before="20" w:line="240" w:lineRule="auto"/>
              <w:jc w:val="left"/>
            </w:pPr>
            <w:r>
              <w:rPr>
                <w:sz w:val="21"/>
              </w:rPr>
              <w:t>044</w:t>
            </w:r>
          </w:p>
        </w:tc>
      </w:tr>
      <w:tr>
        <w:trPr>
          <w:cantSplit w:val="true"/>
        </w:trPr>
        <w:tc>
          <w:tcPr>
            <w:tcW w:type="dxa" w:w="850"/>
            <w:shd w:val="clear" w:color="auto" w:fill="E8EEF5"/>
          </w:tcPr>
          <w:p>
            <w:pPr>
              <w:spacing w:after="20" w:before="20" w:line="240" w:lineRule="auto"/>
              <w:jc w:val="left"/>
            </w:pPr>
            <w:r>
              <w:rPr>
                <w:sz w:val="21"/>
              </w:rPr>
              <w:t>32</w:t>
            </w:r>
          </w:p>
        </w:tc>
        <w:tc>
          <w:tcPr>
            <w:tcW w:type="dxa" w:w="7540"/>
            <w:shd w:val="clear" w:color="auto" w:fill="E8EEF5"/>
          </w:tcPr>
          <w:p>
            <w:pPr>
              <w:spacing w:after="20" w:before="20" w:line="240" w:lineRule="auto"/>
              <w:jc w:val="left"/>
            </w:pPr>
            <w:r>
              <w:rPr>
                <w:sz w:val="21"/>
              </w:rPr>
              <w:t>Arrear Claims</w:t>
            </w:r>
          </w:p>
        </w:tc>
        <w:tc>
          <w:tcPr>
            <w:tcW w:type="dxa" w:w="1020"/>
            <w:shd w:val="clear" w:color="auto" w:fill="E8EEF5"/>
          </w:tcPr>
          <w:p>
            <w:pPr>
              <w:spacing w:after="20" w:before="20" w:line="240" w:lineRule="auto"/>
              <w:jc w:val="left"/>
            </w:pPr>
            <w:r>
              <w:rPr>
                <w:sz w:val="21"/>
              </w:rPr>
              <w:t>045</w:t>
            </w:r>
          </w:p>
        </w:tc>
      </w:tr>
      <w:tr>
        <w:trPr>
          <w:cantSplit w:val="true"/>
        </w:trPr>
        <w:tc>
          <w:tcPr>
            <w:tcW w:type="dxa" w:w="850"/>
          </w:tcPr>
          <w:p>
            <w:pPr>
              <w:spacing w:after="20" w:before="20" w:line="240" w:lineRule="auto"/>
              <w:jc w:val="left"/>
            </w:pPr>
            <w:r>
              <w:rPr>
                <w:sz w:val="21"/>
              </w:rPr>
              <w:t>33</w:t>
            </w:r>
          </w:p>
        </w:tc>
        <w:tc>
          <w:tcPr>
            <w:tcW w:type="dxa" w:w="7540"/>
          </w:tcPr>
          <w:p>
            <w:pPr>
              <w:spacing w:after="20" w:before="20" w:line="240" w:lineRule="auto"/>
              <w:jc w:val="left"/>
            </w:pPr>
            <w:r>
              <w:rPr>
                <w:sz w:val="21"/>
              </w:rPr>
              <w:t>Losses</w:t>
            </w:r>
          </w:p>
        </w:tc>
        <w:tc>
          <w:tcPr>
            <w:tcW w:type="dxa" w:w="1020"/>
          </w:tcPr>
          <w:p>
            <w:pPr>
              <w:spacing w:after="20" w:before="20" w:line="240" w:lineRule="auto"/>
              <w:jc w:val="left"/>
            </w:pPr>
            <w:r>
              <w:rPr>
                <w:sz w:val="21"/>
              </w:rPr>
              <w:t>046</w:t>
            </w:r>
          </w:p>
        </w:tc>
      </w:tr>
      <w:tr>
        <w:trPr>
          <w:cantSplit w:val="true"/>
        </w:trPr>
        <w:tc>
          <w:tcPr>
            <w:tcW w:type="dxa" w:w="850"/>
            <w:shd w:val="clear" w:color="auto" w:fill="E8EEF5"/>
          </w:tcPr>
          <w:p>
            <w:pPr>
              <w:spacing w:after="20" w:before="20" w:line="240" w:lineRule="auto"/>
              <w:jc w:val="left"/>
            </w:pPr>
            <w:r>
              <w:rPr>
                <w:sz w:val="21"/>
              </w:rPr>
              <w:t>34</w:t>
            </w:r>
          </w:p>
        </w:tc>
        <w:tc>
          <w:tcPr>
            <w:tcW w:type="dxa" w:w="7540"/>
            <w:shd w:val="clear" w:color="auto" w:fill="E8EEF5"/>
          </w:tcPr>
          <w:p>
            <w:pPr>
              <w:spacing w:after="20" w:before="20" w:line="240" w:lineRule="auto"/>
              <w:jc w:val="left"/>
            </w:pPr>
            <w:r>
              <w:rPr>
                <w:sz w:val="21"/>
              </w:rPr>
              <w:t>Endowments for Medals and Prizes</w:t>
            </w:r>
          </w:p>
        </w:tc>
        <w:tc>
          <w:tcPr>
            <w:tcW w:type="dxa" w:w="1020"/>
            <w:shd w:val="clear" w:color="auto" w:fill="E8EEF5"/>
          </w:tcPr>
          <w:p>
            <w:pPr>
              <w:spacing w:after="20" w:before="20" w:line="240" w:lineRule="auto"/>
              <w:jc w:val="left"/>
            </w:pPr>
            <w:r>
              <w:rPr>
                <w:sz w:val="21"/>
              </w:rPr>
              <w:t>047</w:t>
            </w:r>
          </w:p>
        </w:tc>
      </w:tr>
      <w:tr>
        <w:trPr>
          <w:cantSplit w:val="true"/>
        </w:trPr>
        <w:tc>
          <w:tcPr>
            <w:tcW w:type="dxa" w:w="850"/>
          </w:tcPr>
          <w:p>
            <w:pPr>
              <w:spacing w:after="20" w:before="20" w:line="240" w:lineRule="auto"/>
              <w:jc w:val="left"/>
            </w:pPr>
            <w:r>
              <w:rPr>
                <w:sz w:val="21"/>
              </w:rPr>
              <w:t>35</w:t>
            </w:r>
          </w:p>
        </w:tc>
        <w:tc>
          <w:tcPr>
            <w:tcW w:type="dxa" w:w="7540"/>
          </w:tcPr>
          <w:p>
            <w:pPr>
              <w:spacing w:after="20" w:before="20" w:line="240" w:lineRule="auto"/>
              <w:jc w:val="left"/>
            </w:pPr>
            <w:r>
              <w:rPr>
                <w:sz w:val="21"/>
              </w:rPr>
              <w:t>Earnest Money Deposits (EMD)</w:t>
            </w:r>
          </w:p>
        </w:tc>
        <w:tc>
          <w:tcPr>
            <w:tcW w:type="dxa" w:w="1020"/>
          </w:tcPr>
          <w:p>
            <w:pPr>
              <w:spacing w:after="20" w:before="20" w:line="240" w:lineRule="auto"/>
              <w:jc w:val="left"/>
            </w:pPr>
            <w:r>
              <w:rPr>
                <w:sz w:val="21"/>
              </w:rPr>
              <w:t>048</w:t>
            </w:r>
          </w:p>
        </w:tc>
      </w:tr>
      <w:tr>
        <w:trPr>
          <w:cantSplit w:val="true"/>
        </w:trPr>
        <w:tc>
          <w:tcPr>
            <w:tcW w:type="dxa" w:w="850"/>
            <w:shd w:val="clear" w:color="auto" w:fill="E8EEF5"/>
          </w:tcPr>
          <w:p>
            <w:pPr>
              <w:spacing w:after="20" w:before="20" w:line="240" w:lineRule="auto"/>
              <w:jc w:val="left"/>
            </w:pPr>
            <w:r>
              <w:rPr>
                <w:sz w:val="21"/>
              </w:rPr>
              <w:t>36</w:t>
            </w:r>
          </w:p>
        </w:tc>
        <w:tc>
          <w:tcPr>
            <w:tcW w:type="dxa" w:w="7540"/>
            <w:shd w:val="clear" w:color="auto" w:fill="E8EEF5"/>
          </w:tcPr>
          <w:p>
            <w:pPr>
              <w:spacing w:after="20" w:before="20" w:line="240" w:lineRule="auto"/>
              <w:jc w:val="left"/>
            </w:pPr>
            <w:r>
              <w:rPr>
                <w:sz w:val="21"/>
              </w:rPr>
              <w:t>Establishment Procedures and Pay Bills</w:t>
            </w:r>
          </w:p>
        </w:tc>
        <w:tc>
          <w:tcPr>
            <w:tcW w:type="dxa" w:w="1020"/>
            <w:shd w:val="clear" w:color="auto" w:fill="E8EEF5"/>
          </w:tcPr>
          <w:p>
            <w:pPr>
              <w:spacing w:after="20" w:before="20" w:line="240" w:lineRule="auto"/>
              <w:jc w:val="left"/>
            </w:pPr>
            <w:r>
              <w:rPr>
                <w:sz w:val="21"/>
              </w:rPr>
              <w:t>049</w:t>
            </w:r>
          </w:p>
        </w:tc>
      </w:tr>
      <w:tr>
        <w:trPr>
          <w:cantSplit w:val="true"/>
        </w:trPr>
        <w:tc>
          <w:tcPr>
            <w:tcW w:type="dxa" w:w="850"/>
          </w:tcPr>
          <w:p>
            <w:pPr>
              <w:spacing w:after="20" w:before="20" w:line="240" w:lineRule="auto"/>
              <w:jc w:val="left"/>
            </w:pPr>
            <w:r>
              <w:rPr>
                <w:sz w:val="21"/>
              </w:rPr>
              <w:t>37</w:t>
            </w:r>
          </w:p>
        </w:tc>
        <w:tc>
          <w:tcPr>
            <w:tcW w:type="dxa" w:w="7540"/>
          </w:tcPr>
          <w:p>
            <w:pPr>
              <w:spacing w:after="20" w:before="20" w:line="240" w:lineRule="auto"/>
              <w:jc w:val="left"/>
            </w:pPr>
            <w:r>
              <w:rPr>
                <w:sz w:val="21"/>
              </w:rPr>
              <w:t>Accounts and Bill Passing Procedures</w:t>
            </w:r>
          </w:p>
        </w:tc>
        <w:tc>
          <w:tcPr>
            <w:tcW w:type="dxa" w:w="1020"/>
          </w:tcPr>
          <w:p>
            <w:pPr>
              <w:spacing w:after="20" w:before="20" w:line="240" w:lineRule="auto"/>
              <w:jc w:val="left"/>
            </w:pPr>
            <w:r>
              <w:rPr>
                <w:sz w:val="21"/>
              </w:rPr>
              <w:t>051</w:t>
            </w:r>
          </w:p>
        </w:tc>
      </w:tr>
      <w:tr>
        <w:trPr>
          <w:cantSplit w:val="true"/>
        </w:trPr>
        <w:tc>
          <w:tcPr>
            <w:tcW w:type="dxa" w:w="850"/>
            <w:shd w:val="clear" w:color="auto" w:fill="E8EEF5"/>
          </w:tcPr>
          <w:p>
            <w:pPr>
              <w:spacing w:after="20" w:before="20" w:line="240" w:lineRule="auto"/>
              <w:jc w:val="left"/>
            </w:pPr>
            <w:r>
              <w:rPr>
                <w:sz w:val="21"/>
              </w:rPr>
              <w:t>38</w:t>
            </w:r>
          </w:p>
        </w:tc>
        <w:tc>
          <w:tcPr>
            <w:tcW w:type="dxa" w:w="7540"/>
            <w:shd w:val="clear" w:color="auto" w:fill="E8EEF5"/>
          </w:tcPr>
          <w:p>
            <w:pPr>
              <w:spacing w:after="20" w:before="20" w:line="240" w:lineRule="auto"/>
              <w:jc w:val="left"/>
            </w:pPr>
            <w:r>
              <w:rPr>
                <w:sz w:val="21"/>
              </w:rPr>
              <w:t>Unserviceable Articles Disposal Procedure</w:t>
            </w:r>
          </w:p>
        </w:tc>
        <w:tc>
          <w:tcPr>
            <w:tcW w:type="dxa" w:w="1020"/>
            <w:shd w:val="clear" w:color="auto" w:fill="E8EEF5"/>
          </w:tcPr>
          <w:p>
            <w:pPr>
              <w:spacing w:after="20" w:before="20" w:line="240" w:lineRule="auto"/>
              <w:jc w:val="left"/>
            </w:pPr>
            <w:r>
              <w:rPr>
                <w:sz w:val="21"/>
              </w:rPr>
              <w:t>052</w:t>
            </w:r>
          </w:p>
        </w:tc>
      </w:tr>
      <w:tr>
        <w:trPr>
          <w:cantSplit w:val="true"/>
        </w:trPr>
        <w:tc>
          <w:tcPr>
            <w:tcW w:type="dxa" w:w="850"/>
          </w:tcPr>
          <w:p>
            <w:pPr>
              <w:spacing w:after="20" w:before="20" w:line="240" w:lineRule="auto"/>
              <w:jc w:val="left"/>
            </w:pPr>
            <w:r>
              <w:rPr>
                <w:sz w:val="21"/>
              </w:rPr>
              <w:t>39</w:t>
            </w:r>
          </w:p>
        </w:tc>
        <w:tc>
          <w:tcPr>
            <w:tcW w:type="dxa" w:w="7540"/>
          </w:tcPr>
          <w:p>
            <w:pPr>
              <w:spacing w:after="20" w:before="20" w:line="240" w:lineRule="auto"/>
              <w:jc w:val="left"/>
            </w:pPr>
            <w:r>
              <w:rPr>
                <w:sz w:val="21"/>
              </w:rPr>
              <w:t>Scrutiny of Bills for Purchase</w:t>
            </w:r>
          </w:p>
        </w:tc>
        <w:tc>
          <w:tcPr>
            <w:tcW w:type="dxa" w:w="1020"/>
          </w:tcPr>
          <w:p>
            <w:pPr>
              <w:spacing w:after="20" w:before="20" w:line="240" w:lineRule="auto"/>
              <w:jc w:val="left"/>
            </w:pPr>
            <w:r>
              <w:rPr>
                <w:sz w:val="21"/>
              </w:rPr>
              <w:t>053</w:t>
            </w:r>
          </w:p>
        </w:tc>
      </w:tr>
      <w:tr>
        <w:trPr>
          <w:cantSplit w:val="true"/>
        </w:trPr>
        <w:tc>
          <w:tcPr>
            <w:tcW w:type="dxa" w:w="850"/>
            <w:shd w:val="clear" w:color="auto" w:fill="E8EEF5"/>
          </w:tcPr>
          <w:p>
            <w:pPr>
              <w:spacing w:after="20" w:before="20" w:line="240" w:lineRule="auto"/>
              <w:jc w:val="left"/>
            </w:pPr>
            <w:r>
              <w:rPr>
                <w:sz w:val="21"/>
              </w:rPr>
              <w:t>40</w:t>
            </w:r>
          </w:p>
        </w:tc>
        <w:tc>
          <w:tcPr>
            <w:tcW w:type="dxa" w:w="7540"/>
            <w:shd w:val="clear" w:color="auto" w:fill="E8EEF5"/>
          </w:tcPr>
          <w:p>
            <w:pPr>
              <w:spacing w:after="20" w:before="20" w:line="240" w:lineRule="auto"/>
              <w:jc w:val="left"/>
            </w:pPr>
            <w:r>
              <w:rPr>
                <w:sz w:val="21"/>
              </w:rPr>
              <w:t>Payroll-Salaries Policy</w:t>
            </w:r>
          </w:p>
        </w:tc>
        <w:tc>
          <w:tcPr>
            <w:tcW w:type="dxa" w:w="1020"/>
            <w:shd w:val="clear" w:color="auto" w:fill="E8EEF5"/>
          </w:tcPr>
          <w:p>
            <w:pPr>
              <w:spacing w:after="20" w:before="20" w:line="240" w:lineRule="auto"/>
              <w:jc w:val="left"/>
            </w:pPr>
            <w:r>
              <w:rPr>
                <w:sz w:val="21"/>
              </w:rPr>
              <w:t>054</w:t>
            </w:r>
          </w:p>
        </w:tc>
      </w:tr>
      <w:tr>
        <w:trPr>
          <w:cantSplit w:val="true"/>
        </w:trPr>
        <w:tc>
          <w:tcPr>
            <w:tcW w:type="dxa" w:w="850"/>
          </w:tcPr>
          <w:p>
            <w:pPr>
              <w:spacing w:after="20" w:before="20" w:line="240" w:lineRule="auto"/>
              <w:jc w:val="left"/>
            </w:pPr>
            <w:r>
              <w:rPr>
                <w:sz w:val="21"/>
              </w:rPr>
              <w:t>41</w:t>
            </w:r>
          </w:p>
        </w:tc>
        <w:tc>
          <w:tcPr>
            <w:tcW w:type="dxa" w:w="7540"/>
          </w:tcPr>
          <w:p>
            <w:pPr>
              <w:spacing w:after="20" w:before="20" w:line="240" w:lineRule="auto"/>
              <w:jc w:val="left"/>
            </w:pPr>
            <w:r>
              <w:rPr>
                <w:sz w:val="21"/>
              </w:rPr>
              <w:t>Financial Resources Overview</w:t>
            </w:r>
          </w:p>
        </w:tc>
        <w:tc>
          <w:tcPr>
            <w:tcW w:type="dxa" w:w="1020"/>
          </w:tcPr>
          <w:p>
            <w:pPr>
              <w:spacing w:after="20" w:before="20" w:line="240" w:lineRule="auto"/>
              <w:jc w:val="left"/>
            </w:pPr>
            <w:r>
              <w:rPr>
                <w:sz w:val="21"/>
              </w:rPr>
              <w:t>060</w:t>
            </w:r>
          </w:p>
        </w:tc>
      </w:tr>
      <w:tr>
        <w:trPr>
          <w:cantSplit w:val="true"/>
        </w:trPr>
        <w:tc>
          <w:tcPr>
            <w:tcW w:type="dxa" w:w="850"/>
            <w:shd w:val="clear" w:color="auto" w:fill="E8EEF5"/>
          </w:tcPr>
          <w:p>
            <w:pPr>
              <w:spacing w:after="20" w:before="20" w:line="240" w:lineRule="auto"/>
              <w:jc w:val="left"/>
            </w:pPr>
            <w:r>
              <w:rPr>
                <w:sz w:val="21"/>
              </w:rPr>
              <w:t>42</w:t>
            </w:r>
          </w:p>
        </w:tc>
        <w:tc>
          <w:tcPr>
            <w:tcW w:type="dxa" w:w="7540"/>
            <w:shd w:val="clear" w:color="auto" w:fill="E8EEF5"/>
          </w:tcPr>
          <w:p>
            <w:pPr>
              <w:spacing w:after="20" w:before="20" w:line="240" w:lineRule="auto"/>
              <w:jc w:val="left"/>
            </w:pPr>
            <w:r>
              <w:rPr>
                <w:sz w:val="21"/>
              </w:rPr>
              <w:t>Stocks, Stock Ledgers, and Audit Procedures</w:t>
            </w:r>
          </w:p>
        </w:tc>
        <w:tc>
          <w:tcPr>
            <w:tcW w:type="dxa" w:w="1020"/>
            <w:shd w:val="clear" w:color="auto" w:fill="E8EEF5"/>
          </w:tcPr>
          <w:p>
            <w:pPr>
              <w:spacing w:after="20" w:before="20" w:line="240" w:lineRule="auto"/>
              <w:jc w:val="left"/>
            </w:pPr>
            <w:r>
              <w:rPr>
                <w:sz w:val="21"/>
              </w:rPr>
              <w:t>062</w:t>
            </w:r>
          </w:p>
        </w:tc>
      </w:tr>
      <w:tr>
        <w:trPr>
          <w:cantSplit w:val="true"/>
        </w:trPr>
        <w:tc>
          <w:tcPr>
            <w:tcW w:type="dxa" w:w="850"/>
          </w:tcPr>
          <w:p>
            <w:pPr>
              <w:spacing w:after="20" w:before="20" w:line="240" w:lineRule="auto"/>
              <w:jc w:val="left"/>
            </w:pPr>
            <w:r>
              <w:rPr>
                <w:sz w:val="21"/>
              </w:rPr>
              <w:t>43</w:t>
            </w:r>
          </w:p>
        </w:tc>
        <w:tc>
          <w:tcPr>
            <w:tcW w:type="dxa" w:w="7540"/>
          </w:tcPr>
          <w:p>
            <w:pPr>
              <w:spacing w:after="20" w:before="20" w:line="240" w:lineRule="auto"/>
              <w:jc w:val="left"/>
            </w:pPr>
            <w:r>
              <w:rPr>
                <w:sz w:val="21"/>
              </w:rPr>
              <w:t>Departmental Guests and Expenditure Management</w:t>
            </w:r>
          </w:p>
        </w:tc>
        <w:tc>
          <w:tcPr>
            <w:tcW w:type="dxa" w:w="1020"/>
          </w:tcPr>
          <w:p>
            <w:pPr>
              <w:spacing w:after="20" w:before="20" w:line="240" w:lineRule="auto"/>
              <w:jc w:val="left"/>
            </w:pPr>
            <w:r>
              <w:rPr>
                <w:sz w:val="21"/>
              </w:rPr>
              <w:t>064</w:t>
            </w:r>
          </w:p>
        </w:tc>
      </w:tr>
      <w:tr>
        <w:trPr>
          <w:cantSplit w:val="true"/>
        </w:trPr>
        <w:tc>
          <w:tcPr>
            <w:tcW w:type="dxa" w:w="850"/>
            <w:shd w:val="clear" w:color="auto" w:fill="E8EEF5"/>
          </w:tcPr>
          <w:p>
            <w:pPr>
              <w:spacing w:after="20" w:before="20" w:line="240" w:lineRule="auto"/>
              <w:jc w:val="left"/>
            </w:pPr>
            <w:r>
              <w:rPr>
                <w:sz w:val="21"/>
              </w:rPr>
              <w:t>44</w:t>
            </w:r>
          </w:p>
        </w:tc>
        <w:tc>
          <w:tcPr>
            <w:tcW w:type="dxa" w:w="7540"/>
            <w:shd w:val="clear" w:color="auto" w:fill="E8EEF5"/>
          </w:tcPr>
          <w:p>
            <w:pPr>
              <w:spacing w:after="20" w:before="20" w:line="240" w:lineRule="auto"/>
              <w:jc w:val="left"/>
            </w:pPr>
            <w:r>
              <w:rPr>
                <w:sz w:val="21"/>
              </w:rPr>
              <w:t>Industrial Tours and Visits Guidelines</w:t>
            </w:r>
          </w:p>
        </w:tc>
        <w:tc>
          <w:tcPr>
            <w:tcW w:type="dxa" w:w="1020"/>
            <w:shd w:val="clear" w:color="auto" w:fill="E8EEF5"/>
          </w:tcPr>
          <w:p>
            <w:pPr>
              <w:spacing w:after="20" w:before="20" w:line="240" w:lineRule="auto"/>
              <w:jc w:val="left"/>
            </w:pPr>
            <w:r>
              <w:rPr>
                <w:sz w:val="21"/>
              </w:rPr>
              <w:t>065</w:t>
            </w:r>
          </w:p>
        </w:tc>
      </w:tr>
      <w:tr>
        <w:trPr>
          <w:cantSplit w:val="true"/>
        </w:trPr>
        <w:tc>
          <w:tcPr>
            <w:tcW w:type="dxa" w:w="850"/>
          </w:tcPr>
          <w:p>
            <w:pPr>
              <w:spacing w:after="20" w:before="20" w:line="240" w:lineRule="auto"/>
              <w:jc w:val="left"/>
            </w:pPr>
            <w:r>
              <w:rPr>
                <w:sz w:val="21"/>
              </w:rPr>
              <w:t>45</w:t>
            </w:r>
          </w:p>
        </w:tc>
        <w:tc>
          <w:tcPr>
            <w:tcW w:type="dxa" w:w="7540"/>
          </w:tcPr>
          <w:p>
            <w:pPr>
              <w:spacing w:after="20" w:before="20" w:line="240" w:lineRule="auto"/>
              <w:jc w:val="left"/>
            </w:pPr>
            <w:r>
              <w:rPr>
                <w:sz w:val="21"/>
              </w:rPr>
              <w:t>Loans, Advance and Deposits Policy</w:t>
            </w:r>
          </w:p>
        </w:tc>
        <w:tc>
          <w:tcPr>
            <w:tcW w:type="dxa" w:w="1020"/>
          </w:tcPr>
          <w:p>
            <w:pPr>
              <w:spacing w:after="20" w:before="20" w:line="240" w:lineRule="auto"/>
              <w:jc w:val="left"/>
            </w:pPr>
            <w:r>
              <w:rPr>
                <w:sz w:val="21"/>
              </w:rPr>
              <w:t>066</w:t>
            </w:r>
          </w:p>
        </w:tc>
      </w:tr>
      <w:tr>
        <w:trPr>
          <w:cantSplit w:val="true"/>
        </w:trPr>
        <w:tc>
          <w:tcPr>
            <w:tcW w:type="dxa" w:w="850"/>
            <w:shd w:val="clear" w:color="auto" w:fill="E8EEF5"/>
          </w:tcPr>
          <w:p>
            <w:pPr>
              <w:spacing w:after="20" w:before="20" w:line="240" w:lineRule="auto"/>
              <w:jc w:val="left"/>
            </w:pPr>
            <w:r>
              <w:rPr>
                <w:sz w:val="21"/>
              </w:rPr>
              <w:t>46</w:t>
            </w:r>
          </w:p>
        </w:tc>
        <w:tc>
          <w:tcPr>
            <w:tcW w:type="dxa" w:w="7540"/>
            <w:shd w:val="clear" w:color="auto" w:fill="E8EEF5"/>
          </w:tcPr>
          <w:p>
            <w:pPr>
              <w:spacing w:after="20" w:before="20" w:line="240" w:lineRule="auto"/>
              <w:jc w:val="left"/>
            </w:pPr>
            <w:r>
              <w:rPr>
                <w:sz w:val="21"/>
              </w:rPr>
              <w:t>Gifts &amp; Donation Policy</w:t>
            </w:r>
          </w:p>
        </w:tc>
        <w:tc>
          <w:tcPr>
            <w:tcW w:type="dxa" w:w="1020"/>
            <w:shd w:val="clear" w:color="auto" w:fill="E8EEF5"/>
          </w:tcPr>
          <w:p>
            <w:pPr>
              <w:spacing w:after="20" w:before="20" w:line="240" w:lineRule="auto"/>
              <w:jc w:val="left"/>
            </w:pPr>
            <w:r>
              <w:rPr>
                <w:sz w:val="21"/>
              </w:rPr>
              <w:t>080</w:t>
            </w:r>
          </w:p>
        </w:tc>
      </w:tr>
      <w:tr>
        <w:trPr>
          <w:cantSplit w:val="true"/>
        </w:trPr>
        <w:tc>
          <w:tcPr>
            <w:tcW w:type="dxa" w:w="850"/>
          </w:tcPr>
          <w:p>
            <w:pPr>
              <w:spacing w:after="20" w:before="20" w:line="240" w:lineRule="auto"/>
              <w:jc w:val="left"/>
            </w:pPr>
            <w:r>
              <w:rPr>
                <w:sz w:val="21"/>
              </w:rPr>
              <w:t>47</w:t>
            </w:r>
          </w:p>
        </w:tc>
        <w:tc>
          <w:tcPr>
            <w:tcW w:type="dxa" w:w="7540"/>
          </w:tcPr>
          <w:p>
            <w:pPr>
              <w:spacing w:after="20" w:before="20" w:line="240" w:lineRule="auto"/>
              <w:jc w:val="left"/>
            </w:pPr>
            <w:r>
              <w:rPr>
                <w:sz w:val="21"/>
              </w:rPr>
              <w:t>Grants Policy</w:t>
            </w:r>
          </w:p>
        </w:tc>
        <w:tc>
          <w:tcPr>
            <w:tcW w:type="dxa" w:w="1020"/>
          </w:tcPr>
          <w:p>
            <w:pPr>
              <w:spacing w:after="20" w:before="20" w:line="240" w:lineRule="auto"/>
              <w:jc w:val="left"/>
            </w:pPr>
            <w:r>
              <w:rPr>
                <w:sz w:val="21"/>
              </w:rPr>
              <w:t>086</w:t>
            </w:r>
          </w:p>
        </w:tc>
      </w:tr>
      <w:tr>
        <w:trPr>
          <w:cantSplit w:val="true"/>
        </w:trPr>
        <w:tc>
          <w:tcPr>
            <w:tcW w:type="dxa" w:w="850"/>
            <w:shd w:val="clear" w:color="auto" w:fill="E8EEF5"/>
          </w:tcPr>
          <w:p>
            <w:pPr>
              <w:spacing w:after="20" w:before="20" w:line="240" w:lineRule="auto"/>
              <w:jc w:val="left"/>
            </w:pPr>
            <w:r>
              <w:rPr>
                <w:sz w:val="21"/>
              </w:rPr>
              <w:t>48</w:t>
            </w:r>
          </w:p>
        </w:tc>
        <w:tc>
          <w:tcPr>
            <w:tcW w:type="dxa" w:w="7540"/>
            <w:shd w:val="clear" w:color="auto" w:fill="E8EEF5"/>
          </w:tcPr>
          <w:p>
            <w:pPr>
              <w:spacing w:after="20" w:before="20" w:line="240" w:lineRule="auto"/>
              <w:jc w:val="left"/>
            </w:pPr>
            <w:r>
              <w:rPr>
                <w:sz w:val="21"/>
              </w:rPr>
              <w:t>Delegation of Financial Powers in HEIs</w:t>
            </w:r>
          </w:p>
        </w:tc>
        <w:tc>
          <w:tcPr>
            <w:tcW w:type="dxa" w:w="1020"/>
            <w:shd w:val="clear" w:color="auto" w:fill="E8EEF5"/>
          </w:tcPr>
          <w:p>
            <w:pPr>
              <w:spacing w:after="20" w:before="20" w:line="240" w:lineRule="auto"/>
              <w:jc w:val="left"/>
            </w:pPr>
            <w:r>
              <w:rPr>
                <w:sz w:val="21"/>
              </w:rPr>
              <w:t>091</w:t>
            </w:r>
          </w:p>
        </w:tc>
      </w:tr>
      <w:tr>
        <w:trPr>
          <w:cantSplit w:val="true"/>
        </w:trPr>
        <w:tc>
          <w:tcPr>
            <w:tcW w:type="dxa" w:w="850"/>
          </w:tcPr>
          <w:p>
            <w:pPr>
              <w:spacing w:after="20" w:before="20" w:line="240" w:lineRule="auto"/>
              <w:jc w:val="left"/>
            </w:pPr>
            <w:r>
              <w:rPr>
                <w:sz w:val="21"/>
              </w:rPr>
              <w:t>49</w:t>
            </w:r>
          </w:p>
        </w:tc>
        <w:tc>
          <w:tcPr>
            <w:tcW w:type="dxa" w:w="7540"/>
          </w:tcPr>
          <w:p>
            <w:pPr>
              <w:spacing w:after="20" w:before="20" w:line="240" w:lineRule="auto"/>
              <w:jc w:val="left"/>
            </w:pPr>
            <w:r>
              <w:rPr>
                <w:sz w:val="21"/>
              </w:rPr>
              <w:t>Imprest Money Policy</w:t>
            </w:r>
          </w:p>
        </w:tc>
        <w:tc>
          <w:tcPr>
            <w:tcW w:type="dxa" w:w="1020"/>
          </w:tcPr>
          <w:p>
            <w:pPr>
              <w:spacing w:after="20" w:before="20" w:line="240" w:lineRule="auto"/>
              <w:jc w:val="left"/>
            </w:pPr>
            <w:r>
              <w:rPr>
                <w:sz w:val="21"/>
              </w:rPr>
              <w:t>093</w:t>
            </w:r>
          </w:p>
        </w:tc>
      </w:tr>
      <w:tr>
        <w:trPr>
          <w:cantSplit w:val="true"/>
        </w:trPr>
        <w:tc>
          <w:tcPr>
            <w:tcW w:type="dxa" w:w="850"/>
            <w:shd w:val="clear" w:color="auto" w:fill="E8EEF5"/>
          </w:tcPr>
          <w:p>
            <w:pPr>
              <w:spacing w:after="20" w:before="20" w:line="240" w:lineRule="auto"/>
              <w:jc w:val="left"/>
            </w:pPr>
            <w:r>
              <w:rPr>
                <w:sz w:val="21"/>
              </w:rPr>
              <w:t>50</w:t>
            </w:r>
          </w:p>
        </w:tc>
        <w:tc>
          <w:tcPr>
            <w:tcW w:type="dxa" w:w="7540"/>
            <w:shd w:val="clear" w:color="auto" w:fill="E8EEF5"/>
          </w:tcPr>
          <w:p>
            <w:pPr>
              <w:spacing w:after="20" w:before="20" w:line="240" w:lineRule="auto"/>
              <w:jc w:val="left"/>
            </w:pPr>
            <w:r>
              <w:rPr>
                <w:sz w:val="21"/>
              </w:rPr>
              <w:t>Finance Committee</w:t>
            </w:r>
          </w:p>
        </w:tc>
        <w:tc>
          <w:tcPr>
            <w:tcW w:type="dxa" w:w="1020"/>
            <w:shd w:val="clear" w:color="auto" w:fill="E8EEF5"/>
          </w:tcPr>
          <w:p>
            <w:pPr>
              <w:spacing w:after="20" w:before="20" w:line="240" w:lineRule="auto"/>
              <w:jc w:val="left"/>
            </w:pPr>
            <w:r>
              <w:rPr>
                <w:sz w:val="21"/>
              </w:rPr>
              <w:t>095</w:t>
            </w:r>
          </w:p>
        </w:tc>
      </w:tr>
      <w:tr>
        <w:trPr>
          <w:cantSplit w:val="true"/>
        </w:trPr>
        <w:tc>
          <w:tcPr>
            <w:tcW w:type="dxa" w:w="850"/>
          </w:tcPr>
          <w:p>
            <w:pPr>
              <w:spacing w:after="20" w:before="20" w:line="240" w:lineRule="auto"/>
              <w:jc w:val="left"/>
            </w:pPr>
            <w:r>
              <w:rPr>
                <w:sz w:val="21"/>
              </w:rPr>
              <w:t>51</w:t>
            </w:r>
          </w:p>
        </w:tc>
        <w:tc>
          <w:tcPr>
            <w:tcW w:type="dxa" w:w="7540"/>
          </w:tcPr>
          <w:p>
            <w:pPr>
              <w:spacing w:after="20" w:before="20" w:line="240" w:lineRule="auto"/>
              <w:jc w:val="left"/>
            </w:pPr>
            <w:r>
              <w:rPr>
                <w:sz w:val="21"/>
              </w:rPr>
              <w:t>Financial Statements Format and Audit</w:t>
            </w:r>
          </w:p>
        </w:tc>
        <w:tc>
          <w:tcPr>
            <w:tcW w:type="dxa" w:w="1020"/>
          </w:tcPr>
          <w:p>
            <w:pPr>
              <w:spacing w:after="20" w:before="20" w:line="240" w:lineRule="auto"/>
              <w:jc w:val="left"/>
            </w:pPr>
            <w:r>
              <w:rPr>
                <w:sz w:val="21"/>
              </w:rPr>
              <w:t>106</w:t>
            </w:r>
          </w:p>
        </w:tc>
      </w:tr>
      <w:tr>
        <w:trPr>
          <w:cantSplit w:val="true"/>
        </w:trPr>
        <w:tc>
          <w:tcPr>
            <w:tcW w:type="dxa" w:w="850"/>
            <w:shd w:val="clear" w:color="auto" w:fill="E8EEF5"/>
          </w:tcPr>
          <w:p>
            <w:pPr>
              <w:spacing w:after="20" w:before="20" w:line="240" w:lineRule="auto"/>
              <w:jc w:val="left"/>
            </w:pPr>
            <w:r>
              <w:rPr>
                <w:sz w:val="21"/>
              </w:rPr>
              <w:t>52</w:t>
            </w:r>
          </w:p>
        </w:tc>
        <w:tc>
          <w:tcPr>
            <w:tcW w:type="dxa" w:w="7540"/>
            <w:shd w:val="clear" w:color="auto" w:fill="E8EEF5"/>
          </w:tcPr>
          <w:p>
            <w:pPr>
              <w:spacing w:after="20" w:before="20" w:line="240" w:lineRule="auto"/>
              <w:jc w:val="left"/>
            </w:pPr>
            <w:r>
              <w:rPr>
                <w:sz w:val="21"/>
              </w:rPr>
              <w:t>Library Budget Details</w:t>
            </w:r>
          </w:p>
        </w:tc>
        <w:tc>
          <w:tcPr>
            <w:tcW w:type="dxa" w:w="1020"/>
            <w:shd w:val="clear" w:color="auto" w:fill="E8EEF5"/>
          </w:tcPr>
          <w:p>
            <w:pPr>
              <w:spacing w:after="20" w:before="20" w:line="240" w:lineRule="auto"/>
              <w:jc w:val="left"/>
            </w:pPr>
            <w:r>
              <w:rPr>
                <w:sz w:val="21"/>
              </w:rPr>
              <w:t>108</w:t>
            </w:r>
          </w:p>
        </w:tc>
      </w:tr>
      <w:tr>
        <w:trPr>
          <w:cantSplit w:val="true"/>
        </w:trPr>
        <w:tc>
          <w:tcPr>
            <w:tcW w:type="dxa" w:w="850"/>
          </w:tcPr>
          <w:p>
            <w:pPr>
              <w:spacing w:after="20" w:before="20" w:line="240" w:lineRule="auto"/>
              <w:jc w:val="left"/>
            </w:pPr>
            <w:r>
              <w:rPr>
                <w:sz w:val="21"/>
              </w:rPr>
              <w:t>53</w:t>
            </w:r>
          </w:p>
        </w:tc>
        <w:tc>
          <w:tcPr>
            <w:tcW w:type="dxa" w:w="7540"/>
          </w:tcPr>
          <w:p>
            <w:pPr>
              <w:spacing w:after="20" w:before="20" w:line="240" w:lineRule="auto"/>
              <w:jc w:val="left"/>
            </w:pPr>
            <w:r>
              <w:rPr>
                <w:sz w:val="21"/>
              </w:rPr>
              <w:t>Budget Proposal for Financial Year 2024–2025</w:t>
            </w:r>
          </w:p>
        </w:tc>
        <w:tc>
          <w:tcPr>
            <w:tcW w:type="dxa" w:w="1020"/>
          </w:tcPr>
          <w:p>
            <w:pPr>
              <w:spacing w:after="20" w:before="20" w:line="240" w:lineRule="auto"/>
              <w:jc w:val="left"/>
            </w:pPr>
            <w:r>
              <w:rPr>
                <w:sz w:val="21"/>
              </w:rPr>
              <w:t>110</w:t>
            </w:r>
          </w:p>
        </w:tc>
      </w:tr>
      <w:tr>
        <w:trPr>
          <w:cantSplit w:val="true"/>
        </w:trPr>
        <w:tc>
          <w:tcPr>
            <w:tcW w:type="dxa" w:w="850"/>
            <w:shd w:val="clear" w:color="auto" w:fill="E8EEF5"/>
          </w:tcPr>
          <w:p>
            <w:pPr>
              <w:spacing w:after="20" w:before="20" w:line="240" w:lineRule="auto"/>
              <w:jc w:val="left"/>
            </w:pPr>
            <w:r>
              <w:rPr>
                <w:sz w:val="21"/>
              </w:rPr>
              <w:t>54</w:t>
            </w:r>
          </w:p>
        </w:tc>
        <w:tc>
          <w:tcPr>
            <w:tcW w:type="dxa" w:w="7540"/>
            <w:shd w:val="clear" w:color="auto" w:fill="E8EEF5"/>
          </w:tcPr>
          <w:p>
            <w:pPr>
              <w:spacing w:after="20" w:before="20" w:line="240" w:lineRule="auto"/>
              <w:jc w:val="left"/>
            </w:pPr>
            <w:r>
              <w:rPr>
                <w:sz w:val="21"/>
              </w:rPr>
              <w:t>Library Stationery &amp; Record-Keeping Items Budget Sheet</w:t>
            </w:r>
          </w:p>
        </w:tc>
        <w:tc>
          <w:tcPr>
            <w:tcW w:type="dxa" w:w="1020"/>
            <w:shd w:val="clear" w:color="auto" w:fill="E8EEF5"/>
          </w:tcPr>
          <w:p>
            <w:pPr>
              <w:spacing w:after="20" w:before="20" w:line="240" w:lineRule="auto"/>
              <w:jc w:val="left"/>
            </w:pPr>
            <w:r>
              <w:rPr>
                <w:sz w:val="21"/>
              </w:rPr>
              <w:t>113</w:t>
            </w:r>
          </w:p>
        </w:tc>
      </w:tr>
      <w:tr>
        <w:trPr>
          <w:cantSplit w:val="true"/>
        </w:trPr>
        <w:tc>
          <w:tcPr>
            <w:tcW w:type="dxa" w:w="850"/>
          </w:tcPr>
          <w:p>
            <w:pPr>
              <w:spacing w:after="20" w:before="20" w:line="240" w:lineRule="auto"/>
              <w:jc w:val="left"/>
            </w:pPr>
            <w:r>
              <w:rPr>
                <w:sz w:val="21"/>
              </w:rPr>
              <w:t>55</w:t>
            </w:r>
          </w:p>
        </w:tc>
        <w:tc>
          <w:tcPr>
            <w:tcW w:type="dxa" w:w="7540"/>
          </w:tcPr>
          <w:p>
            <w:pPr>
              <w:spacing w:after="20" w:before="20" w:line="240" w:lineRule="auto"/>
              <w:jc w:val="left"/>
            </w:pPr>
            <w:r>
              <w:rPr>
                <w:sz w:val="21"/>
              </w:rPr>
              <w:t>Financial Operations and Management Policy – Mapping to NBA Criteria</w:t>
            </w:r>
          </w:p>
        </w:tc>
        <w:tc>
          <w:tcPr>
            <w:tcW w:type="dxa" w:w="1020"/>
          </w:tcPr>
          <w:p>
            <w:pPr>
              <w:spacing w:after="20" w:before="20" w:line="240" w:lineRule="auto"/>
              <w:jc w:val="left"/>
            </w:pPr>
            <w:r>
              <w:rPr>
                <w:sz w:val="21"/>
              </w:rPr>
              <w:t>116</w:t>
            </w:r>
          </w:p>
        </w:tc>
      </w:tr>
      <w:tr>
        <w:trPr>
          <w:cantSplit w:val="true"/>
        </w:trPr>
        <w:tc>
          <w:tcPr>
            <w:tcW w:type="dxa" w:w="850"/>
            <w:shd w:val="clear" w:color="auto" w:fill="E8EEF5"/>
          </w:tcPr>
          <w:p>
            <w:pPr>
              <w:spacing w:after="20" w:before="20" w:line="240" w:lineRule="auto"/>
              <w:jc w:val="left"/>
            </w:pPr>
            <w:r>
              <w:rPr>
                <w:sz w:val="21"/>
              </w:rPr>
              <w:t>56</w:t>
            </w:r>
          </w:p>
        </w:tc>
        <w:tc>
          <w:tcPr>
            <w:tcW w:type="dxa" w:w="7540"/>
            <w:shd w:val="clear" w:color="auto" w:fill="E8EEF5"/>
          </w:tcPr>
          <w:p>
            <w:pPr>
              <w:spacing w:after="20" w:before="20" w:line="240" w:lineRule="auto"/>
              <w:jc w:val="left"/>
            </w:pPr>
            <w:r>
              <w:rPr>
                <w:sz w:val="21"/>
              </w:rPr>
              <w:t>Financial Operations and Management Policy – Mapping to NAAC Criteria</w:t>
            </w:r>
          </w:p>
        </w:tc>
        <w:tc>
          <w:tcPr>
            <w:tcW w:type="dxa" w:w="1020"/>
            <w:shd w:val="clear" w:color="auto" w:fill="E8EEF5"/>
          </w:tcPr>
          <w:p>
            <w:pPr>
              <w:spacing w:after="20" w:before="20" w:line="240" w:lineRule="auto"/>
              <w:jc w:val="left"/>
            </w:pPr>
            <w:r>
              <w:rPr>
                <w:sz w:val="21"/>
              </w:rPr>
              <w:t>118</w:t>
            </w:r>
          </w:p>
        </w:tc>
      </w:tr>
      <w:tr>
        <w:trPr>
          <w:cantSplit w:val="true"/>
        </w:trPr>
        <w:tc>
          <w:tcPr>
            <w:tcW w:type="dxa" w:w="850"/>
          </w:tcPr>
          <w:p>
            <w:pPr>
              <w:spacing w:after="20" w:before="20" w:line="240" w:lineRule="auto"/>
              <w:jc w:val="left"/>
            </w:pPr>
            <w:r>
              <w:rPr>
                <w:sz w:val="21"/>
              </w:rPr>
              <w:t>57</w:t>
            </w:r>
          </w:p>
        </w:tc>
        <w:tc>
          <w:tcPr>
            <w:tcW w:type="dxa" w:w="7540"/>
          </w:tcPr>
          <w:p>
            <w:pPr>
              <w:spacing w:after="20" w:before="20" w:line="240" w:lineRule="auto"/>
              <w:jc w:val="left"/>
            </w:pPr>
            <w:r>
              <w:rPr>
                <w:sz w:val="21"/>
              </w:rPr>
              <w:t>Financial Operations and Management Policy – Mapping to NIRF Criteria</w:t>
            </w:r>
          </w:p>
        </w:tc>
        <w:tc>
          <w:tcPr>
            <w:tcW w:type="dxa" w:w="1020"/>
          </w:tcPr>
          <w:p>
            <w:pPr>
              <w:spacing w:after="20" w:before="20" w:line="240" w:lineRule="auto"/>
              <w:jc w:val="left"/>
            </w:pPr>
            <w:r>
              <w:rPr>
                <w:sz w:val="21"/>
              </w:rPr>
              <w:t>119</w:t>
            </w:r>
          </w:p>
        </w:tc>
      </w:tr>
      <w:tr>
        <w:trPr>
          <w:cantSplit w:val="true"/>
        </w:trPr>
        <w:tc>
          <w:tcPr>
            <w:tcW w:type="dxa" w:w="850"/>
            <w:shd w:val="clear" w:color="auto" w:fill="E8EEF5"/>
          </w:tcPr>
          <w:p>
            <w:pPr>
              <w:spacing w:after="20" w:before="20" w:line="240" w:lineRule="auto"/>
              <w:jc w:val="left"/>
            </w:pPr>
            <w:r>
              <w:rPr>
                <w:sz w:val="21"/>
              </w:rPr>
              <w:t>58</w:t>
            </w:r>
          </w:p>
        </w:tc>
        <w:tc>
          <w:tcPr>
            <w:tcW w:type="dxa" w:w="7540"/>
            <w:shd w:val="clear" w:color="auto" w:fill="E8EEF5"/>
          </w:tcPr>
          <w:p>
            <w:pPr>
              <w:spacing w:after="20" w:before="20" w:line="240" w:lineRule="auto"/>
              <w:jc w:val="left"/>
            </w:pPr>
            <w:r>
              <w:rPr>
                <w:sz w:val="21"/>
              </w:rPr>
              <w:t>Financial Operations and Management Policy – Mapping to QS I-GAUGE Criteria</w:t>
            </w:r>
          </w:p>
        </w:tc>
        <w:tc>
          <w:tcPr>
            <w:tcW w:type="dxa" w:w="1020"/>
            <w:shd w:val="clear" w:color="auto" w:fill="E8EEF5"/>
          </w:tcPr>
          <w:p>
            <w:pPr>
              <w:spacing w:after="20" w:before="20" w:line="240" w:lineRule="auto"/>
              <w:jc w:val="left"/>
            </w:pPr>
            <w:r>
              <w:rPr>
                <w:sz w:val="21"/>
              </w:rPr>
              <w:t>120</w:t>
            </w:r>
          </w:p>
        </w:tc>
      </w:tr>
      <w:tr>
        <w:trPr>
          <w:cantSplit w:val="true"/>
        </w:trPr>
        <w:tc>
          <w:tcPr>
            <w:tcW w:type="dxa" w:w="850"/>
          </w:tcPr>
          <w:p>
            <w:pPr>
              <w:spacing w:after="20" w:before="20" w:line="240" w:lineRule="auto"/>
              <w:jc w:val="left"/>
            </w:pPr>
            <w:r>
              <w:rPr>
                <w:sz w:val="21"/>
              </w:rPr>
              <w:t>59</w:t>
            </w:r>
          </w:p>
        </w:tc>
        <w:tc>
          <w:tcPr>
            <w:tcW w:type="dxa" w:w="7540"/>
          </w:tcPr>
          <w:p>
            <w:pPr>
              <w:spacing w:after="20" w:before="20" w:line="240" w:lineRule="auto"/>
              <w:jc w:val="left"/>
            </w:pPr>
            <w:r>
              <w:rPr>
                <w:sz w:val="21"/>
              </w:rPr>
              <w:t>References</w:t>
            </w:r>
          </w:p>
        </w:tc>
        <w:tc>
          <w:tcPr>
            <w:tcW w:type="dxa" w:w="1020"/>
          </w:tcPr>
          <w:p>
            <w:pPr>
              <w:spacing w:after="20" w:before="20" w:line="240" w:lineRule="auto"/>
              <w:jc w:val="left"/>
            </w:pPr>
            <w:r>
              <w:rPr>
                <w:sz w:val="21"/>
              </w:rPr>
              <w:t>121</w:t>
            </w:r>
          </w:p>
        </w:tc>
      </w:tr>
    </w:tbl>
    <w:p>
      <w:pPr>
        <w:spacing w:after="80" w:line="240" w:lineRule="auto"/>
      </w:pPr>
    </w:p>
    <w:p>
      <w:pPr>
        <w:spacing w:after="0"/>
      </w:pPr>
      <w:r>
        <w:br w:type="page"/>
      </w:r>
    </w:p>
    <w:p>
      <w:pPr>
        <w:pStyle w:val="Heading1"/>
        <w:spacing w:before="0"/>
      </w:pPr>
      <w:r>
        <w:rPr/>
        <w:t>1. Introduction</w:t>
      </w:r>
    </w:p>
    <w:p>
      <w:r>
        <w:rPr/>
        <w:t>A Financial Operations and Management Policy in Higher Education Institutions (HEIs) serves as a comprehensive framework designed to ensure sound financial management, accountability, and sustainability. Its primary aim is to provide clear guidelines for handling all financial activities in a structured and transparent manner. By doing so, it strengthens financial controls, reduces the risk of mismanagement or irregularities, and helps the institution meet both regulatory requirements and long-term strategic objectives.</w:t>
      </w:r>
    </w:p>
    <w:p>
      <w:r>
        <w:rPr/>
        <w:t>This policy is particularly important because universities and colleges operate in a complex environment that involves multiple financial streams—such as tuition fees, research grants, government funding, endowments, consultancy income, donations, and other revenue sources. At the same time, they must manage diverse expenditures including salaries, infrastructure development, maintenance, student services, research support, and community outreach. A well-defined Finance Policy ensures that these activities are managed with discipline, efficiency, and integrity.</w:t>
      </w:r>
    </w:p>
    <w:p>
      <w:r>
        <w:rPr/>
        <w:t>The Finance Policy is built upon the application of fundamental accounting principles, such as transparency, consistency, prudence, accrual, and accountability. These principles provide a uniform basis for recording, reporting, and auditing financial transactions, which is essential for comparability and reliability in institutional financial reports. By aligning financial management with recognized accounting concepts, the institution not only ensures compliance with statutory requirements but also builds trust with stakeholders, including students, faculty, staff, donors, funding agencies, and government bodies.</w:t>
      </w:r>
    </w:p>
    <w:p>
      <w:r>
        <w:rPr/>
        <w:t>The specific purpose of such a Financial Policy is to establish general guidelines that govern financial decision-making within the institution. These guidelines typically include budgeting procedures, approval hierarchies for expenditures, internal control systems, asset management protocols, and monitoring mechanisms. For example, policies may define how budgets are prepared annually, who authorizes expenses, how procurement is carried out, and what systems are in place for preventing fraud or misuse of resources.</w:t>
      </w:r>
    </w:p>
    <w:p>
      <w:r>
        <w:rPr/>
        <w:t>Additionally, a Finance Policy emphasizes the importance of long-term financial planning to ensure institutional sustainability. This includes maintaining adequate reserves, monitoring cash flow, and ensuring funds are allocated to strategic priorities such as academic excellence, research, innovation, student support, and infrastructure development. Effective financial management also enables the institution to respond to unexpected challenges, such as fluctuations in student enrollment, changes in government funding policies, or emergencies requiring immediate financial interventions.</w:t>
      </w:r>
    </w:p>
    <w:p>
      <w:r>
        <w:rPr/>
        <w:t>In the context of HEIs, the Finance Policy also plays an educational role by embedding financial responsibility into the institutional culture. It promotes financial literacy among administrators, faculty, and staff, ensuring that all stakeholders are aware of their roles in maintaining fiscal discipline. Furthermore, it fosters accountability and transparency, which are increasingly critical in accreditation processes (NAAC, NBA, QS I-GAUGE) and rankings, where effective governance and financial management are key evaluation parameters.</w:t>
      </w:r>
    </w:p>
    <w:p>
      <w:r>
        <w:rPr/>
        <w:t>Ultimately, the Finance Policy is not just an administrative document but a strategic instrument that underpins institutional growth and sustainability. By ensuring that financial resources are managed prudently, efficiently, and ethically, it helps higher education institutions achieve their broader mission of delivering quality education, advancing research, and contributing meaningfully to society.</w:t>
      </w:r>
    </w:p>
    <w:p>
      <w:pPr>
        <w:spacing w:after="0"/>
      </w:pPr>
      <w:r>
        <w:br w:type="page"/>
      </w:r>
    </w:p>
    <w:p>
      <w:pPr>
        <w:pStyle w:val="Heading1"/>
        <w:spacing w:before="0"/>
      </w:pPr>
      <w:r>
        <w:rPr/>
        <w:t>2. Objectives of the Finance Policy</w:t>
      </w:r>
    </w:p>
    <w:p>
      <w:pPr>
        <w:numPr>
          <w:ilvl w:val="0"/>
          <w:numId w:val="90"/>
        </w:numPr>
        <w:spacing w:after="60"/>
      </w:pPr>
      <w:r>
        <w:rPr/>
        <w:t>To evolve, maintain, and promote sound financial management systems, procedures, and controls</w:t>
      </w:r>
    </w:p>
    <w:p>
      <w:pPr>
        <w:numPr>
          <w:ilvl w:val="1"/>
          <w:numId w:val="90"/>
        </w:numPr>
        <w:spacing w:after="60"/>
      </w:pPr>
      <w:r>
        <w:rPr/>
        <w:t>Establish a robust framework of financial rules, internal checks, and approval mechanisms to prevent mismanagement or misuse of funds.</w:t>
      </w:r>
    </w:p>
    <w:p>
      <w:pPr>
        <w:numPr>
          <w:ilvl w:val="1"/>
          <w:numId w:val="90"/>
        </w:numPr>
        <w:spacing w:after="60"/>
      </w:pPr>
      <w:r>
        <w:rPr/>
        <w:t>Implement procedures that ensure accountability, efficiency, and effectiveness in financial transactions.</w:t>
      </w:r>
    </w:p>
    <w:p>
      <w:pPr>
        <w:numPr>
          <w:ilvl w:val="1"/>
          <w:numId w:val="90"/>
        </w:numPr>
        <w:spacing w:after="60"/>
      </w:pPr>
      <w:r>
        <w:rPr/>
        <w:t>Regularly review and update financial practices to align with global standards and institutional needs.</w:t>
      </w:r>
    </w:p>
    <w:p>
      <w:pPr>
        <w:numPr>
          <w:ilvl w:val="0"/>
          <w:numId w:val="90"/>
        </w:numPr>
        <w:spacing w:after="60"/>
      </w:pPr>
      <w:r>
        <w:rPr/>
        <w:t>To plan, rationalize, co-ordinate, and control revenue inflows and expenditures of the University</w:t>
      </w:r>
    </w:p>
    <w:p>
      <w:pPr>
        <w:numPr>
          <w:ilvl w:val="1"/>
          <w:numId w:val="90"/>
        </w:numPr>
        <w:spacing w:after="60"/>
      </w:pPr>
      <w:r>
        <w:rPr/>
        <w:t>Develop annual and long-term financial plans that balance income with expenses.</w:t>
      </w:r>
    </w:p>
    <w:p>
      <w:pPr>
        <w:numPr>
          <w:ilvl w:val="1"/>
          <w:numId w:val="90"/>
        </w:numPr>
        <w:spacing w:after="60"/>
      </w:pPr>
      <w:r>
        <w:rPr/>
        <w:t>Rationalize expenditure to prioritize essential functions and minimize wastage.</w:t>
      </w:r>
    </w:p>
    <w:p>
      <w:pPr>
        <w:numPr>
          <w:ilvl w:val="1"/>
          <w:numId w:val="90"/>
        </w:numPr>
        <w:spacing w:after="60"/>
      </w:pPr>
      <w:r>
        <w:rPr/>
        <w:t>Ensure alignment of financial allocation with the University’s mission and vision.</w:t>
      </w:r>
    </w:p>
    <w:p>
      <w:pPr>
        <w:numPr>
          <w:ilvl w:val="1"/>
          <w:numId w:val="90"/>
        </w:numPr>
        <w:spacing w:after="60"/>
      </w:pPr>
      <w:r>
        <w:rPr/>
        <w:t>Specific provisions include:</w:t>
      </w:r>
    </w:p>
    <w:p>
      <w:pPr>
        <w:numPr>
          <w:ilvl w:val="2"/>
          <w:numId w:val="90"/>
        </w:numPr>
        <w:spacing w:after="60"/>
      </w:pPr>
      <w:r>
        <w:rPr>
          <w:b/>
        </w:rPr>
        <w:t>Academic, research, and outreach activities/programs:</w:t>
      </w:r>
      <w:r>
        <w:rPr/>
        <w:t xml:space="preserve"> Guaranteeing adequate funds for teaching, innovative research, and community engagement.</w:t>
      </w:r>
    </w:p>
    <w:p>
      <w:pPr>
        <w:numPr>
          <w:ilvl w:val="2"/>
          <w:numId w:val="90"/>
        </w:numPr>
        <w:spacing w:after="60"/>
      </w:pPr>
      <w:r>
        <w:rPr>
          <w:b/>
        </w:rPr>
        <w:t>Student development, welfare, and performance:</w:t>
      </w:r>
      <w:r>
        <w:rPr/>
        <w:t xml:space="preserve"> Ensuring financial support for scholarships, training, extracurricular activities, health, and counseling.</w:t>
      </w:r>
    </w:p>
    <w:p>
      <w:pPr>
        <w:numPr>
          <w:ilvl w:val="2"/>
          <w:numId w:val="90"/>
        </w:numPr>
        <w:spacing w:after="60"/>
      </w:pPr>
      <w:r>
        <w:rPr>
          <w:b/>
        </w:rPr>
        <w:t>Welfare and development of teaching and non-teaching staff:</w:t>
      </w:r>
      <w:r>
        <w:rPr/>
        <w:t xml:space="preserve"> Allocating resources for capacity building, training, professional growth, and welfare initiatives.</w:t>
      </w:r>
    </w:p>
    <w:p>
      <w:pPr>
        <w:numPr>
          <w:ilvl w:val="2"/>
          <w:numId w:val="90"/>
        </w:numPr>
        <w:spacing w:after="60"/>
      </w:pPr>
      <w:r>
        <w:rPr>
          <w:b/>
        </w:rPr>
        <w:t>Capital budgeting decisions:</w:t>
      </w:r>
      <w:r>
        <w:rPr/>
        <w:t xml:space="preserve"> Making informed financial decisions about infrastructure development, long-term investments, and expansion projects.</w:t>
      </w:r>
    </w:p>
    <w:p>
      <w:pPr>
        <w:numPr>
          <w:ilvl w:val="2"/>
          <w:numId w:val="90"/>
        </w:numPr>
        <w:spacing w:after="60"/>
      </w:pPr>
      <w:r>
        <w:rPr>
          <w:b/>
        </w:rPr>
        <w:t>Procurement, repair, maintenance, safety, and security of University property and assets:</w:t>
      </w:r>
      <w:r>
        <w:rPr/>
        <w:t xml:space="preserve"> Managing physical resources responsibly to maintain sustainability and operational efficiency.</w:t>
      </w:r>
    </w:p>
    <w:p>
      <w:pPr>
        <w:numPr>
          <w:ilvl w:val="0"/>
          <w:numId w:val="90"/>
        </w:numPr>
        <w:spacing w:after="60"/>
      </w:pPr>
      <w:r>
        <w:rPr/>
        <w:t>Effective Financial Management</w:t>
      </w:r>
    </w:p>
    <w:p>
      <w:pPr>
        <w:numPr>
          <w:ilvl w:val="1"/>
          <w:numId w:val="90"/>
        </w:numPr>
        <w:spacing w:after="60"/>
      </w:pPr>
      <w:r>
        <w:rPr/>
        <w:t>Manage financial resources efficiently to support strategic objectives, long-term stability, and academic excellence.</w:t>
      </w:r>
    </w:p>
    <w:p>
      <w:pPr>
        <w:numPr>
          <w:ilvl w:val="1"/>
          <w:numId w:val="90"/>
        </w:numPr>
        <w:spacing w:after="60"/>
      </w:pPr>
      <w:r>
        <w:rPr/>
        <w:t>Integrate financial planning with institutional growth strategies.</w:t>
      </w:r>
    </w:p>
    <w:p>
      <w:pPr>
        <w:numPr>
          <w:ilvl w:val="0"/>
          <w:numId w:val="90"/>
        </w:numPr>
        <w:spacing w:after="60"/>
      </w:pPr>
      <w:r>
        <w:rPr/>
        <w:t>Guidelines for Resource Mobilization</w:t>
      </w:r>
    </w:p>
    <w:p>
      <w:pPr>
        <w:numPr>
          <w:ilvl w:val="1"/>
          <w:numId w:val="90"/>
        </w:numPr>
        <w:spacing w:after="60"/>
      </w:pPr>
      <w:r>
        <w:rPr/>
        <w:t>Establish clear procedures for mobilizing funds from diverse sources, including:</w:t>
      </w:r>
    </w:p>
    <w:p>
      <w:pPr>
        <w:numPr>
          <w:ilvl w:val="2"/>
          <w:numId w:val="90"/>
        </w:numPr>
        <w:spacing w:after="60"/>
      </w:pPr>
      <w:r>
        <w:rPr/>
        <w:t>Tuition and other student fees.</w:t>
      </w:r>
    </w:p>
    <w:p>
      <w:pPr>
        <w:numPr>
          <w:ilvl w:val="2"/>
          <w:numId w:val="90"/>
        </w:numPr>
        <w:spacing w:after="60"/>
      </w:pPr>
      <w:r>
        <w:rPr/>
        <w:t>Government grants and subsidies.</w:t>
      </w:r>
    </w:p>
    <w:p>
      <w:pPr>
        <w:numPr>
          <w:ilvl w:val="2"/>
          <w:numId w:val="90"/>
        </w:numPr>
        <w:spacing w:after="60"/>
      </w:pPr>
      <w:r>
        <w:rPr/>
        <w:t>Research funding from public/private bodies.</w:t>
      </w:r>
    </w:p>
    <w:p>
      <w:pPr>
        <w:numPr>
          <w:ilvl w:val="2"/>
          <w:numId w:val="90"/>
        </w:numPr>
        <w:spacing w:after="60"/>
      </w:pPr>
      <w:r>
        <w:rPr/>
        <w:t>Donations, sponsorships, and alumni contributions.</w:t>
      </w:r>
    </w:p>
    <w:p>
      <w:pPr>
        <w:numPr>
          <w:ilvl w:val="2"/>
          <w:numId w:val="90"/>
        </w:numPr>
        <w:spacing w:after="60"/>
      </w:pPr>
      <w:r>
        <w:rPr/>
        <w:t>Revenue-generating activities such as consultancy, training programs, and intellectual property commercialization.</w:t>
      </w:r>
    </w:p>
    <w:p>
      <w:pPr>
        <w:numPr>
          <w:ilvl w:val="1"/>
          <w:numId w:val="90"/>
        </w:numPr>
        <w:spacing w:after="60"/>
      </w:pPr>
      <w:r>
        <w:rPr/>
        <w:t>Encourage partnerships with industry, government, and NGOs for resource sharing.</w:t>
      </w:r>
    </w:p>
    <w:p>
      <w:pPr>
        <w:numPr>
          <w:ilvl w:val="0"/>
          <w:numId w:val="90"/>
        </w:numPr>
        <w:spacing w:after="60"/>
      </w:pPr>
      <w:r>
        <w:rPr/>
        <w:t>Compliance with Legal Requirements</w:t>
      </w:r>
    </w:p>
    <w:p>
      <w:pPr>
        <w:numPr>
          <w:ilvl w:val="1"/>
          <w:numId w:val="90"/>
        </w:numPr>
        <w:spacing w:after="60"/>
      </w:pPr>
      <w:r>
        <w:rPr/>
        <w:t>Ensure strict adherence to national laws, government guidelines, UGC/AICTE directives, and accounting standards applicable to educational institutions.</w:t>
      </w:r>
    </w:p>
    <w:p>
      <w:pPr>
        <w:numPr>
          <w:ilvl w:val="1"/>
          <w:numId w:val="90"/>
        </w:numPr>
        <w:spacing w:after="60"/>
      </w:pPr>
      <w:r>
        <w:rPr/>
        <w:t>Maintain transparency and compliance in areas such as taxation, employee benefits, statutory reporting, and audits.</w:t>
      </w:r>
    </w:p>
    <w:p>
      <w:pPr>
        <w:numPr>
          <w:ilvl w:val="0"/>
          <w:numId w:val="90"/>
        </w:numPr>
        <w:spacing w:after="60"/>
      </w:pPr>
      <w:r>
        <w:rPr/>
        <w:t>Standard Accounting Procedures</w:t>
      </w:r>
    </w:p>
    <w:p>
      <w:pPr>
        <w:numPr>
          <w:ilvl w:val="1"/>
          <w:numId w:val="90"/>
        </w:numPr>
        <w:spacing w:after="60"/>
      </w:pPr>
      <w:r>
        <w:rPr/>
        <w:t>Maintain uniform and consistent accounting practices to ensure accurate and reliable financial records.</w:t>
      </w:r>
    </w:p>
    <w:p>
      <w:pPr>
        <w:numPr>
          <w:ilvl w:val="1"/>
          <w:numId w:val="90"/>
        </w:numPr>
        <w:spacing w:after="60"/>
      </w:pPr>
      <w:r>
        <w:rPr/>
        <w:t>Follow accrual-based accounting, double-entry systems, and other recognized accounting standards.</w:t>
      </w:r>
    </w:p>
    <w:p>
      <w:pPr>
        <w:numPr>
          <w:ilvl w:val="1"/>
          <w:numId w:val="90"/>
        </w:numPr>
        <w:spacing w:after="60"/>
      </w:pPr>
      <w:r>
        <w:rPr/>
        <w:t>Provide stakeholders with reliable data for decision-making and audits.</w:t>
      </w:r>
    </w:p>
    <w:p>
      <w:pPr>
        <w:numPr>
          <w:ilvl w:val="0"/>
          <w:numId w:val="90"/>
        </w:numPr>
        <w:spacing w:after="60"/>
      </w:pPr>
      <w:r>
        <w:rPr/>
        <w:t>Financial Transparency</w:t>
      </w:r>
    </w:p>
    <w:p>
      <w:pPr>
        <w:numPr>
          <w:ilvl w:val="1"/>
          <w:numId w:val="90"/>
        </w:numPr>
        <w:spacing w:after="60"/>
      </w:pPr>
      <w:r>
        <w:rPr/>
        <w:t>Promote openness and accountability in financial operations through regular reporting, disclosures, and audits.</w:t>
      </w:r>
    </w:p>
    <w:p>
      <w:pPr>
        <w:numPr>
          <w:ilvl w:val="1"/>
          <w:numId w:val="90"/>
        </w:numPr>
        <w:spacing w:after="60"/>
      </w:pPr>
      <w:r>
        <w:rPr/>
        <w:t>Present financial statements and budgetary performance reports to governing bodies, stakeholders, and accreditation agencies.</w:t>
      </w:r>
    </w:p>
    <w:p>
      <w:pPr>
        <w:numPr>
          <w:ilvl w:val="1"/>
          <w:numId w:val="90"/>
        </w:numPr>
        <w:spacing w:after="60"/>
      </w:pPr>
      <w:r>
        <w:rPr/>
        <w:t>Foster trust among students, parents, staff, donors, and funding agencies by demonstrating ethical and transparent financial practices.</w:t>
      </w:r>
    </w:p>
    <w:p>
      <w:pPr>
        <w:spacing w:after="0"/>
      </w:pPr>
      <w:r>
        <w:br w:type="page"/>
      </w:r>
    </w:p>
    <w:p>
      <w:pPr>
        <w:pStyle w:val="Heading1"/>
        <w:spacing w:before="0"/>
      </w:pPr>
      <w:r>
        <w:rPr/>
        <w:t>3. Scope of the Finance Policy</w:t>
      </w:r>
    </w:p>
    <w:p>
      <w:r>
        <w:rPr/>
        <w:t>This policy is comprehensive in nature and applies to all financial transactions, operations, and activities carried out within Higher Education Institutions (HEIs). It covers every aspect of revenue generation, fund allocation, expenditure control, compliance, and reporting to ensure effective and transparent financial management.</w:t>
      </w:r>
    </w:p>
    <w:p>
      <w:pPr>
        <w:numPr>
          <w:ilvl w:val="0"/>
          <w:numId w:val="90"/>
        </w:numPr>
        <w:spacing w:after="60"/>
      </w:pPr>
      <w:r>
        <w:rPr/>
        <w:t>Mobilization of Financial Resources</w:t>
      </w:r>
    </w:p>
    <w:p>
      <w:pPr>
        <w:numPr>
          <w:ilvl w:val="1"/>
          <w:numId w:val="90"/>
        </w:numPr>
        <w:spacing w:after="60"/>
      </w:pPr>
      <w:r>
        <w:rPr/>
        <w:t>Applies to all avenues through which HEIs generate income, including:</w:t>
      </w:r>
    </w:p>
    <w:p>
      <w:pPr>
        <w:numPr>
          <w:ilvl w:val="2"/>
          <w:numId w:val="90"/>
        </w:numPr>
        <w:spacing w:after="60"/>
      </w:pPr>
      <w:r>
        <w:rPr>
          <w:b/>
        </w:rPr>
        <w:t>Student fees:</w:t>
      </w:r>
      <w:r>
        <w:rPr/>
        <w:t xml:space="preserve"> tuition, examination, hostel, and other institutional charges.</w:t>
      </w:r>
    </w:p>
    <w:p>
      <w:pPr>
        <w:numPr>
          <w:ilvl w:val="2"/>
          <w:numId w:val="90"/>
        </w:numPr>
        <w:spacing w:after="60"/>
      </w:pPr>
      <w:r>
        <w:rPr>
          <w:b/>
        </w:rPr>
        <w:t>Government grants and subsidies:</w:t>
      </w:r>
      <w:r>
        <w:rPr/>
        <w:t xml:space="preserve"> funding support from central/state governments, UGC, AICTE, and other regulatory bodies.</w:t>
      </w:r>
    </w:p>
    <w:p>
      <w:pPr>
        <w:numPr>
          <w:ilvl w:val="2"/>
          <w:numId w:val="90"/>
        </w:numPr>
        <w:spacing w:after="60"/>
      </w:pPr>
      <w:r>
        <w:rPr>
          <w:b/>
        </w:rPr>
        <w:t>Consultancy services and sponsored projects:</w:t>
      </w:r>
      <w:r>
        <w:rPr/>
        <w:t xml:space="preserve"> income generated through faculty consultancy, industry collaborations, and externally funded research projects.</w:t>
      </w:r>
    </w:p>
    <w:p>
      <w:pPr>
        <w:numPr>
          <w:ilvl w:val="2"/>
          <w:numId w:val="90"/>
        </w:numPr>
        <w:spacing w:after="60"/>
      </w:pPr>
      <w:r>
        <w:rPr>
          <w:b/>
        </w:rPr>
        <w:t>Alumni contributions and donations:</w:t>
      </w:r>
      <w:r>
        <w:rPr/>
        <w:t xml:space="preserve"> philanthropic support and endowments received from alumni and well-wishers.</w:t>
      </w:r>
    </w:p>
    <w:p>
      <w:pPr>
        <w:numPr>
          <w:ilvl w:val="2"/>
          <w:numId w:val="90"/>
        </w:numPr>
        <w:spacing w:after="60"/>
      </w:pPr>
      <w:r>
        <w:rPr>
          <w:b/>
        </w:rPr>
        <w:t>Sponsorships:</w:t>
      </w:r>
      <w:r>
        <w:rPr/>
        <w:t xml:space="preserve"> financial support for events, conferences, research, and student activities from corporate or social organizations.</w:t>
      </w:r>
    </w:p>
    <w:p>
      <w:pPr>
        <w:numPr>
          <w:ilvl w:val="2"/>
          <w:numId w:val="90"/>
        </w:numPr>
        <w:spacing w:after="60"/>
      </w:pPr>
      <w:r>
        <w:rPr>
          <w:b/>
        </w:rPr>
        <w:t>Other income sources:</w:t>
      </w:r>
      <w:r>
        <w:rPr/>
        <w:t xml:space="preserve"> such as interest on deposits, investments, intellectual property commercialization, and extension activities.</w:t>
      </w:r>
    </w:p>
    <w:p>
      <w:pPr>
        <w:numPr>
          <w:ilvl w:val="0"/>
          <w:numId w:val="90"/>
        </w:numPr>
        <w:spacing w:after="60"/>
      </w:pPr>
      <w:r>
        <w:rPr/>
        <w:t>Allocation and Utilization of Funds</w:t>
      </w:r>
    </w:p>
    <w:p>
      <w:pPr>
        <w:numPr>
          <w:ilvl w:val="1"/>
          <w:numId w:val="90"/>
        </w:numPr>
        <w:spacing w:after="60"/>
      </w:pPr>
      <w:r>
        <w:rPr/>
        <w:t>The policy governs how resources are planned, distributed, and utilized across institutional priorities, ensuring alignment with strategic objectives. Areas covered include:</w:t>
      </w:r>
    </w:p>
    <w:p>
      <w:pPr>
        <w:numPr>
          <w:ilvl w:val="2"/>
          <w:numId w:val="90"/>
        </w:numPr>
        <w:spacing w:after="60"/>
      </w:pPr>
      <w:r>
        <w:rPr>
          <w:b/>
        </w:rPr>
        <w:t>Infrastructure development:</w:t>
      </w:r>
      <w:r>
        <w:rPr/>
        <w:t xml:space="preserve"> construction, repair, renovation, and maintenance of academic and administrative facilities.</w:t>
      </w:r>
    </w:p>
    <w:p>
      <w:pPr>
        <w:numPr>
          <w:ilvl w:val="2"/>
          <w:numId w:val="90"/>
        </w:numPr>
        <w:spacing w:after="60"/>
      </w:pPr>
      <w:r>
        <w:rPr>
          <w:b/>
        </w:rPr>
        <w:t>Academic enhancements:</w:t>
      </w:r>
      <w:r>
        <w:rPr/>
        <w:t xml:space="preserve"> investment in libraries, laboratories, ICT facilities, and digital learning platforms.</w:t>
      </w:r>
    </w:p>
    <w:p>
      <w:pPr>
        <w:numPr>
          <w:ilvl w:val="2"/>
          <w:numId w:val="90"/>
        </w:numPr>
        <w:spacing w:after="60"/>
      </w:pPr>
      <w:r>
        <w:rPr>
          <w:b/>
        </w:rPr>
        <w:t>Faculty development:</w:t>
      </w:r>
      <w:r>
        <w:rPr/>
        <w:t xml:space="preserve"> training, workshops, conferences, research grants, and welfare measures for teaching staff.</w:t>
      </w:r>
    </w:p>
    <w:p>
      <w:pPr>
        <w:numPr>
          <w:ilvl w:val="2"/>
          <w:numId w:val="90"/>
        </w:numPr>
        <w:spacing w:after="60"/>
      </w:pPr>
      <w:r>
        <w:rPr>
          <w:b/>
        </w:rPr>
        <w:t>Student support and welfare:</w:t>
      </w:r>
      <w:r>
        <w:rPr/>
        <w:t xml:space="preserve"> scholarships, financial aid, extracurricular activities, health and wellness programs, and placement initiatives.</w:t>
      </w:r>
    </w:p>
    <w:p>
      <w:pPr>
        <w:numPr>
          <w:ilvl w:val="2"/>
          <w:numId w:val="90"/>
        </w:numPr>
        <w:spacing w:after="60"/>
      </w:pPr>
      <w:r>
        <w:rPr>
          <w:b/>
        </w:rPr>
        <w:t>Research and innovation:</w:t>
      </w:r>
      <w:r>
        <w:rPr/>
        <w:t xml:space="preserve"> funding for publications, patents, projects, and collaboration with industry or research bodies.</w:t>
      </w:r>
    </w:p>
    <w:p>
      <w:pPr>
        <w:numPr>
          <w:ilvl w:val="2"/>
          <w:numId w:val="90"/>
        </w:numPr>
        <w:spacing w:after="60"/>
      </w:pPr>
      <w:r>
        <w:rPr>
          <w:b/>
        </w:rPr>
        <w:t>Operational and administrative expenses:</w:t>
      </w:r>
      <w:r>
        <w:rPr/>
        <w:t xml:space="preserve"> salaries, utilities, safety, security, and general maintenance of institutional assets.</w:t>
      </w:r>
    </w:p>
    <w:p>
      <w:pPr>
        <w:numPr>
          <w:ilvl w:val="0"/>
          <w:numId w:val="90"/>
        </w:numPr>
        <w:spacing w:after="60"/>
      </w:pPr>
      <w:r>
        <w:rPr/>
        <w:t>Compliance and Accountability</w:t>
      </w:r>
    </w:p>
    <w:p>
      <w:pPr>
        <w:numPr>
          <w:ilvl w:val="1"/>
          <w:numId w:val="90"/>
        </w:numPr>
        <w:spacing w:after="60"/>
      </w:pPr>
      <w:r>
        <w:rPr/>
        <w:t>The policy ensures adherence to legal, regulatory, and statutory requirements governing financial practices in HEIs, such as:</w:t>
      </w:r>
    </w:p>
    <w:p>
      <w:pPr>
        <w:numPr>
          <w:ilvl w:val="2"/>
          <w:numId w:val="90"/>
        </w:numPr>
        <w:spacing w:after="60"/>
      </w:pPr>
      <w:r>
        <w:rPr>
          <w:b/>
        </w:rPr>
        <w:t>Auditing standards:</w:t>
      </w:r>
      <w:r>
        <w:rPr/>
        <w:t xml:space="preserve"> internal audits, statutory audits, and compliance audits.</w:t>
      </w:r>
    </w:p>
    <w:p>
      <w:pPr>
        <w:numPr>
          <w:ilvl w:val="2"/>
          <w:numId w:val="90"/>
        </w:numPr>
        <w:spacing w:after="60"/>
      </w:pPr>
      <w:r>
        <w:rPr>
          <w:b/>
        </w:rPr>
        <w:t>Financial reporting norms:</w:t>
      </w:r>
      <w:r>
        <w:rPr/>
        <w:t xml:space="preserve"> preparation and submission of financial statements in accordance with accepted accounting standards and government guidelines.</w:t>
      </w:r>
    </w:p>
    <w:p>
      <w:pPr>
        <w:numPr>
          <w:ilvl w:val="2"/>
          <w:numId w:val="90"/>
        </w:numPr>
        <w:spacing w:after="60"/>
      </w:pPr>
      <w:r>
        <w:rPr>
          <w:b/>
        </w:rPr>
        <w:t>Statutory obligations:</w:t>
      </w:r>
      <w:r>
        <w:rPr/>
        <w:t xml:space="preserve"> compliance with taxation laws, employee benefit schemes, provident funds, pension contributions, and procurement rules.</w:t>
      </w:r>
    </w:p>
    <w:p>
      <w:pPr>
        <w:numPr>
          <w:ilvl w:val="1"/>
          <w:numId w:val="90"/>
        </w:numPr>
        <w:spacing w:after="60"/>
      </w:pPr>
      <w:r>
        <w:rPr/>
        <w:t>Promotes accountability and transparency through regular disclosures, governance oversight, and timely submission of reports to governing councils, funding agencies, and accreditation bodies.</w:t>
      </w:r>
    </w:p>
    <w:p>
      <w:pPr>
        <w:spacing w:after="0"/>
      </w:pPr>
      <w:r>
        <w:br w:type="page"/>
      </w:r>
    </w:p>
    <w:p>
      <w:pPr>
        <w:pStyle w:val="Heading1"/>
        <w:spacing w:before="0"/>
      </w:pPr>
      <w:r>
        <w:rPr/>
        <w:t>4. Cash Inflow</w:t>
      </w:r>
    </w:p>
    <w:p>
      <w:r>
        <w:rPr/>
        <w:t>Cash inflows represent the various streams of income through which Higher Education Institutions (HEIs) generate funds to support their academic, research, infrastructure, and administrative functions. These inflows ensure financial stability and sustainability, enabling the institution to meet both its operational needs and long-term strategic objectives. The major sources include:</w:t>
      </w:r>
    </w:p>
    <w:p>
      <w:pPr>
        <w:numPr>
          <w:ilvl w:val="0"/>
          <w:numId w:val="90"/>
        </w:numPr>
        <w:spacing w:after="60"/>
      </w:pPr>
      <w:r>
        <w:rPr/>
        <w:t>1. Student Fees</w:t>
      </w:r>
    </w:p>
    <w:p>
      <w:pPr>
        <w:numPr>
          <w:ilvl w:val="1"/>
          <w:numId w:val="90"/>
        </w:numPr>
        <w:spacing w:after="60"/>
      </w:pPr>
      <w:r>
        <w:rPr>
          <w:b/>
        </w:rPr>
        <w:t>Tuition Fees:</w:t>
      </w:r>
      <w:r>
        <w:rPr/>
        <w:t xml:space="preserve"> The primary source of revenue for most HEIs, particularly from self-financing courses and professional programs.</w:t>
      </w:r>
    </w:p>
    <w:p>
      <w:pPr>
        <w:numPr>
          <w:ilvl w:val="1"/>
          <w:numId w:val="90"/>
        </w:numPr>
        <w:spacing w:after="60"/>
      </w:pPr>
      <w:r>
        <w:rPr>
          <w:b/>
        </w:rPr>
        <w:t>Examination Fees:</w:t>
      </w:r>
      <w:r>
        <w:rPr/>
        <w:t xml:space="preserve"> Income generated from conducting internal and external examinations.</w:t>
      </w:r>
    </w:p>
    <w:p>
      <w:pPr>
        <w:numPr>
          <w:ilvl w:val="1"/>
          <w:numId w:val="90"/>
        </w:numPr>
        <w:spacing w:after="60"/>
      </w:pPr>
      <w:r>
        <w:rPr>
          <w:b/>
        </w:rPr>
        <w:t>Other Prescribed Fees:</w:t>
      </w:r>
      <w:r>
        <w:rPr/>
        <w:t xml:space="preserve"> Includes charges for admission, laboratory use, library access, hostel facilities, transport, and student services.</w:t>
      </w:r>
    </w:p>
    <w:p>
      <w:pPr>
        <w:numPr>
          <w:ilvl w:val="1"/>
          <w:numId w:val="90"/>
        </w:numPr>
        <w:spacing w:after="60"/>
      </w:pPr>
      <w:r>
        <w:rPr>
          <w:b/>
        </w:rPr>
        <w:t>Significance:</w:t>
      </w:r>
      <w:r>
        <w:rPr/>
        <w:t xml:space="preserve"> Ensures consistent revenue to meet recurring expenses such as faculty salaries, maintenance, and student support.</w:t>
      </w:r>
    </w:p>
    <w:p>
      <w:pPr>
        <w:numPr>
          <w:ilvl w:val="0"/>
          <w:numId w:val="90"/>
        </w:numPr>
        <w:spacing w:after="60"/>
      </w:pPr>
      <w:r>
        <w:rPr/>
        <w:t>2. Government and Non-Government Grants</w:t>
      </w:r>
    </w:p>
    <w:p>
      <w:pPr>
        <w:numPr>
          <w:ilvl w:val="1"/>
          <w:numId w:val="90"/>
        </w:numPr>
        <w:spacing w:after="60"/>
      </w:pPr>
      <w:r>
        <w:rPr>
          <w:b/>
        </w:rPr>
        <w:t>Central/State Government Grants:</w:t>
      </w:r>
      <w:r>
        <w:rPr/>
        <w:t xml:space="preserve"> Funding received for specific schemes, institutional development, and academic quality enhancement.</w:t>
      </w:r>
    </w:p>
    <w:p>
      <w:pPr>
        <w:numPr>
          <w:ilvl w:val="1"/>
          <w:numId w:val="90"/>
        </w:numPr>
        <w:spacing w:after="60"/>
      </w:pPr>
      <w:r>
        <w:rPr>
          <w:b/>
        </w:rPr>
        <w:t>UGC, DST, ICSSR, AICTE Projects:</w:t>
      </w:r>
      <w:r>
        <w:rPr/>
        <w:t xml:space="preserve"> Competitive research and development grants provided to faculty and departments for academic advancement.</w:t>
      </w:r>
    </w:p>
    <w:p>
      <w:pPr>
        <w:numPr>
          <w:ilvl w:val="1"/>
          <w:numId w:val="90"/>
        </w:numPr>
        <w:spacing w:after="60"/>
      </w:pPr>
      <w:r>
        <w:rPr>
          <w:b/>
        </w:rPr>
        <w:t>Infrastructure Development Support:</w:t>
      </w:r>
      <w:r>
        <w:rPr/>
        <w:t xml:space="preserve"> Grants for construction of academic blocks, laboratories, ICT centers, and student facilities.</w:t>
      </w:r>
    </w:p>
    <w:p>
      <w:pPr>
        <w:numPr>
          <w:ilvl w:val="1"/>
          <w:numId w:val="90"/>
        </w:numPr>
        <w:spacing w:after="60"/>
      </w:pPr>
      <w:r>
        <w:rPr>
          <w:b/>
        </w:rPr>
        <w:t>Development Funds of MPs/MLAs:</w:t>
      </w:r>
      <w:r>
        <w:rPr/>
        <w:t xml:space="preserve"> Contributions allocated from local representatives’ development funds for infrastructure or equipment procurement.</w:t>
      </w:r>
    </w:p>
    <w:p>
      <w:pPr>
        <w:numPr>
          <w:ilvl w:val="1"/>
          <w:numId w:val="90"/>
        </w:numPr>
        <w:spacing w:after="60"/>
      </w:pPr>
      <w:r>
        <w:rPr>
          <w:b/>
        </w:rPr>
        <w:t>Significance:</w:t>
      </w:r>
      <w:r>
        <w:rPr/>
        <w:t xml:space="preserve"> Provides financial support for growth beyond the institution’s internal income capacity.</w:t>
      </w:r>
    </w:p>
    <w:p>
      <w:pPr>
        <w:numPr>
          <w:ilvl w:val="0"/>
          <w:numId w:val="90"/>
        </w:numPr>
        <w:spacing w:after="60"/>
      </w:pPr>
      <w:r>
        <w:rPr/>
        <w:t>3. Consultancy and Alumni Funding</w:t>
      </w:r>
    </w:p>
    <w:p>
      <w:pPr>
        <w:numPr>
          <w:ilvl w:val="1"/>
          <w:numId w:val="90"/>
        </w:numPr>
        <w:spacing w:after="60"/>
      </w:pPr>
      <w:r>
        <w:rPr>
          <w:b/>
        </w:rPr>
        <w:t>Consultancy Services:</w:t>
      </w:r>
      <w:r>
        <w:rPr/>
        <w:t xml:space="preserve"> Revenue earned through faculty expertise offered to industries, government bodies, or NGOs in the form of research, training, testing, and advisory services.</w:t>
      </w:r>
    </w:p>
    <w:p>
      <w:pPr>
        <w:numPr>
          <w:ilvl w:val="1"/>
          <w:numId w:val="90"/>
        </w:numPr>
        <w:spacing w:after="60"/>
      </w:pPr>
      <w:r>
        <w:rPr>
          <w:b/>
        </w:rPr>
        <w:t>Alumni Contributions:</w:t>
      </w:r>
      <w:r>
        <w:rPr/>
        <w:t xml:space="preserve"> Donations, endowments, or sponsorships from alumni to support scholarships, infrastructure, research projects, and student development activities.</w:t>
      </w:r>
    </w:p>
    <w:p>
      <w:pPr>
        <w:numPr>
          <w:ilvl w:val="1"/>
          <w:numId w:val="90"/>
        </w:numPr>
        <w:spacing w:after="60"/>
      </w:pPr>
      <w:r>
        <w:rPr>
          <w:b/>
        </w:rPr>
        <w:t>Significance:</w:t>
      </w:r>
      <w:r>
        <w:rPr/>
        <w:t xml:space="preserve"> Strengthens the bond between the institution, industry, and alumni while generating additional revenue streams.</w:t>
      </w:r>
    </w:p>
    <w:p>
      <w:pPr>
        <w:numPr>
          <w:ilvl w:val="0"/>
          <w:numId w:val="90"/>
        </w:numPr>
        <w:spacing w:after="60"/>
      </w:pPr>
      <w:r>
        <w:rPr/>
        <w:t>4. Sponsorship Grants</w:t>
      </w:r>
    </w:p>
    <w:p>
      <w:pPr>
        <w:numPr>
          <w:ilvl w:val="1"/>
          <w:numId w:val="90"/>
        </w:numPr>
        <w:spacing w:after="60"/>
      </w:pPr>
      <w:r>
        <w:rPr>
          <w:b/>
        </w:rPr>
        <w:t>Corporate Entities and Philanthropists:</w:t>
      </w:r>
      <w:r>
        <w:rPr/>
        <w:t xml:space="preserve"> Financial support for academic events, cultural programs, research collaborations, and campus infrastructure.</w:t>
      </w:r>
    </w:p>
    <w:p>
      <w:pPr>
        <w:numPr>
          <w:ilvl w:val="1"/>
          <w:numId w:val="90"/>
        </w:numPr>
        <w:spacing w:after="60"/>
      </w:pPr>
      <w:r>
        <w:rPr>
          <w:b/>
        </w:rPr>
        <w:t>Organizational Sponsorships:</w:t>
      </w:r>
      <w:r>
        <w:rPr/>
        <w:t xml:space="preserve"> Grants obtained from professional bodies, NGOs, and CSR initiatives of companies for supporting innovation, entrepreneurship, and skill-building programs.</w:t>
      </w:r>
    </w:p>
    <w:p>
      <w:pPr>
        <w:numPr>
          <w:ilvl w:val="1"/>
          <w:numId w:val="90"/>
        </w:numPr>
        <w:spacing w:after="60"/>
      </w:pPr>
      <w:r>
        <w:rPr>
          <w:b/>
        </w:rPr>
        <w:t>Significance:</w:t>
      </w:r>
      <w:r>
        <w:rPr/>
        <w:t xml:space="preserve"> Builds partnerships, enhances institutional visibility, and supports activities that may not be fully covered by institutional funds.</w:t>
      </w:r>
    </w:p>
    <w:p>
      <w:pPr>
        <w:numPr>
          <w:ilvl w:val="0"/>
          <w:numId w:val="90"/>
        </w:numPr>
        <w:spacing w:after="60"/>
      </w:pPr>
      <w:r>
        <w:rPr/>
        <w:t>5. Interest Income</w:t>
      </w:r>
    </w:p>
    <w:p>
      <w:pPr>
        <w:numPr>
          <w:ilvl w:val="1"/>
          <w:numId w:val="90"/>
        </w:numPr>
        <w:spacing w:after="60"/>
      </w:pPr>
      <w:r>
        <w:rPr>
          <w:b/>
        </w:rPr>
        <w:t>Bank Deposits:</w:t>
      </w:r>
      <w:r>
        <w:rPr/>
        <w:t xml:space="preserve"> Revenue earned from fixed deposits, savings accounts, and other bank instruments where surplus funds are invested.</w:t>
      </w:r>
    </w:p>
    <w:p>
      <w:pPr>
        <w:numPr>
          <w:ilvl w:val="1"/>
          <w:numId w:val="90"/>
        </w:numPr>
        <w:spacing w:after="60"/>
      </w:pPr>
      <w:r>
        <w:rPr>
          <w:b/>
        </w:rPr>
        <w:t>Investments:</w:t>
      </w:r>
      <w:r>
        <w:rPr/>
        <w:t xml:space="preserve"> Returns generated from endowment funds, bonds, or other approved financial instruments.</w:t>
      </w:r>
    </w:p>
    <w:p>
      <w:pPr>
        <w:numPr>
          <w:ilvl w:val="1"/>
          <w:numId w:val="90"/>
        </w:numPr>
        <w:spacing w:after="60"/>
      </w:pPr>
      <w:r>
        <w:rPr>
          <w:b/>
        </w:rPr>
        <w:t>Significance:</w:t>
      </w:r>
      <w:r>
        <w:rPr/>
        <w:t xml:space="preserve"> Provides a supplementary source of income, ensuring financial security and liquidity for future institutional requirements.</w:t>
      </w:r>
    </w:p>
    <w:p>
      <w:pPr>
        <w:spacing w:after="0"/>
      </w:pPr>
      <w:r>
        <w:br w:type="page"/>
      </w:r>
    </w:p>
    <w:p>
      <w:pPr>
        <w:pStyle w:val="Heading1"/>
        <w:spacing w:before="0"/>
      </w:pPr>
      <w:r>
        <w:rPr/>
        <w:t>5. Cash Outflow</w:t>
      </w:r>
    </w:p>
    <w:p>
      <w:r>
        <w:rPr/>
        <w:t>Cash outflows represent the expenditure patterns of Higher Education Institutions (HEIs) that ensure smooth functioning, academic excellence, and institutional growth. Effective financial management requires careful allocation of resources across operational, academic, and developmental needs to balance day-to-day requirements with long-term sustainability. Major categories include:</w:t>
      </w:r>
    </w:p>
    <w:p>
      <w:pPr>
        <w:numPr>
          <w:ilvl w:val="0"/>
          <w:numId w:val="90"/>
        </w:numPr>
        <w:spacing w:after="60"/>
      </w:pPr>
      <w:r>
        <w:rPr/>
        <w:t>1. Overheads and Administrative Expenses</w:t>
      </w:r>
    </w:p>
    <w:p>
      <w:pPr>
        <w:numPr>
          <w:ilvl w:val="1"/>
          <w:numId w:val="90"/>
        </w:numPr>
        <w:spacing w:after="60"/>
      </w:pPr>
      <w:r>
        <w:rPr>
          <w:b/>
        </w:rPr>
        <w:t>Salaries and Wages:</w:t>
      </w:r>
      <w:r>
        <w:rPr/>
        <w:t xml:space="preserve"> Payment to teaching and non-teaching staff, contractual employees, and support staff.</w:t>
      </w:r>
    </w:p>
    <w:p>
      <w:pPr>
        <w:numPr>
          <w:ilvl w:val="1"/>
          <w:numId w:val="90"/>
        </w:numPr>
        <w:spacing w:after="60"/>
      </w:pPr>
      <w:r>
        <w:rPr>
          <w:b/>
        </w:rPr>
        <w:t>Utilities:</w:t>
      </w:r>
      <w:r>
        <w:rPr/>
        <w:t xml:space="preserve"> Expenses on electricity, water, internet, telephone, and fuel.</w:t>
      </w:r>
    </w:p>
    <w:p>
      <w:pPr>
        <w:numPr>
          <w:ilvl w:val="1"/>
          <w:numId w:val="90"/>
        </w:numPr>
        <w:spacing w:after="60"/>
      </w:pPr>
      <w:r>
        <w:rPr>
          <w:b/>
        </w:rPr>
        <w:t>Administrative Costs:</w:t>
      </w:r>
      <w:r>
        <w:rPr/>
        <w:t xml:space="preserve"> Stationery, office supplies, travel, insurance, and examination-related expenses.</w:t>
      </w:r>
    </w:p>
    <w:p>
      <w:pPr>
        <w:numPr>
          <w:ilvl w:val="1"/>
          <w:numId w:val="90"/>
        </w:numPr>
        <w:spacing w:after="60"/>
      </w:pPr>
      <w:r>
        <w:rPr>
          <w:b/>
        </w:rPr>
        <w:t>Maintenance of Records and Systems:</w:t>
      </w:r>
      <w:r>
        <w:rPr/>
        <w:t xml:space="preserve"> Costs of ERP systems, accounting software, and digital platforms.</w:t>
      </w:r>
    </w:p>
    <w:p>
      <w:pPr>
        <w:numPr>
          <w:ilvl w:val="1"/>
          <w:numId w:val="90"/>
        </w:numPr>
        <w:spacing w:after="60"/>
      </w:pPr>
      <w:r>
        <w:rPr>
          <w:b/>
        </w:rPr>
        <w:t>Significance:</w:t>
      </w:r>
      <w:r>
        <w:rPr/>
        <w:t xml:space="preserve"> Ensures uninterrupted day-to-day operations and institutional governance.</w:t>
      </w:r>
    </w:p>
    <w:p>
      <w:pPr>
        <w:numPr>
          <w:ilvl w:val="0"/>
          <w:numId w:val="90"/>
        </w:numPr>
        <w:spacing w:after="60"/>
      </w:pPr>
      <w:r>
        <w:rPr/>
        <w:t>2. Infrastructure Augmentation and Maintenance</w:t>
      </w:r>
    </w:p>
    <w:p>
      <w:pPr>
        <w:numPr>
          <w:ilvl w:val="1"/>
          <w:numId w:val="90"/>
        </w:numPr>
        <w:spacing w:after="60"/>
      </w:pPr>
      <w:r>
        <w:rPr>
          <w:b/>
        </w:rPr>
        <w:t>Upgradation of Facilities:</w:t>
      </w:r>
      <w:r>
        <w:rPr/>
        <w:t xml:space="preserve"> Modernization of classrooms, laboratories, libraries, and ICT-enabled learning spaces.</w:t>
      </w:r>
    </w:p>
    <w:p>
      <w:pPr>
        <w:numPr>
          <w:ilvl w:val="1"/>
          <w:numId w:val="90"/>
        </w:numPr>
        <w:spacing w:after="60"/>
      </w:pPr>
      <w:r>
        <w:rPr>
          <w:b/>
        </w:rPr>
        <w:t>New Construction:</w:t>
      </w:r>
      <w:r>
        <w:rPr/>
        <w:t xml:space="preserve"> Academic blocks, hostels, auditoriums, and sports complexes.</w:t>
      </w:r>
    </w:p>
    <w:p>
      <w:pPr>
        <w:numPr>
          <w:ilvl w:val="1"/>
          <w:numId w:val="90"/>
        </w:numPr>
        <w:spacing w:after="60"/>
      </w:pPr>
      <w:r>
        <w:rPr>
          <w:b/>
        </w:rPr>
        <w:t>Maintenance and Repairs:</w:t>
      </w:r>
      <w:r>
        <w:rPr/>
        <w:t xml:space="preserve"> Routine upkeep of buildings, furniture, campus roads, water systems, and electrical fittings.</w:t>
      </w:r>
    </w:p>
    <w:p>
      <w:pPr>
        <w:numPr>
          <w:ilvl w:val="1"/>
          <w:numId w:val="90"/>
        </w:numPr>
        <w:spacing w:after="60"/>
      </w:pPr>
      <w:r>
        <w:rPr>
          <w:b/>
        </w:rPr>
        <w:t>Safety and Security Systems:</w:t>
      </w:r>
      <w:r>
        <w:rPr/>
        <w:t xml:space="preserve"> Surveillance, fire safety systems, and security services.</w:t>
      </w:r>
    </w:p>
    <w:p>
      <w:pPr>
        <w:numPr>
          <w:ilvl w:val="1"/>
          <w:numId w:val="90"/>
        </w:numPr>
        <w:spacing w:after="60"/>
      </w:pPr>
      <w:r>
        <w:rPr>
          <w:b/>
        </w:rPr>
        <w:t>Significance:</w:t>
      </w:r>
      <w:r>
        <w:rPr/>
        <w:t xml:space="preserve"> Supports long-term campus development and sustainability.</w:t>
      </w:r>
    </w:p>
    <w:p>
      <w:pPr>
        <w:numPr>
          <w:ilvl w:val="0"/>
          <w:numId w:val="90"/>
        </w:numPr>
        <w:spacing w:after="60"/>
      </w:pPr>
      <w:r>
        <w:rPr/>
        <w:t>3. Academic and Research Expenses</w:t>
      </w:r>
    </w:p>
    <w:p>
      <w:pPr>
        <w:numPr>
          <w:ilvl w:val="1"/>
          <w:numId w:val="90"/>
        </w:numPr>
        <w:spacing w:after="60"/>
      </w:pPr>
      <w:r>
        <w:rPr>
          <w:b/>
        </w:rPr>
        <w:t>Seminars, Workshops, and Conferences:</w:t>
      </w:r>
      <w:r>
        <w:rPr/>
        <w:t xml:space="preserve"> Funding for academic events that enhance learning and global exposure.</w:t>
      </w:r>
    </w:p>
    <w:p>
      <w:pPr>
        <w:numPr>
          <w:ilvl w:val="1"/>
          <w:numId w:val="90"/>
        </w:numPr>
        <w:spacing w:after="60"/>
      </w:pPr>
      <w:r>
        <w:rPr>
          <w:b/>
        </w:rPr>
        <w:t>Research Grants:</w:t>
      </w:r>
      <w:r>
        <w:rPr/>
        <w:t xml:space="preserve"> Support for publications, patents, and interdisciplinary projects.</w:t>
      </w:r>
    </w:p>
    <w:p>
      <w:pPr>
        <w:numPr>
          <w:ilvl w:val="1"/>
          <w:numId w:val="90"/>
        </w:numPr>
        <w:spacing w:after="60"/>
      </w:pPr>
      <w:r>
        <w:rPr>
          <w:b/>
        </w:rPr>
        <w:t>Collaborations and MoUs:</w:t>
      </w:r>
      <w:r>
        <w:rPr/>
        <w:t xml:space="preserve"> Partnership expenses with national and international institutions.</w:t>
      </w:r>
    </w:p>
    <w:p>
      <w:pPr>
        <w:numPr>
          <w:ilvl w:val="1"/>
          <w:numId w:val="90"/>
        </w:numPr>
        <w:spacing w:after="60"/>
      </w:pPr>
      <w:r>
        <w:rPr>
          <w:b/>
        </w:rPr>
        <w:t>ICT and Digital Resources:</w:t>
      </w:r>
      <w:r>
        <w:rPr/>
        <w:t xml:space="preserve"> Investment in e-learning platforms, software licenses, and online databases.</w:t>
      </w:r>
    </w:p>
    <w:p>
      <w:pPr>
        <w:numPr>
          <w:ilvl w:val="1"/>
          <w:numId w:val="90"/>
        </w:numPr>
        <w:spacing w:after="60"/>
      </w:pPr>
      <w:r>
        <w:rPr>
          <w:b/>
        </w:rPr>
        <w:t>Significance:</w:t>
      </w:r>
      <w:r>
        <w:rPr/>
        <w:t xml:space="preserve"> Enhances academic reputation, research capacity, and innovation ecosystem.</w:t>
      </w:r>
    </w:p>
    <w:p>
      <w:pPr>
        <w:numPr>
          <w:ilvl w:val="0"/>
          <w:numId w:val="90"/>
        </w:numPr>
        <w:spacing w:after="60"/>
      </w:pPr>
      <w:r>
        <w:rPr/>
        <w:t>4. Faculty and Staff Development</w:t>
      </w:r>
    </w:p>
    <w:p>
      <w:pPr>
        <w:numPr>
          <w:ilvl w:val="1"/>
          <w:numId w:val="90"/>
        </w:numPr>
        <w:spacing w:after="60"/>
      </w:pPr>
      <w:r>
        <w:rPr>
          <w:b/>
        </w:rPr>
        <w:t>Training Programs:</w:t>
      </w:r>
      <w:r>
        <w:rPr/>
        <w:t xml:space="preserve"> Workshops on pedagogy, technology adoption, and subject expertise.</w:t>
      </w:r>
    </w:p>
    <w:p>
      <w:pPr>
        <w:numPr>
          <w:ilvl w:val="1"/>
          <w:numId w:val="90"/>
        </w:numPr>
        <w:spacing w:after="60"/>
      </w:pPr>
      <w:r>
        <w:rPr>
          <w:b/>
        </w:rPr>
        <w:t>Higher Education Support:</w:t>
      </w:r>
      <w:r>
        <w:rPr/>
        <w:t xml:space="preserve"> Sponsorships for advanced degrees, certifications, and research fellowships.</w:t>
      </w:r>
    </w:p>
    <w:p>
      <w:pPr>
        <w:numPr>
          <w:ilvl w:val="1"/>
          <w:numId w:val="90"/>
        </w:numPr>
        <w:spacing w:after="60"/>
      </w:pPr>
      <w:r>
        <w:rPr>
          <w:b/>
        </w:rPr>
        <w:t>Conferences and Exchange Programs:</w:t>
      </w:r>
      <w:r>
        <w:rPr/>
        <w:t xml:space="preserve"> Financial assistance for attending national and international academic events.</w:t>
      </w:r>
    </w:p>
    <w:p>
      <w:pPr>
        <w:numPr>
          <w:ilvl w:val="1"/>
          <w:numId w:val="90"/>
        </w:numPr>
        <w:spacing w:after="60"/>
      </w:pPr>
      <w:r>
        <w:rPr>
          <w:b/>
        </w:rPr>
        <w:t>Skill Development:</w:t>
      </w:r>
      <w:r>
        <w:rPr/>
        <w:t xml:space="preserve"> Soft skills, leadership training, and management development programs.</w:t>
      </w:r>
    </w:p>
    <w:p>
      <w:pPr>
        <w:numPr>
          <w:ilvl w:val="1"/>
          <w:numId w:val="90"/>
        </w:numPr>
        <w:spacing w:after="60"/>
      </w:pPr>
      <w:r>
        <w:rPr>
          <w:b/>
        </w:rPr>
        <w:t>Significance:</w:t>
      </w:r>
      <w:r>
        <w:rPr/>
        <w:t xml:space="preserve"> Builds institutional capacity and strengthens human resource quality.</w:t>
      </w:r>
    </w:p>
    <w:p>
      <w:pPr>
        <w:numPr>
          <w:ilvl w:val="0"/>
          <w:numId w:val="90"/>
        </w:numPr>
        <w:spacing w:after="60"/>
      </w:pPr>
      <w:r>
        <w:rPr/>
        <w:t>5. Student Support and Scholarships</w:t>
      </w:r>
    </w:p>
    <w:p>
      <w:pPr>
        <w:numPr>
          <w:ilvl w:val="1"/>
          <w:numId w:val="90"/>
        </w:numPr>
        <w:spacing w:after="60"/>
      </w:pPr>
      <w:r>
        <w:rPr>
          <w:b/>
        </w:rPr>
        <w:t>Merit-Based Scholarships:</w:t>
      </w:r>
      <w:r>
        <w:rPr/>
        <w:t xml:space="preserve"> Awards to academically outstanding students.</w:t>
      </w:r>
    </w:p>
    <w:p>
      <w:pPr>
        <w:numPr>
          <w:ilvl w:val="1"/>
          <w:numId w:val="90"/>
        </w:numPr>
        <w:spacing w:after="60"/>
      </w:pPr>
      <w:r>
        <w:rPr>
          <w:b/>
        </w:rPr>
        <w:t>Need-Based Financial Aid:</w:t>
      </w:r>
      <w:r>
        <w:rPr/>
        <w:t xml:space="preserve"> Assistance to students from disadvantaged socio-economic backgrounds.</w:t>
      </w:r>
    </w:p>
    <w:p>
      <w:pPr>
        <w:numPr>
          <w:ilvl w:val="1"/>
          <w:numId w:val="90"/>
        </w:numPr>
        <w:spacing w:after="60"/>
      </w:pPr>
      <w:r>
        <w:rPr>
          <w:b/>
        </w:rPr>
        <w:t>Fellowships and Grants:</w:t>
      </w:r>
      <w:r>
        <w:rPr/>
        <w:t xml:space="preserve"> Support for student research, innovation, and entrepreneurship.</w:t>
      </w:r>
    </w:p>
    <w:p>
      <w:pPr>
        <w:numPr>
          <w:ilvl w:val="1"/>
          <w:numId w:val="90"/>
        </w:numPr>
        <w:spacing w:after="60"/>
      </w:pPr>
      <w:r>
        <w:rPr>
          <w:b/>
        </w:rPr>
        <w:t>Emergency Aid and Welfare Funds:</w:t>
      </w:r>
      <w:r>
        <w:rPr/>
        <w:t xml:space="preserve"> Financial support for unforeseen circumstances.</w:t>
      </w:r>
    </w:p>
    <w:p>
      <w:pPr>
        <w:numPr>
          <w:ilvl w:val="1"/>
          <w:numId w:val="90"/>
        </w:numPr>
        <w:spacing w:after="60"/>
      </w:pPr>
      <w:r>
        <w:rPr>
          <w:b/>
        </w:rPr>
        <w:t>Significance:</w:t>
      </w:r>
      <w:r>
        <w:rPr/>
        <w:t xml:space="preserve"> Promotes inclusivity, equity, and access to education.</w:t>
      </w:r>
    </w:p>
    <w:p>
      <w:pPr>
        <w:numPr>
          <w:ilvl w:val="0"/>
          <w:numId w:val="90"/>
        </w:numPr>
        <w:spacing w:after="60"/>
      </w:pPr>
      <w:r>
        <w:rPr/>
        <w:t>6. Cultural and Sports Activities</w:t>
      </w:r>
    </w:p>
    <w:p>
      <w:pPr>
        <w:numPr>
          <w:ilvl w:val="1"/>
          <w:numId w:val="90"/>
        </w:numPr>
        <w:spacing w:after="60"/>
      </w:pPr>
      <w:r>
        <w:rPr>
          <w:b/>
        </w:rPr>
        <w:t>Cultural Programs:</w:t>
      </w:r>
      <w:r>
        <w:rPr/>
        <w:t xml:space="preserve"> Funding for festivals, exhibitions, and performing arts.</w:t>
      </w:r>
    </w:p>
    <w:p>
      <w:pPr>
        <w:numPr>
          <w:ilvl w:val="1"/>
          <w:numId w:val="90"/>
        </w:numPr>
        <w:spacing w:after="60"/>
      </w:pPr>
      <w:r>
        <w:rPr>
          <w:b/>
        </w:rPr>
        <w:t>Sports Infrastructure:</w:t>
      </w:r>
      <w:r>
        <w:rPr/>
        <w:t xml:space="preserve"> Development of grounds, gymnasiums, and purchase of sports equipment.</w:t>
      </w:r>
    </w:p>
    <w:p>
      <w:pPr>
        <w:numPr>
          <w:ilvl w:val="1"/>
          <w:numId w:val="90"/>
        </w:numPr>
        <w:spacing w:after="60"/>
      </w:pPr>
      <w:r>
        <w:rPr>
          <w:b/>
        </w:rPr>
        <w:t>Student Clubs and Societies:</w:t>
      </w:r>
      <w:r>
        <w:rPr/>
        <w:t xml:space="preserve"> Support for extracurricular initiatives such as debate clubs, innovation labs, and community service activities.</w:t>
      </w:r>
    </w:p>
    <w:p>
      <w:pPr>
        <w:numPr>
          <w:ilvl w:val="1"/>
          <w:numId w:val="90"/>
        </w:numPr>
        <w:spacing w:after="60"/>
      </w:pPr>
      <w:r>
        <w:rPr>
          <w:b/>
        </w:rPr>
        <w:t>Inter-University Participation:</w:t>
      </w:r>
      <w:r>
        <w:rPr/>
        <w:t xml:space="preserve"> Sponsorship for national and international competitions.</w:t>
      </w:r>
    </w:p>
    <w:p>
      <w:pPr>
        <w:numPr>
          <w:ilvl w:val="1"/>
          <w:numId w:val="90"/>
        </w:numPr>
        <w:spacing w:after="60"/>
      </w:pPr>
      <w:r>
        <w:rPr>
          <w:b/>
        </w:rPr>
        <w:t>Significance:</w:t>
      </w:r>
      <w:r>
        <w:rPr/>
        <w:t xml:space="preserve"> Promotes holistic development, team spirit, and leadership among students.</w:t>
      </w:r>
    </w:p>
    <w:p>
      <w:pPr>
        <w:numPr>
          <w:ilvl w:val="0"/>
          <w:numId w:val="90"/>
        </w:numPr>
        <w:spacing w:after="60"/>
      </w:pPr>
      <w:r>
        <w:rPr/>
        <w:t>7. Purchase of Books, Equipment, and Learning Resources</w:t>
      </w:r>
    </w:p>
    <w:p>
      <w:pPr>
        <w:numPr>
          <w:ilvl w:val="1"/>
          <w:numId w:val="90"/>
        </w:numPr>
        <w:spacing w:after="60"/>
      </w:pPr>
      <w:r>
        <w:rPr>
          <w:b/>
        </w:rPr>
        <w:t>Library Development:</w:t>
      </w:r>
      <w:r>
        <w:rPr/>
        <w:t xml:space="preserve"> Acquisition of textbooks, reference books, journals, and e-resources.</w:t>
      </w:r>
    </w:p>
    <w:p>
      <w:pPr>
        <w:numPr>
          <w:ilvl w:val="1"/>
          <w:numId w:val="90"/>
        </w:numPr>
        <w:spacing w:after="60"/>
      </w:pPr>
      <w:r>
        <w:rPr>
          <w:b/>
        </w:rPr>
        <w:t>Laboratory Equipment:</w:t>
      </w:r>
      <w:r>
        <w:rPr/>
        <w:t xml:space="preserve"> Procurement of instruments, chemicals, and materials for science and engineering labs.</w:t>
      </w:r>
    </w:p>
    <w:p>
      <w:pPr>
        <w:numPr>
          <w:ilvl w:val="1"/>
          <w:numId w:val="90"/>
        </w:numPr>
        <w:spacing w:after="60"/>
      </w:pPr>
      <w:r>
        <w:rPr>
          <w:b/>
        </w:rPr>
        <w:t>ICT Resources:</w:t>
      </w:r>
      <w:r>
        <w:rPr/>
        <w:t xml:space="preserve"> Computers, projectors, smart boards, and servers.</w:t>
      </w:r>
    </w:p>
    <w:p>
      <w:pPr>
        <w:numPr>
          <w:ilvl w:val="1"/>
          <w:numId w:val="90"/>
        </w:numPr>
        <w:spacing w:after="60"/>
      </w:pPr>
      <w:r>
        <w:rPr>
          <w:b/>
        </w:rPr>
        <w:t>Digital Learning Platforms:</w:t>
      </w:r>
      <w:r>
        <w:rPr/>
        <w:t xml:space="preserve"> Subscriptions to e-libraries, online journals, and educational databases.</w:t>
      </w:r>
    </w:p>
    <w:p>
      <w:pPr>
        <w:numPr>
          <w:ilvl w:val="1"/>
          <w:numId w:val="90"/>
        </w:numPr>
        <w:spacing w:after="60"/>
      </w:pPr>
      <w:r>
        <w:rPr>
          <w:b/>
        </w:rPr>
        <w:t>Significance:</w:t>
      </w:r>
      <w:r>
        <w:rPr/>
        <w:t xml:space="preserve"> Strengthens academic quality and enhances learning outcomes.</w:t>
      </w:r>
    </w:p>
    <w:p>
      <w:pPr>
        <w:spacing w:after="0"/>
      </w:pPr>
      <w:r>
        <w:br w:type="page"/>
      </w:r>
    </w:p>
    <w:p>
      <w:pPr>
        <w:pStyle w:val="Heading1"/>
        <w:spacing w:before="0"/>
      </w:pPr>
      <w:r>
        <w:rPr/>
        <w:t>6. Monitoring of Policy Implementation</w:t>
      </w:r>
    </w:p>
    <w:p>
      <w:r>
        <w:rPr/>
        <w:t>The effective execution of the Finance Policy requires a structured monitoring mechanism to ensure accountability, transparency, and adherence to institutional goals. The Registrar/Principal and the Finance Officer hold primary responsibility for implementing and supervising the Resource Mobilization Plan, supported by oversight from the Governing Body.</w:t>
      </w:r>
    </w:p>
    <w:p>
      <w:pPr>
        <w:numPr>
          <w:ilvl w:val="0"/>
          <w:numId w:val="90"/>
        </w:numPr>
        <w:spacing w:after="60"/>
      </w:pPr>
      <w:r>
        <w:rPr/>
        <w:t>Daily Payment Approvals</w:t>
      </w:r>
    </w:p>
    <w:p>
      <w:pPr>
        <w:numPr>
          <w:ilvl w:val="1"/>
          <w:numId w:val="90"/>
        </w:numPr>
        <w:spacing w:after="60"/>
      </w:pPr>
      <w:r>
        <w:rPr/>
        <w:t>The Finance Officer is tasked with reviewing and authorizing day-to-day payments.</w:t>
      </w:r>
    </w:p>
    <w:p>
      <w:pPr>
        <w:numPr>
          <w:ilvl w:val="1"/>
          <w:numId w:val="90"/>
        </w:numPr>
        <w:spacing w:after="60"/>
      </w:pPr>
      <w:r>
        <w:rPr/>
        <w:t>This ensures that all expenditures are consistent with approved budgetary allocations and comply with financial regulations, procurement norms, and internal control procedures.</w:t>
      </w:r>
    </w:p>
    <w:p>
      <w:pPr>
        <w:numPr>
          <w:ilvl w:val="1"/>
          <w:numId w:val="90"/>
        </w:numPr>
        <w:spacing w:after="60"/>
      </w:pPr>
      <w:r>
        <w:rPr/>
        <w:t>Helps prevent unauthorized spending and maintains discipline in cash flow management.</w:t>
      </w:r>
    </w:p>
    <w:p>
      <w:pPr>
        <w:numPr>
          <w:ilvl w:val="0"/>
          <w:numId w:val="90"/>
        </w:numPr>
        <w:spacing w:after="60"/>
      </w:pPr>
      <w:r>
        <w:rPr/>
        <w:t>Budget Finalization</w:t>
      </w:r>
    </w:p>
    <w:p>
      <w:pPr>
        <w:numPr>
          <w:ilvl w:val="1"/>
          <w:numId w:val="90"/>
        </w:numPr>
        <w:spacing w:after="60"/>
      </w:pPr>
      <w:r>
        <w:rPr/>
        <w:t>The Governing Body plays a central role in approving the annual budget, which is prepared based on projected cash inflows, anticipated revenues, and planned expenditure commitments.</w:t>
      </w:r>
    </w:p>
    <w:p>
      <w:pPr>
        <w:numPr>
          <w:ilvl w:val="1"/>
          <w:numId w:val="90"/>
        </w:numPr>
        <w:spacing w:after="60"/>
      </w:pPr>
      <w:r>
        <w:rPr/>
        <w:t>Budgeting integrates both short-term operational needs and long-term strategic priorities of the institution.</w:t>
      </w:r>
    </w:p>
    <w:p>
      <w:pPr>
        <w:numPr>
          <w:ilvl w:val="1"/>
          <w:numId w:val="90"/>
        </w:numPr>
        <w:spacing w:after="60"/>
      </w:pPr>
      <w:r>
        <w:rPr/>
        <w:t>This process ensures financial planning is realistic, sustainable, and aligned with institutional development goals.</w:t>
      </w:r>
    </w:p>
    <w:p>
      <w:pPr>
        <w:numPr>
          <w:ilvl w:val="0"/>
          <w:numId w:val="90"/>
        </w:numPr>
        <w:spacing w:after="60"/>
      </w:pPr>
      <w:r>
        <w:rPr/>
        <w:t>Financial Control and Monitoring</w:t>
      </w:r>
    </w:p>
    <w:p>
      <w:pPr>
        <w:numPr>
          <w:ilvl w:val="1"/>
          <w:numId w:val="90"/>
        </w:numPr>
        <w:spacing w:after="60"/>
      </w:pPr>
      <w:r>
        <w:rPr/>
        <w:t>Continuous monitoring of financial performance against budgetary targets is conducted to assess institutional financial health.</w:t>
      </w:r>
    </w:p>
    <w:p>
      <w:pPr>
        <w:numPr>
          <w:ilvl w:val="1"/>
          <w:numId w:val="90"/>
        </w:numPr>
        <w:spacing w:after="60"/>
      </w:pPr>
      <w:r>
        <w:rPr/>
        <w:t>Periodic reports (monthly/quarterly/annual) are prepared by the Finance Officer and submitted to the Registrar/Principal and Governing Body.</w:t>
      </w:r>
    </w:p>
    <w:p>
      <w:pPr>
        <w:numPr>
          <w:ilvl w:val="1"/>
          <w:numId w:val="90"/>
        </w:numPr>
        <w:spacing w:after="60"/>
      </w:pPr>
      <w:r>
        <w:rPr/>
        <w:t>Deviations from budget estimates are identified early, allowing timely corrective action to maintain stability and efficiency.</w:t>
      </w:r>
    </w:p>
    <w:p>
      <w:pPr>
        <w:numPr>
          <w:ilvl w:val="1"/>
          <w:numId w:val="90"/>
        </w:numPr>
        <w:spacing w:after="60"/>
      </w:pPr>
      <w:r>
        <w:rPr/>
        <w:t>Monitoring also includes tracking compliance with statutory requirements, grants utilization, and audit recommendations.</w:t>
      </w:r>
    </w:p>
    <w:p>
      <w:pPr>
        <w:numPr>
          <w:ilvl w:val="0"/>
          <w:numId w:val="90"/>
        </w:numPr>
        <w:spacing w:after="60"/>
      </w:pPr>
      <w:r>
        <w:rPr/>
        <w:t>Major Rectifications</w:t>
      </w:r>
    </w:p>
    <w:p>
      <w:pPr>
        <w:numPr>
          <w:ilvl w:val="1"/>
          <w:numId w:val="90"/>
        </w:numPr>
        <w:spacing w:after="60"/>
      </w:pPr>
      <w:r>
        <w:rPr/>
        <w:t>Any significant deviations, unforeseen expenditures, or required adjustments to the financial plan must be presented to the Governing Body for approval.</w:t>
      </w:r>
    </w:p>
    <w:p>
      <w:pPr>
        <w:numPr>
          <w:ilvl w:val="1"/>
          <w:numId w:val="90"/>
        </w:numPr>
        <w:spacing w:after="60"/>
      </w:pPr>
      <w:r>
        <w:rPr/>
        <w:t>This ensures that financial stability is safeguarded and decisions are taken with full accountability.</w:t>
      </w:r>
    </w:p>
    <w:p>
      <w:pPr>
        <w:numPr>
          <w:ilvl w:val="1"/>
          <w:numId w:val="90"/>
        </w:numPr>
        <w:spacing w:after="60"/>
      </w:pPr>
      <w:r>
        <w:rPr/>
        <w:t>Examples include reallocating funds for new infrastructure projects, responding to unexpected crises (e.g., natural calamities, urgent repairs), or revising staff development budgets.</w:t>
      </w:r>
    </w:p>
    <w:p>
      <w:pPr>
        <w:numPr>
          <w:ilvl w:val="0"/>
          <w:numId w:val="90"/>
        </w:numPr>
        <w:spacing w:after="60"/>
      </w:pPr>
      <w:r>
        <w:rPr/>
        <w:t>Accountability and Reporting</w:t>
      </w:r>
    </w:p>
    <w:p>
      <w:pPr>
        <w:numPr>
          <w:ilvl w:val="1"/>
          <w:numId w:val="90"/>
        </w:numPr>
        <w:spacing w:after="60"/>
      </w:pPr>
      <w:r>
        <w:rPr/>
        <w:t>Annual financial statements are audited internally and externally to validate accuracy, transparency, and compliance with accounting standards.</w:t>
      </w:r>
    </w:p>
    <w:p>
      <w:pPr>
        <w:numPr>
          <w:ilvl w:val="1"/>
          <w:numId w:val="90"/>
        </w:numPr>
        <w:spacing w:after="60"/>
      </w:pPr>
      <w:r>
        <w:rPr/>
        <w:t>Reports are submitted to statutory authorities, funding agencies, and accreditation bodies (NAAC/NBA) as required.</w:t>
      </w:r>
    </w:p>
    <w:p>
      <w:pPr>
        <w:numPr>
          <w:ilvl w:val="1"/>
          <w:numId w:val="90"/>
        </w:numPr>
        <w:spacing w:after="60"/>
      </w:pPr>
      <w:r>
        <w:rPr/>
        <w:t>Transparency is reinforced through disclosures to stakeholders, including faculty, students, and donors, thereby strengthening trust and institutional credibility.</w:t>
      </w:r>
    </w:p>
    <w:p>
      <w:pPr>
        <w:spacing w:after="0"/>
      </w:pPr>
      <w:r>
        <w:br w:type="page"/>
      </w:r>
    </w:p>
    <w:p>
      <w:pPr>
        <w:pStyle w:val="Heading1"/>
        <w:spacing w:before="0"/>
      </w:pPr>
      <w:r>
        <w:rPr/>
        <w:t>7. Powers and Duties of the Finance Officer</w:t>
      </w:r>
    </w:p>
    <w:p>
      <w:pPr>
        <w:tabs>
          <w:tab w:pos="425" w:val="left"/>
        </w:tabs>
        <w:spacing w:after="60"/>
        <w:ind w:left="425" w:hanging="425"/>
      </w:pPr>
      <w:r>
        <w:rPr>
          <w:b/>
        </w:rPr>
        <w:t>1.</w:t>
      </w:r>
      <w:r>
        <w:rPr/>
        <w:tab/>
        <w:t>Appointment and Eligibility:</w:t>
      </w:r>
    </w:p>
    <w:p>
      <w:pPr>
        <w:numPr>
          <w:ilvl w:val="1"/>
          <w:numId w:val="90"/>
        </w:numPr>
        <w:spacing w:after="60"/>
      </w:pPr>
      <w:r>
        <w:rPr/>
        <w:t>The Finance Officer (F.O.) shall be appointed according to the provisions of the institution’s regulations. The salary and allowances of the Finance Officer will be determined by the Governing Body.</w:t>
      </w:r>
    </w:p>
    <w:p>
      <w:pPr>
        <w:tabs>
          <w:tab w:pos="425" w:val="left"/>
        </w:tabs>
        <w:spacing w:after="60"/>
        <w:ind w:left="425" w:hanging="425"/>
      </w:pPr>
      <w:r>
        <w:rPr>
          <w:b/>
        </w:rPr>
        <w:t>2.</w:t>
      </w:r>
      <w:r>
        <w:rPr/>
        <w:tab/>
        <w:t>Interim Appointment:</w:t>
      </w:r>
    </w:p>
    <w:p>
      <w:pPr>
        <w:numPr>
          <w:ilvl w:val="1"/>
          <w:numId w:val="90"/>
        </w:numPr>
        <w:spacing w:after="60"/>
      </w:pPr>
      <w:r>
        <w:rPr/>
        <w:t>In the event that the office of the Finance Officer is vacant, the duties of the Finance Officer will be performed by an Administrative Officer appointed by the principal.</w:t>
      </w:r>
    </w:p>
    <w:p>
      <w:pPr>
        <w:tabs>
          <w:tab w:pos="425" w:val="left"/>
        </w:tabs>
        <w:spacing w:after="60"/>
        <w:ind w:left="425" w:hanging="425"/>
      </w:pPr>
      <w:r>
        <w:rPr>
          <w:b/>
        </w:rPr>
        <w:t>3.</w:t>
      </w:r>
      <w:r>
        <w:rPr/>
        <w:tab/>
        <w:t>Accounting Responsibilities:</w:t>
      </w:r>
    </w:p>
    <w:p>
      <w:pPr>
        <w:numPr>
          <w:ilvl w:val="1"/>
          <w:numId w:val="90"/>
        </w:numPr>
        <w:spacing w:after="60"/>
      </w:pPr>
      <w:r>
        <w:rPr/>
        <w:t>The Finance Officer is responsible for maintaining the accounts of the college and providing advice on all matters related to income and expenditure.</w:t>
      </w:r>
    </w:p>
    <w:p>
      <w:pPr>
        <w:tabs>
          <w:tab w:pos="425" w:val="left"/>
        </w:tabs>
        <w:spacing w:after="60"/>
        <w:ind w:left="425" w:hanging="425"/>
      </w:pPr>
      <w:r>
        <w:rPr>
          <w:b/>
        </w:rPr>
        <w:t>4.</w:t>
      </w:r>
      <w:r>
        <w:rPr/>
        <w:tab/>
        <w:t>Secretary to the Finance Committee:</w:t>
      </w:r>
    </w:p>
    <w:p>
      <w:pPr>
        <w:numPr>
          <w:ilvl w:val="1"/>
          <w:numId w:val="90"/>
        </w:numPr>
        <w:spacing w:after="60"/>
      </w:pPr>
      <w:r>
        <w:rPr/>
        <w:t>The Finance Officer serves as the Secretary of the Finance Committee, facilitating the smooth operation and reporting of the committee’s activities.</w:t>
      </w:r>
    </w:p>
    <w:p>
      <w:pPr>
        <w:tabs>
          <w:tab w:pos="425" w:val="left"/>
        </w:tabs>
        <w:spacing w:after="60"/>
        <w:ind w:left="425" w:hanging="425"/>
      </w:pPr>
      <w:r>
        <w:rPr>
          <w:b/>
        </w:rPr>
        <w:t>5.</w:t>
      </w:r>
      <w:r>
        <w:rPr/>
        <w:tab/>
        <w:t>Preparation of Accounts and Budget Estimates:</w:t>
      </w:r>
    </w:p>
    <w:p>
      <w:pPr>
        <w:numPr>
          <w:ilvl w:val="1"/>
          <w:numId w:val="90"/>
        </w:numPr>
        <w:spacing w:after="60"/>
      </w:pPr>
      <w:r>
        <w:rPr/>
        <w:t>The Finance Officer is responsible for:</w:t>
      </w:r>
    </w:p>
    <w:p>
      <w:pPr>
        <w:numPr>
          <w:ilvl w:val="2"/>
          <w:numId w:val="90"/>
        </w:numPr>
        <w:spacing w:after="60"/>
      </w:pPr>
      <w:r>
        <w:rPr/>
        <w:t>Preparing the Annual Accounts for the previous year.</w:t>
      </w:r>
    </w:p>
    <w:p>
      <w:pPr>
        <w:numPr>
          <w:ilvl w:val="2"/>
          <w:numId w:val="90"/>
        </w:numPr>
        <w:spacing w:after="60"/>
      </w:pPr>
      <w:r>
        <w:rPr/>
        <w:t>Preparing the Budget Estimates for the next financial year and the Revised Estimates for the current year.</w:t>
      </w:r>
    </w:p>
    <w:p>
      <w:pPr>
        <w:numPr>
          <w:ilvl w:val="2"/>
          <w:numId w:val="90"/>
        </w:numPr>
        <w:spacing w:after="60"/>
      </w:pPr>
      <w:r>
        <w:rPr/>
        <w:t>Submitting these documents to the Board of Management (BOM) through the Finance Committee.</w:t>
      </w:r>
    </w:p>
    <w:p>
      <w:pPr>
        <w:tabs>
          <w:tab w:pos="425" w:val="left"/>
        </w:tabs>
        <w:spacing w:after="60"/>
        <w:ind w:left="425" w:hanging="425"/>
      </w:pPr>
      <w:r>
        <w:rPr>
          <w:b/>
        </w:rPr>
        <w:t>6.</w:t>
      </w:r>
      <w:r>
        <w:rPr/>
        <w:tab/>
        <w:t>Specific Duties:</w:t>
      </w:r>
    </w:p>
    <w:p>
      <w:pPr>
        <w:numPr>
          <w:ilvl w:val="1"/>
          <w:numId w:val="90"/>
        </w:numPr>
        <w:spacing w:after="60"/>
      </w:pPr>
      <w:r>
        <w:rPr>
          <w:b/>
        </w:rPr>
        <w:t>Budget Oversight:</w:t>
      </w:r>
      <w:r>
        <w:rPr/>
        <w:t xml:space="preserve"> Ensure that the limits set in the budget for both recurring and non-recurring expenditure are adhered to, and that funds are only used for their designated purposes, subject to the Finance Rules of the institution.</w:t>
      </w:r>
    </w:p>
    <w:p>
      <w:pPr>
        <w:numPr>
          <w:ilvl w:val="1"/>
          <w:numId w:val="90"/>
        </w:numPr>
        <w:spacing w:after="60"/>
      </w:pPr>
      <w:r>
        <w:rPr>
          <w:b/>
        </w:rPr>
        <w:t>Monitoring Unspent Balances:</w:t>
      </w:r>
      <w:r>
        <w:rPr/>
        <w:t xml:space="preserve"> Keep track of any unspent balances under various budget heads and bring them to the notice of the principal.</w:t>
      </w:r>
    </w:p>
    <w:p>
      <w:pPr>
        <w:numPr>
          <w:ilvl w:val="1"/>
          <w:numId w:val="90"/>
        </w:numPr>
        <w:spacing w:after="60"/>
      </w:pPr>
      <w:r>
        <w:rPr>
          <w:b/>
        </w:rPr>
        <w:t>Bank Balances and Investments:</w:t>
      </w:r>
      <w:r>
        <w:rPr/>
        <w:t xml:space="preserve"> Regularly monitor the college’s bank balances and investment status and report them to the principal.</w:t>
      </w:r>
    </w:p>
    <w:p>
      <w:pPr>
        <w:numPr>
          <w:ilvl w:val="1"/>
          <w:numId w:val="90"/>
        </w:numPr>
        <w:spacing w:after="60"/>
      </w:pPr>
      <w:r>
        <w:rPr>
          <w:b/>
        </w:rPr>
        <w:t>Revenue Collection:</w:t>
      </w:r>
      <w:r>
        <w:rPr/>
        <w:t xml:space="preserve"> Oversee the progress of revenue collection and recommend effective methods to avoid delays or errors.</w:t>
      </w:r>
    </w:p>
    <w:p>
      <w:pPr>
        <w:numPr>
          <w:ilvl w:val="1"/>
          <w:numId w:val="90"/>
        </w:numPr>
        <w:spacing w:after="60"/>
      </w:pPr>
      <w:r>
        <w:rPr>
          <w:b/>
        </w:rPr>
        <w:t>Audit:</w:t>
      </w:r>
      <w:r>
        <w:rPr/>
        <w:t xml:space="preserve"> Ensure that the college’s accounts are audited regularly as per the Board of Management’s prescribed procedure. The Audit Report and any audit objections must be presented to the BOM along with appropriate explanations.</w:t>
      </w:r>
    </w:p>
    <w:p>
      <w:pPr>
        <w:numPr>
          <w:ilvl w:val="1"/>
          <w:numId w:val="90"/>
        </w:numPr>
        <w:spacing w:after="60"/>
      </w:pPr>
      <w:r>
        <w:rPr>
          <w:b/>
        </w:rPr>
        <w:t>Addressing Financial Irregularities:</w:t>
      </w:r>
      <w:r>
        <w:rPr/>
        <w:t xml:space="preserve"> Investigate unauthorized expenditure or other financial irregularities, demand explanations from employees responsible, and recommend disciplinary action if needed.</w:t>
      </w:r>
    </w:p>
    <w:p>
      <w:pPr>
        <w:numPr>
          <w:ilvl w:val="1"/>
          <w:numId w:val="90"/>
        </w:numPr>
        <w:spacing w:after="60"/>
      </w:pPr>
      <w:r>
        <w:rPr>
          <w:b/>
        </w:rPr>
        <w:t>Information Requests:</w:t>
      </w:r>
      <w:r>
        <w:rPr/>
        <w:t xml:space="preserve"> Request financial information or returns from any office or department deemed necessary for carrying out the Finance Officer’s duties.</w:t>
      </w:r>
    </w:p>
    <w:p>
      <w:pPr>
        <w:numPr>
          <w:ilvl w:val="1"/>
          <w:numId w:val="90"/>
        </w:numPr>
        <w:spacing w:after="60"/>
      </w:pPr>
      <w:r>
        <w:rPr>
          <w:b/>
        </w:rPr>
        <w:t>No Dues Certificates:</w:t>
      </w:r>
      <w:r>
        <w:rPr/>
        <w:t xml:space="preserve"> Issue "No Dues Certificates" to employees being relieved or retiring after verifying their financial status.</w:t>
      </w:r>
    </w:p>
    <w:p>
      <w:pPr>
        <w:tabs>
          <w:tab w:pos="425" w:val="left"/>
        </w:tabs>
        <w:spacing w:after="60"/>
        <w:ind w:left="425" w:hanging="425"/>
      </w:pPr>
      <w:r>
        <w:rPr>
          <w:b/>
        </w:rPr>
        <w:t>7.</w:t>
      </w:r>
      <w:r>
        <w:rPr/>
        <w:tab/>
        <w:t>Receipt Issuance:</w:t>
      </w:r>
    </w:p>
    <w:p>
      <w:pPr>
        <w:numPr>
          <w:ilvl w:val="1"/>
          <w:numId w:val="90"/>
        </w:numPr>
        <w:spacing w:after="60"/>
      </w:pPr>
      <w:r>
        <w:rPr/>
        <w:t>The receipts issued by the Finance Officer or any employee authorized by the principal for payments made to the college shall be valid proof of the transaction and shall serve as a sufficient discharge for the payment.</w:t>
      </w:r>
    </w:p>
    <w:p>
      <w:pPr>
        <w:tabs>
          <w:tab w:pos="425" w:val="left"/>
        </w:tabs>
        <w:spacing w:after="60"/>
        <w:ind w:left="425" w:hanging="425"/>
      </w:pPr>
      <w:r>
        <w:rPr>
          <w:b/>
        </w:rPr>
        <w:t>8.</w:t>
      </w:r>
      <w:r>
        <w:rPr/>
        <w:tab/>
        <w:t>Other Functions:</w:t>
      </w:r>
    </w:p>
    <w:p>
      <w:pPr>
        <w:numPr>
          <w:ilvl w:val="1"/>
          <w:numId w:val="90"/>
        </w:numPr>
        <w:spacing w:after="60"/>
      </w:pPr>
      <w:r>
        <w:rPr/>
        <w:t>The Finance Officer may perform other functions as assigned by the Governing Body, the Principal, or as specified in the Rules or Regulations of the institution.</w:t>
      </w:r>
    </w:p>
    <w:p>
      <w:pPr>
        <w:tabs>
          <w:tab w:pos="425" w:val="left"/>
        </w:tabs>
        <w:spacing w:after="60"/>
        <w:ind w:left="425" w:hanging="425"/>
      </w:pPr>
      <w:r>
        <w:rPr>
          <w:b/>
        </w:rPr>
        <w:t>9.</w:t>
      </w:r>
      <w:r>
        <w:rPr/>
        <w:tab/>
        <w:t>Financial Authority:</w:t>
      </w:r>
    </w:p>
    <w:p>
      <w:pPr>
        <w:numPr>
          <w:ilvl w:val="1"/>
          <w:numId w:val="90"/>
        </w:numPr>
        <w:spacing w:after="60"/>
      </w:pPr>
      <w:r>
        <w:rPr/>
        <w:t>The Finance Officer has the authority to pass bills and issue cheques for payments on behalf of the college. In the absence of the Finance Officer, this responsibility is delegated to the Administrative Officer (AO) or any other designated officer, who may also have the power to pass bills and sign cheques.</w:t>
      </w:r>
    </w:p>
    <w:p>
      <w:pPr>
        <w:spacing w:after="0"/>
      </w:pPr>
      <w:r>
        <w:br w:type="page"/>
      </w:r>
    </w:p>
    <w:p>
      <w:pPr>
        <w:pStyle w:val="Heading1"/>
        <w:spacing w:before="0"/>
      </w:pPr>
      <w:r>
        <w:rPr/>
        <w:t>8. Fee Payments by Students</w:t>
      </w:r>
    </w:p>
    <w:p>
      <w:pPr>
        <w:tabs>
          <w:tab w:pos="425" w:val="left"/>
        </w:tabs>
        <w:spacing w:after="60"/>
        <w:ind w:left="425" w:hanging="425"/>
      </w:pPr>
      <w:r>
        <w:rPr>
          <w:b/>
        </w:rPr>
        <w:t>1.</w:t>
      </w:r>
      <w:r>
        <w:rPr/>
        <w:tab/>
        <w:t>Payment Deadline:</w:t>
      </w:r>
    </w:p>
    <w:p>
      <w:pPr>
        <w:numPr>
          <w:ilvl w:val="1"/>
          <w:numId w:val="90"/>
        </w:numPr>
        <w:spacing w:after="60"/>
      </w:pPr>
      <w:r>
        <w:rPr/>
        <w:t>All students are required to pay their tuition and other fees in full within one month from the beginning of each academic year.</w:t>
      </w:r>
    </w:p>
    <w:p>
      <w:pPr>
        <w:tabs>
          <w:tab w:pos="425" w:val="left"/>
        </w:tabs>
        <w:spacing w:after="60"/>
        <w:ind w:left="425" w:hanging="425"/>
      </w:pPr>
      <w:r>
        <w:rPr>
          <w:b/>
        </w:rPr>
        <w:t>2.</w:t>
      </w:r>
      <w:r>
        <w:rPr/>
        <w:tab/>
        <w:t>Delayed or Part Payments:</w:t>
      </w:r>
    </w:p>
    <w:p>
      <w:pPr>
        <w:numPr>
          <w:ilvl w:val="1"/>
          <w:numId w:val="90"/>
        </w:numPr>
        <w:spacing w:after="60"/>
      </w:pPr>
      <w:r>
        <w:rPr/>
        <w:t>Delayed payments or part payments must be approved by the principal. If no approval is obtained, the fee payment will be considered as unpaid.</w:t>
      </w:r>
    </w:p>
    <w:p>
      <w:pPr>
        <w:numPr>
          <w:ilvl w:val="1"/>
          <w:numId w:val="90"/>
        </w:numPr>
        <w:spacing w:after="60"/>
      </w:pPr>
      <w:r>
        <w:rPr/>
        <w:t>The principal may permit delayed or part payments for a maximum period of 15 days only. After this period, fees will be considered overdue.</w:t>
      </w:r>
    </w:p>
    <w:p>
      <w:pPr>
        <w:tabs>
          <w:tab w:pos="425" w:val="left"/>
        </w:tabs>
        <w:spacing w:after="60"/>
        <w:ind w:left="425" w:hanging="425"/>
      </w:pPr>
      <w:r>
        <w:rPr>
          <w:b/>
        </w:rPr>
        <w:t>3.</w:t>
      </w:r>
      <w:r>
        <w:rPr/>
        <w:tab/>
        <w:t>Non-Refundable Fees:</w:t>
      </w:r>
    </w:p>
    <w:p>
      <w:pPr>
        <w:numPr>
          <w:ilvl w:val="1"/>
          <w:numId w:val="90"/>
        </w:numPr>
        <w:spacing w:after="60"/>
      </w:pPr>
      <w:r>
        <w:rPr/>
        <w:t>Fees, once paid, cannot be refunded or adjusted in any manner for reasons such as:</w:t>
      </w:r>
    </w:p>
    <w:p>
      <w:pPr>
        <w:numPr>
          <w:ilvl w:val="2"/>
          <w:numId w:val="90"/>
        </w:numPr>
        <w:spacing w:after="60"/>
      </w:pPr>
      <w:r>
        <w:rPr/>
        <w:t>Discontinuation of studies</w:t>
      </w:r>
    </w:p>
    <w:p>
      <w:pPr>
        <w:numPr>
          <w:ilvl w:val="2"/>
          <w:numId w:val="90"/>
        </w:numPr>
        <w:spacing w:after="60"/>
      </w:pPr>
      <w:r>
        <w:rPr/>
        <w:t>Detention</w:t>
      </w:r>
    </w:p>
    <w:p>
      <w:pPr>
        <w:numPr>
          <w:ilvl w:val="2"/>
          <w:numId w:val="90"/>
        </w:numPr>
        <w:spacing w:after="60"/>
      </w:pPr>
      <w:r>
        <w:rPr/>
        <w:t>Approved leave</w:t>
      </w:r>
    </w:p>
    <w:p>
      <w:pPr>
        <w:numPr>
          <w:ilvl w:val="2"/>
          <w:numId w:val="90"/>
        </w:numPr>
        <w:spacing w:after="60"/>
      </w:pPr>
      <w:r>
        <w:rPr/>
        <w:t>Any other similar reason.</w:t>
      </w:r>
    </w:p>
    <w:p>
      <w:pPr>
        <w:tabs>
          <w:tab w:pos="425" w:val="left"/>
        </w:tabs>
        <w:spacing w:after="60"/>
        <w:ind w:left="425" w:hanging="425"/>
      </w:pPr>
      <w:r>
        <w:rPr>
          <w:b/>
        </w:rPr>
        <w:t>4.</w:t>
      </w:r>
      <w:r>
        <w:rPr/>
        <w:tab/>
        <w:t>Annual Payment:</w:t>
      </w:r>
    </w:p>
    <w:p>
      <w:pPr>
        <w:numPr>
          <w:ilvl w:val="1"/>
          <w:numId w:val="90"/>
        </w:numPr>
        <w:spacing w:after="60"/>
      </w:pPr>
      <w:r>
        <w:rPr/>
        <w:t>Fees paid by the students will be considered for the entire academic year and cannot be adjusted or refunded for any specific semester.</w:t>
      </w:r>
    </w:p>
    <w:p>
      <w:pPr>
        <w:tabs>
          <w:tab w:pos="425" w:val="left"/>
        </w:tabs>
        <w:spacing w:after="60"/>
        <w:ind w:left="425" w:hanging="425"/>
      </w:pPr>
      <w:r>
        <w:rPr>
          <w:b/>
        </w:rPr>
        <w:t>5.</w:t>
      </w:r>
      <w:r>
        <w:rPr/>
        <w:tab/>
        <w:t>Additional Fees:</w:t>
      </w:r>
    </w:p>
    <w:p>
      <w:pPr>
        <w:numPr>
          <w:ilvl w:val="1"/>
          <w:numId w:val="90"/>
        </w:numPr>
        <w:spacing w:after="60"/>
      </w:pPr>
      <w:r>
        <w:rPr>
          <w:b/>
        </w:rPr>
        <w:t>Extra Training Fees:</w:t>
      </w:r>
      <w:r>
        <w:rPr/>
        <w:t xml:space="preserve"> Students shall pay separately for any extra training provided that enhances the skills required by the industry.</w:t>
      </w:r>
    </w:p>
    <w:p>
      <w:pPr>
        <w:numPr>
          <w:ilvl w:val="1"/>
          <w:numId w:val="90"/>
        </w:numPr>
        <w:spacing w:after="60"/>
      </w:pPr>
      <w:r>
        <w:rPr>
          <w:b/>
        </w:rPr>
        <w:t>Transport Charges and Hostel Fees:</w:t>
      </w:r>
      <w:r>
        <w:rPr/>
        <w:t xml:space="preserve"> These will be paid separately in addition to tuition fees and any fees for extra training.</w:t>
      </w:r>
    </w:p>
    <w:p>
      <w:pPr>
        <w:numPr>
          <w:ilvl w:val="1"/>
          <w:numId w:val="90"/>
        </w:numPr>
        <w:spacing w:after="60"/>
      </w:pPr>
      <w:r>
        <w:rPr>
          <w:b/>
        </w:rPr>
        <w:t>Caution Deposit:</w:t>
      </w:r>
      <w:r>
        <w:rPr/>
        <w:t xml:space="preserve"> Students are required to pay a caution deposit. This deposit will be refunded when the student leaves the college, after deducting charges for:</w:t>
      </w:r>
    </w:p>
    <w:p>
      <w:pPr>
        <w:numPr>
          <w:ilvl w:val="2"/>
          <w:numId w:val="90"/>
        </w:numPr>
        <w:spacing w:after="60"/>
      </w:pPr>
      <w:r>
        <w:rPr/>
        <w:t>ID card</w:t>
      </w:r>
    </w:p>
    <w:p>
      <w:pPr>
        <w:numPr>
          <w:ilvl w:val="2"/>
          <w:numId w:val="90"/>
        </w:numPr>
        <w:spacing w:after="60"/>
      </w:pPr>
      <w:r>
        <w:rPr/>
        <w:t>Industrial Visits</w:t>
      </w:r>
    </w:p>
    <w:p>
      <w:pPr>
        <w:numPr>
          <w:ilvl w:val="2"/>
          <w:numId w:val="90"/>
        </w:numPr>
        <w:spacing w:after="60"/>
      </w:pPr>
      <w:r>
        <w:rPr/>
        <w:t>Alumni membership</w:t>
      </w:r>
    </w:p>
    <w:p>
      <w:pPr>
        <w:numPr>
          <w:ilvl w:val="2"/>
          <w:numId w:val="90"/>
        </w:numPr>
        <w:spacing w:after="60"/>
      </w:pPr>
      <w:r>
        <w:rPr/>
        <w:t>Souvenir charges</w:t>
      </w:r>
    </w:p>
    <w:p>
      <w:pPr>
        <w:numPr>
          <w:ilvl w:val="2"/>
          <w:numId w:val="90"/>
        </w:numPr>
        <w:spacing w:after="60"/>
      </w:pPr>
      <w:r>
        <w:rPr/>
        <w:t>Any outstanding dues in college labs.</w:t>
      </w:r>
    </w:p>
    <w:p>
      <w:pPr>
        <w:spacing w:after="0"/>
      </w:pPr>
      <w:r>
        <w:br w:type="page"/>
      </w:r>
    </w:p>
    <w:p>
      <w:pPr>
        <w:pStyle w:val="Heading1"/>
        <w:spacing w:before="0"/>
      </w:pPr>
      <w:r>
        <w:rPr/>
        <w:t>9. Funds from External Organizations</w:t>
      </w:r>
    </w:p>
    <w:p>
      <w:pPr>
        <w:tabs>
          <w:tab w:pos="425" w:val="left"/>
        </w:tabs>
        <w:spacing w:after="60"/>
        <w:ind w:left="425" w:hanging="425"/>
      </w:pPr>
      <w:r>
        <w:rPr>
          <w:b/>
        </w:rPr>
        <w:t>1.</w:t>
      </w:r>
      <w:r>
        <w:rPr/>
        <w:tab/>
        <w:t>Approach to External Funding Sources:</w:t>
      </w:r>
    </w:p>
    <w:p>
      <w:pPr>
        <w:numPr>
          <w:ilvl w:val="1"/>
          <w:numId w:val="90"/>
        </w:numPr>
        <w:spacing w:after="60"/>
      </w:pPr>
      <w:r>
        <w:rPr/>
        <w:t>External organizations such as the World Bank, AICTE, UGC, DST, CSIR and other government or international bodies are critical sources for securing financial support for the institution's growth and development.</w:t>
      </w:r>
    </w:p>
    <w:p>
      <w:pPr>
        <w:numPr>
          <w:ilvl w:val="1"/>
          <w:numId w:val="90"/>
        </w:numPr>
        <w:spacing w:after="60"/>
      </w:pPr>
      <w:r>
        <w:rPr/>
        <w:t>The institution will initiate formal applications and proposals to these organizations for obtaining funds dedicated to specific projects and needs.</w:t>
      </w:r>
    </w:p>
    <w:p>
      <w:pPr>
        <w:tabs>
          <w:tab w:pos="425" w:val="left"/>
        </w:tabs>
        <w:spacing w:after="60"/>
        <w:ind w:left="425" w:hanging="425"/>
      </w:pPr>
      <w:r>
        <w:rPr>
          <w:b/>
        </w:rPr>
        <w:t>2.</w:t>
      </w:r>
      <w:r>
        <w:rPr/>
        <w:tab/>
        <w:t>Specialized Infrastructure Projects:</w:t>
      </w:r>
    </w:p>
    <w:p>
      <w:pPr>
        <w:numPr>
          <w:ilvl w:val="1"/>
          <w:numId w:val="90"/>
        </w:numPr>
        <w:spacing w:after="60"/>
      </w:pPr>
      <w:r>
        <w:rPr>
          <w:b/>
        </w:rPr>
        <w:t>Excellence Centers:</w:t>
      </w:r>
      <w:r>
        <w:rPr/>
        <w:t xml:space="preserve"> The funds may be sought to establish or upgrade centers of excellence in specialized fields such as research, innovation, or specific academic disciplines.</w:t>
      </w:r>
    </w:p>
    <w:p>
      <w:pPr>
        <w:numPr>
          <w:ilvl w:val="1"/>
          <w:numId w:val="90"/>
        </w:numPr>
        <w:spacing w:after="60"/>
      </w:pPr>
      <w:r>
        <w:rPr>
          <w:b/>
        </w:rPr>
        <w:t>Laboratories and Research Facilities:</w:t>
      </w:r>
      <w:r>
        <w:rPr/>
        <w:t xml:space="preserve"> Donations or grants can be requested to set up state-of-the-art laboratories, research centers, and facilities for practical learning.</w:t>
      </w:r>
    </w:p>
    <w:p>
      <w:pPr>
        <w:tabs>
          <w:tab w:pos="425" w:val="left"/>
        </w:tabs>
        <w:spacing w:after="60"/>
        <w:ind w:left="425" w:hanging="425"/>
      </w:pPr>
      <w:r>
        <w:rPr>
          <w:b/>
        </w:rPr>
        <w:t>3.</w:t>
      </w:r>
      <w:r>
        <w:rPr/>
        <w:tab/>
        <w:t>Application Process:</w:t>
      </w:r>
    </w:p>
    <w:p>
      <w:pPr>
        <w:numPr>
          <w:ilvl w:val="1"/>
          <w:numId w:val="90"/>
        </w:numPr>
        <w:spacing w:after="60"/>
      </w:pPr>
      <w:r>
        <w:rPr>
          <w:b/>
        </w:rPr>
        <w:t>Proposal Development:</w:t>
      </w:r>
      <w:r>
        <w:rPr/>
        <w:t xml:space="preserve"> The institution must prepare detailed project proposals highlighting the need for the specific infrastructure, expected outcomes, budget estimates, and timelines.</w:t>
      </w:r>
    </w:p>
    <w:p>
      <w:pPr>
        <w:numPr>
          <w:ilvl w:val="1"/>
          <w:numId w:val="90"/>
        </w:numPr>
        <w:spacing w:after="60"/>
      </w:pPr>
      <w:r>
        <w:rPr>
          <w:b/>
        </w:rPr>
        <w:t>Documentation and Compliance:</w:t>
      </w:r>
      <w:r>
        <w:rPr/>
        <w:t xml:space="preserve"> All required documentation, including institutional accreditations, financial statements, and compliance with regulatory guidelines, must be submitted as part of the application.</w:t>
      </w:r>
    </w:p>
    <w:p>
      <w:pPr>
        <w:numPr>
          <w:ilvl w:val="1"/>
          <w:numId w:val="90"/>
        </w:numPr>
        <w:spacing w:after="60"/>
      </w:pPr>
      <w:r>
        <w:rPr>
          <w:b/>
        </w:rPr>
        <w:t>Monitoring and Reporting:</w:t>
      </w:r>
      <w:r>
        <w:rPr/>
        <w:t xml:space="preserve"> Once funds are received, the institution is obligated to report regularly on the utilization of funds and progress of the infrastructure projects. External organizations may require periodic audits and assessments to ensure transparency.</w:t>
      </w:r>
    </w:p>
    <w:p>
      <w:pPr>
        <w:tabs>
          <w:tab w:pos="425" w:val="left"/>
        </w:tabs>
        <w:spacing w:after="60"/>
        <w:ind w:left="425" w:hanging="425"/>
      </w:pPr>
      <w:r>
        <w:rPr>
          <w:b/>
        </w:rPr>
        <w:t>4.</w:t>
      </w:r>
      <w:r>
        <w:rPr/>
        <w:tab/>
        <w:t>Specific Uses of Funds:</w:t>
      </w:r>
    </w:p>
    <w:p>
      <w:pPr>
        <w:numPr>
          <w:ilvl w:val="1"/>
          <w:numId w:val="90"/>
        </w:numPr>
        <w:spacing w:after="60"/>
      </w:pPr>
      <w:r>
        <w:rPr>
          <w:b/>
        </w:rPr>
        <w:t>Laboratories and Equipment:</w:t>
      </w:r>
      <w:r>
        <w:rPr/>
        <w:t xml:space="preserve"> Funds can be allocated to upgrade or develop laboratories with the latest equipment, which can enhance students' hands-on learning experiences and facilitate research.</w:t>
      </w:r>
    </w:p>
    <w:p>
      <w:pPr>
        <w:numPr>
          <w:ilvl w:val="1"/>
          <w:numId w:val="90"/>
        </w:numPr>
        <w:spacing w:after="60"/>
      </w:pPr>
      <w:r>
        <w:rPr>
          <w:b/>
        </w:rPr>
        <w:t>Faculty Development:</w:t>
      </w:r>
      <w:r>
        <w:rPr/>
        <w:t xml:space="preserve"> Some external funds may also be directed towards faculty training and development programs.</w:t>
      </w:r>
    </w:p>
    <w:p>
      <w:pPr>
        <w:numPr>
          <w:ilvl w:val="1"/>
          <w:numId w:val="90"/>
        </w:numPr>
        <w:spacing w:after="60"/>
      </w:pPr>
      <w:r>
        <w:rPr>
          <w:b/>
        </w:rPr>
        <w:t>Technological Advancements:</w:t>
      </w:r>
      <w:r>
        <w:rPr/>
        <w:t xml:space="preserve"> Funding can also be aimed at introducing advanced technologies in teaching, learning, and research, such as digital classrooms, e-learning platforms, and specialized software.</w:t>
      </w:r>
    </w:p>
    <w:p>
      <w:pPr>
        <w:tabs>
          <w:tab w:pos="425" w:val="left"/>
        </w:tabs>
        <w:spacing w:after="60"/>
        <w:ind w:left="425" w:hanging="425"/>
      </w:pPr>
      <w:r>
        <w:rPr>
          <w:b/>
        </w:rPr>
        <w:t>5.</w:t>
      </w:r>
      <w:r>
        <w:rPr/>
        <w:tab/>
        <w:t>Sustainability and Long-Term Goals:</w:t>
      </w:r>
    </w:p>
    <w:p>
      <w:pPr>
        <w:numPr>
          <w:ilvl w:val="1"/>
          <w:numId w:val="90"/>
        </w:numPr>
        <w:spacing w:after="60"/>
      </w:pPr>
      <w:r>
        <w:rPr/>
        <w:t>Funds must be utilized not just for immediate needs, but also with a focus on sustainable growth, ensuring that the infrastructure or programs funded continue to benefit the institution in the long term.</w:t>
      </w:r>
    </w:p>
    <w:p>
      <w:pPr>
        <w:numPr>
          <w:ilvl w:val="1"/>
          <w:numId w:val="90"/>
        </w:numPr>
        <w:spacing w:after="60"/>
      </w:pPr>
      <w:r>
        <w:rPr/>
        <w:t>Clear plans for maintenance and operational sustainability should be outlined when applying for external funding.</w:t>
      </w:r>
    </w:p>
    <w:p>
      <w:pPr>
        <w:spacing w:after="0"/>
      </w:pPr>
      <w:r>
        <w:br w:type="page"/>
      </w:r>
    </w:p>
    <w:p>
      <w:pPr>
        <w:pStyle w:val="Heading1"/>
        <w:spacing w:before="0"/>
      </w:pPr>
      <w:r>
        <w:rPr/>
        <w:t>10. Policies Related to Payments</w:t>
      </w:r>
    </w:p>
    <w:p>
      <w:pPr>
        <w:tabs>
          <w:tab w:pos="425" w:val="left"/>
        </w:tabs>
        <w:spacing w:after="60"/>
        <w:ind w:left="425" w:hanging="425"/>
      </w:pPr>
      <w:r>
        <w:rPr>
          <w:b/>
        </w:rPr>
        <w:t>1.</w:t>
      </w:r>
      <w:r>
        <w:rPr/>
        <w:tab/>
        <w:t>Supporting Documentation for Payments:</w:t>
      </w:r>
    </w:p>
    <w:p>
      <w:pPr>
        <w:numPr>
          <w:ilvl w:val="1"/>
          <w:numId w:val="90"/>
        </w:numPr>
        <w:spacing w:after="60"/>
      </w:pPr>
      <w:r>
        <w:rPr>
          <w:b/>
        </w:rPr>
        <w:t>Invoices and Bills:</w:t>
      </w:r>
      <w:r>
        <w:rPr/>
        <w:t xml:space="preserve"> Every payment made must be accompanied by valid invoices or bills that detail the nature of the goods/services rendered.</w:t>
      </w:r>
    </w:p>
    <w:p>
      <w:pPr>
        <w:numPr>
          <w:ilvl w:val="1"/>
          <w:numId w:val="90"/>
        </w:numPr>
        <w:spacing w:after="60"/>
      </w:pPr>
      <w:r>
        <w:rPr>
          <w:b/>
        </w:rPr>
        <w:t>Purchase Orders (PO) / Work Orders:</w:t>
      </w:r>
      <w:r>
        <w:rPr/>
        <w:t xml:space="preserve"> Invoices and bills must reference the corresponding Purchase Orders (PO) or Work Orders, ensuring that the payment corresponds to an authorized request.</w:t>
      </w:r>
    </w:p>
    <w:p>
      <w:pPr>
        <w:numPr>
          <w:ilvl w:val="1"/>
          <w:numId w:val="90"/>
        </w:numPr>
        <w:spacing w:after="60"/>
      </w:pPr>
      <w:r>
        <w:rPr>
          <w:b/>
        </w:rPr>
        <w:t>Financial Approval:</w:t>
      </w:r>
      <w:r>
        <w:rPr/>
        <w:t xml:space="preserve"> All payments must be backed by prior financial approval, confirming that the expenditure is within the allocated budget.</w:t>
      </w:r>
    </w:p>
    <w:p>
      <w:pPr>
        <w:tabs>
          <w:tab w:pos="425" w:val="left"/>
        </w:tabs>
        <w:spacing w:after="60"/>
        <w:ind w:left="425" w:hanging="425"/>
      </w:pPr>
      <w:r>
        <w:rPr>
          <w:b/>
        </w:rPr>
        <w:t>2.</w:t>
      </w:r>
      <w:r>
        <w:rPr/>
        <w:tab/>
        <w:t>Payment Processing Workflow:</w:t>
      </w:r>
    </w:p>
    <w:p>
      <w:pPr>
        <w:numPr>
          <w:ilvl w:val="1"/>
          <w:numId w:val="90"/>
        </w:numPr>
        <w:spacing w:after="60"/>
      </w:pPr>
      <w:r>
        <w:rPr>
          <w:b/>
        </w:rPr>
        <w:t>Department Heads (HoDs):</w:t>
      </w:r>
      <w:r>
        <w:rPr/>
        <w:t xml:space="preserve"> HoDs initiate the payment request by reviewing and verifying the need for the payment and ensuring that the supporting documentation (invoice, bill, PO/Work Order) is complete and accurate.</w:t>
      </w:r>
    </w:p>
    <w:p>
      <w:pPr>
        <w:numPr>
          <w:ilvl w:val="1"/>
          <w:numId w:val="90"/>
        </w:numPr>
        <w:spacing w:after="60"/>
      </w:pPr>
      <w:r>
        <w:rPr>
          <w:b/>
        </w:rPr>
        <w:t>Finance Officer's Vetting:</w:t>
      </w:r>
      <w:r>
        <w:rPr/>
        <w:t xml:space="preserve"> The Finance Officer then vets the payment request to ensure that it aligns with the approved budget and there are no discrepancies. They also check the financial aspects for compliance with institutional policies and procedures.</w:t>
      </w:r>
    </w:p>
    <w:p>
      <w:pPr>
        <w:numPr>
          <w:ilvl w:val="1"/>
          <w:numId w:val="90"/>
        </w:numPr>
        <w:spacing w:after="60"/>
      </w:pPr>
      <w:r>
        <w:rPr>
          <w:b/>
        </w:rPr>
        <w:t>Finance Committee Recommendation:</w:t>
      </w:r>
      <w:r>
        <w:rPr/>
        <w:t xml:space="preserve"> Once vetted by the Finance Officer, the payment request is recommended by the Finance Committee for further approval, ensuring that the expenditure aligns with strategic financial goals.</w:t>
      </w:r>
    </w:p>
    <w:p>
      <w:pPr>
        <w:numPr>
          <w:ilvl w:val="1"/>
          <w:numId w:val="90"/>
        </w:numPr>
        <w:spacing w:after="60"/>
      </w:pPr>
      <w:r>
        <w:rPr>
          <w:b/>
        </w:rPr>
        <w:t>Approval by Chairman/Principal:</w:t>
      </w:r>
      <w:r>
        <w:rPr/>
        <w:t xml:space="preserve"> The final approval for the payment is granted by the Chairman or Principal, ensuring that the payment is within institutional guidelines and priorities.</w:t>
      </w:r>
    </w:p>
    <w:p>
      <w:pPr>
        <w:tabs>
          <w:tab w:pos="425" w:val="left"/>
        </w:tabs>
        <w:spacing w:after="60"/>
        <w:ind w:left="425" w:hanging="425"/>
      </w:pPr>
      <w:r>
        <w:rPr>
          <w:b/>
        </w:rPr>
        <w:t>3.</w:t>
      </w:r>
      <w:r>
        <w:rPr/>
        <w:tab/>
        <w:t>Payment Process Flow:</w:t>
      </w:r>
    </w:p>
    <w:p>
      <w:pPr>
        <w:numPr>
          <w:ilvl w:val="1"/>
          <w:numId w:val="90"/>
        </w:numPr>
        <w:spacing w:after="60"/>
      </w:pPr>
      <w:r>
        <w:rPr/>
        <w:t>The payment must follow a clear and documented approval process to maintain financial accountability and transparency.</w:t>
      </w:r>
    </w:p>
    <w:p>
      <w:pPr>
        <w:numPr>
          <w:ilvl w:val="1"/>
          <w:numId w:val="90"/>
        </w:numPr>
        <w:spacing w:after="60"/>
      </w:pPr>
      <w:r>
        <w:rPr/>
        <w:t>Regular audits may be conducted to ensure compliance with these processes.</w:t>
      </w:r>
    </w:p>
    <w:p>
      <w:pPr>
        <w:tabs>
          <w:tab w:pos="425" w:val="left"/>
        </w:tabs>
        <w:spacing w:after="60"/>
        <w:ind w:left="425" w:hanging="425"/>
      </w:pPr>
      <w:r>
        <w:rPr>
          <w:b/>
        </w:rPr>
        <w:t>4.</w:t>
      </w:r>
      <w:r>
        <w:rPr/>
        <w:tab/>
        <w:t>Exceptions and Delays:</w:t>
      </w:r>
    </w:p>
    <w:p>
      <w:pPr>
        <w:numPr>
          <w:ilvl w:val="1"/>
          <w:numId w:val="90"/>
        </w:numPr>
        <w:spacing w:after="60"/>
      </w:pPr>
      <w:r>
        <w:rPr>
          <w:b/>
        </w:rPr>
        <w:t>Exception Handling:</w:t>
      </w:r>
      <w:r>
        <w:rPr/>
        <w:t xml:space="preserve"> Any deviations from the standard payment process (e.g., delayed payments or part payments) must be formally requested and approved by the Principal.</w:t>
      </w:r>
    </w:p>
    <w:p>
      <w:pPr>
        <w:numPr>
          <w:ilvl w:val="1"/>
          <w:numId w:val="90"/>
        </w:numPr>
        <w:spacing w:after="60"/>
      </w:pPr>
      <w:r>
        <w:rPr>
          <w:b/>
        </w:rPr>
        <w:t>Delayed Payments:</w:t>
      </w:r>
      <w:r>
        <w:rPr/>
        <w:t xml:space="preserve"> Any delays or part payments beyond the stipulated time will require special approval from the principal, who may allow an extension up to a maximum of 15 days.</w:t>
      </w:r>
    </w:p>
    <w:p>
      <w:pPr>
        <w:tabs>
          <w:tab w:pos="425" w:val="left"/>
        </w:tabs>
        <w:spacing w:after="60"/>
        <w:ind w:left="425" w:hanging="425"/>
      </w:pPr>
      <w:r>
        <w:rPr>
          <w:b/>
        </w:rPr>
        <w:t>5.</w:t>
      </w:r>
      <w:r>
        <w:rPr/>
        <w:tab/>
        <w:t>Audit and Compliance:</w:t>
      </w:r>
    </w:p>
    <w:p>
      <w:pPr>
        <w:numPr>
          <w:ilvl w:val="1"/>
          <w:numId w:val="90"/>
        </w:numPr>
        <w:spacing w:after="60"/>
      </w:pPr>
      <w:r>
        <w:rPr/>
        <w:t>Payments are subject to both internal and external audits to ensure that financial resources are utilized in accordance with the institution's policies, and the funds are appropriately allocated for their intended purpose.</w:t>
      </w:r>
    </w:p>
    <w:p>
      <w:pPr>
        <w:tabs>
          <w:tab w:pos="425" w:val="left"/>
        </w:tabs>
        <w:spacing w:after="60"/>
        <w:ind w:left="425" w:hanging="425"/>
      </w:pPr>
      <w:r>
        <w:rPr>
          <w:b/>
        </w:rPr>
        <w:t>6.</w:t>
      </w:r>
      <w:r>
        <w:rPr/>
        <w:tab/>
        <w:t>Communication and Documentation:</w:t>
      </w:r>
    </w:p>
    <w:p>
      <w:pPr>
        <w:numPr>
          <w:ilvl w:val="1"/>
          <w:numId w:val="90"/>
        </w:numPr>
        <w:spacing w:after="60"/>
      </w:pPr>
      <w:r>
        <w:rPr/>
        <w:t>The Finance Officer is responsible for maintaining accurate records of all payment transactions and ensuring the proper documentation (invoices, bills, PO/Work Orders) is stored for audit purposes.</w:t>
      </w:r>
    </w:p>
    <w:p>
      <w:pPr>
        <w:spacing w:after="0"/>
      </w:pPr>
      <w:r>
        <w:br w:type="page"/>
      </w:r>
    </w:p>
    <w:p>
      <w:pPr>
        <w:pStyle w:val="Heading1"/>
        <w:spacing w:before="0"/>
      </w:pPr>
      <w:r>
        <w:rPr/>
        <w:t>11. Construction-Related Payments Policy</w:t>
      </w:r>
    </w:p>
    <w:p>
      <w:pPr>
        <w:tabs>
          <w:tab w:pos="425" w:val="left"/>
        </w:tabs>
        <w:spacing w:after="60"/>
        <w:ind w:left="425" w:hanging="425"/>
      </w:pPr>
      <w:r>
        <w:rPr>
          <w:b/>
        </w:rPr>
        <w:t>1.</w:t>
      </w:r>
      <w:r>
        <w:rPr/>
        <w:tab/>
        <w:t>Initiation of Payments:</w:t>
      </w:r>
    </w:p>
    <w:p>
      <w:pPr>
        <w:numPr>
          <w:ilvl w:val="1"/>
          <w:numId w:val="90"/>
        </w:numPr>
        <w:spacing w:after="60"/>
      </w:pPr>
      <w:r>
        <w:rPr>
          <w:b/>
        </w:rPr>
        <w:t>Responsible Party:</w:t>
      </w:r>
      <w:r>
        <w:rPr/>
        <w:t xml:space="preserve"> Payments related to construction activities are initiated by the In-charge of Construction. The payment process starts once the relevant invoices or service bills are received for the work completed or services rendered.</w:t>
      </w:r>
    </w:p>
    <w:p>
      <w:pPr>
        <w:numPr>
          <w:ilvl w:val="1"/>
          <w:numId w:val="90"/>
        </w:numPr>
        <w:spacing w:after="60"/>
      </w:pPr>
      <w:r>
        <w:rPr>
          <w:b/>
        </w:rPr>
        <w:t>Documentation Required:</w:t>
      </w:r>
      <w:r>
        <w:rPr/>
        <w:t xml:space="preserve"> All payments must be accompanied by proper invoices or service bills that detail the work completed or materials supplied.</w:t>
      </w:r>
    </w:p>
    <w:p>
      <w:pPr>
        <w:tabs>
          <w:tab w:pos="425" w:val="left"/>
        </w:tabs>
        <w:spacing w:after="60"/>
        <w:ind w:left="425" w:hanging="425"/>
      </w:pPr>
      <w:r>
        <w:rPr>
          <w:b/>
        </w:rPr>
        <w:t>2.</w:t>
      </w:r>
      <w:r>
        <w:rPr/>
        <w:tab/>
        <w:t>Purchase Orders and Service Contracts:</w:t>
      </w:r>
    </w:p>
    <w:p>
      <w:pPr>
        <w:numPr>
          <w:ilvl w:val="1"/>
          <w:numId w:val="90"/>
        </w:numPr>
        <w:spacing w:after="60"/>
      </w:pPr>
      <w:r>
        <w:rPr>
          <w:b/>
        </w:rPr>
        <w:t>Issuance of Purchase Orders:</w:t>
      </w:r>
      <w:r>
        <w:rPr/>
        <w:t xml:space="preserve"> The In-charge of Construction is responsible for placing purchase orders for construction materials, services, or contractors. These orders ensure that the required materials or services are procured at the agreed-upon rates and terms.</w:t>
      </w:r>
    </w:p>
    <w:p>
      <w:pPr>
        <w:numPr>
          <w:ilvl w:val="1"/>
          <w:numId w:val="90"/>
        </w:numPr>
        <w:spacing w:after="60"/>
      </w:pPr>
      <w:r>
        <w:rPr>
          <w:b/>
        </w:rPr>
        <w:t>Service Contracts:</w:t>
      </w:r>
      <w:r>
        <w:rPr/>
        <w:t xml:space="preserve"> Before proceeding with any significant construction work or services, the In-charge of Construction shall enter into service contracts with the vendors, contractors, or service providers.</w:t>
      </w:r>
    </w:p>
    <w:p>
      <w:pPr>
        <w:numPr>
          <w:ilvl w:val="1"/>
          <w:numId w:val="90"/>
        </w:numPr>
        <w:spacing w:after="60"/>
      </w:pPr>
      <w:r>
        <w:rPr>
          <w:b/>
        </w:rPr>
        <w:t>Prior Approvals:</w:t>
      </w:r>
      <w:r>
        <w:rPr/>
        <w:t xml:space="preserve"> Both the purchase orders and service contracts must be approved by the appropriate authority before being finalized. This ensures that all terms, conditions, and budgetary limits are adhered to and that the institution’s financial policies are followed.</w:t>
      </w:r>
    </w:p>
    <w:p>
      <w:pPr>
        <w:tabs>
          <w:tab w:pos="425" w:val="left"/>
        </w:tabs>
        <w:spacing w:after="60"/>
        <w:ind w:left="425" w:hanging="425"/>
      </w:pPr>
      <w:r>
        <w:rPr>
          <w:b/>
        </w:rPr>
        <w:t>3.</w:t>
      </w:r>
      <w:r>
        <w:rPr/>
        <w:tab/>
        <w:t>Verification and Approval Process:</w:t>
      </w:r>
    </w:p>
    <w:p>
      <w:pPr>
        <w:numPr>
          <w:ilvl w:val="1"/>
          <w:numId w:val="90"/>
        </w:numPr>
        <w:spacing w:after="60"/>
      </w:pPr>
      <w:r>
        <w:rPr/>
        <w:t>The Finance Officer will review the invoices, service bills, and purchase orders to verify that the payments align with the budgetary provisions.</w:t>
      </w:r>
    </w:p>
    <w:p>
      <w:pPr>
        <w:numPr>
          <w:ilvl w:val="1"/>
          <w:numId w:val="90"/>
        </w:numPr>
        <w:spacing w:after="60"/>
      </w:pPr>
      <w:r>
        <w:rPr/>
        <w:t>Once verified, the Finance Committee will review the payments and recommend them for approval by the Principal/Chairman.</w:t>
      </w:r>
    </w:p>
    <w:p>
      <w:pPr>
        <w:tabs>
          <w:tab w:pos="425" w:val="left"/>
        </w:tabs>
        <w:spacing w:after="60"/>
        <w:ind w:left="425" w:hanging="425"/>
      </w:pPr>
      <w:r>
        <w:rPr>
          <w:b/>
        </w:rPr>
        <w:t>4.</w:t>
      </w:r>
      <w:r>
        <w:rPr/>
        <w:tab/>
        <w:t>Payment Execution:</w:t>
      </w:r>
    </w:p>
    <w:p>
      <w:pPr>
        <w:numPr>
          <w:ilvl w:val="1"/>
          <w:numId w:val="90"/>
        </w:numPr>
        <w:spacing w:after="60"/>
      </w:pPr>
      <w:r>
        <w:rPr>
          <w:b/>
        </w:rPr>
        <w:t>Finance Officer Role:</w:t>
      </w:r>
      <w:r>
        <w:rPr/>
        <w:t xml:space="preserve"> After the proper verification, the Finance Officer will execute the payments and ensure that all related documentation (e.g., invoices, receipts) is appropriately filed.</w:t>
      </w:r>
    </w:p>
    <w:p>
      <w:pPr>
        <w:numPr>
          <w:ilvl w:val="1"/>
          <w:numId w:val="90"/>
        </w:numPr>
        <w:spacing w:after="60"/>
      </w:pPr>
      <w:r>
        <w:rPr>
          <w:b/>
        </w:rPr>
        <w:t>Monitoring of Progress:</w:t>
      </w:r>
      <w:r>
        <w:rPr/>
        <w:t xml:space="preserve"> Regular progress reports should be maintained for ongoing construction projects, ensuring that payments are made only for completed work or delivered materials.</w:t>
      </w:r>
    </w:p>
    <w:p>
      <w:pPr>
        <w:tabs>
          <w:tab w:pos="425" w:val="left"/>
        </w:tabs>
        <w:spacing w:after="60"/>
        <w:ind w:left="425" w:hanging="425"/>
      </w:pPr>
      <w:r>
        <w:rPr>
          <w:b/>
        </w:rPr>
        <w:t>5.</w:t>
      </w:r>
      <w:r>
        <w:rPr/>
        <w:tab/>
        <w:t>Compliance and Audit:</w:t>
      </w:r>
    </w:p>
    <w:p>
      <w:pPr>
        <w:numPr>
          <w:ilvl w:val="1"/>
          <w:numId w:val="90"/>
        </w:numPr>
        <w:spacing w:after="60"/>
      </w:pPr>
      <w:r>
        <w:rPr/>
        <w:t>All construction-related payments will be subject to audit checks to ensure that they are in line with the contract terms, budget, and applicable policies. Any discrepancies will be flagged for investigation and correction.</w:t>
      </w:r>
    </w:p>
    <w:p>
      <w:pPr>
        <w:tabs>
          <w:tab w:pos="425" w:val="left"/>
        </w:tabs>
        <w:spacing w:after="60"/>
        <w:ind w:left="425" w:hanging="425"/>
      </w:pPr>
      <w:r>
        <w:rPr>
          <w:b/>
        </w:rPr>
        <w:t>6.</w:t>
      </w:r>
      <w:r>
        <w:rPr/>
        <w:tab/>
        <w:t>Transparency and Documentation:</w:t>
      </w:r>
    </w:p>
    <w:p>
      <w:pPr>
        <w:numPr>
          <w:ilvl w:val="1"/>
          <w:numId w:val="90"/>
        </w:numPr>
        <w:spacing w:after="60"/>
      </w:pPr>
      <w:r>
        <w:rPr/>
        <w:t>Clear and detailed records of all construction-related payments, purchase orders, and service contracts will be maintained and made available for review during audits or as required.</w:t>
      </w:r>
    </w:p>
    <w:p>
      <w:pPr>
        <w:spacing w:after="0"/>
      </w:pPr>
      <w:r>
        <w:br w:type="page"/>
      </w:r>
    </w:p>
    <w:p>
      <w:pPr>
        <w:pStyle w:val="Heading1"/>
        <w:spacing w:before="0"/>
      </w:pPr>
      <w:r>
        <w:rPr/>
        <w:t>12. Purchase-Related Payments Policy</w:t>
      </w:r>
    </w:p>
    <w:p>
      <w:pPr>
        <w:tabs>
          <w:tab w:pos="425" w:val="left"/>
        </w:tabs>
        <w:spacing w:after="60"/>
        <w:ind w:left="425" w:hanging="425"/>
      </w:pPr>
      <w:r>
        <w:rPr>
          <w:b/>
        </w:rPr>
        <w:t>1.</w:t>
      </w:r>
      <w:r>
        <w:rPr/>
        <w:tab/>
        <w:t>Initiation of Payments:</w:t>
      </w:r>
    </w:p>
    <w:p>
      <w:pPr>
        <w:numPr>
          <w:ilvl w:val="1"/>
          <w:numId w:val="90"/>
        </w:numPr>
        <w:spacing w:after="60"/>
      </w:pPr>
      <w:r>
        <w:rPr/>
        <w:t>Responsible Parties:</w:t>
      </w:r>
    </w:p>
    <w:p>
      <w:pPr>
        <w:numPr>
          <w:ilvl w:val="2"/>
          <w:numId w:val="90"/>
        </w:numPr>
        <w:spacing w:after="60"/>
      </w:pPr>
      <w:r>
        <w:rPr>
          <w:b/>
        </w:rPr>
        <w:t>Purchase Committee:</w:t>
      </w:r>
      <w:r>
        <w:rPr/>
        <w:t xml:space="preserve"> Payments related to general purchases, such as consumables and capital equipment, are initiated by the Purchase Committee.</w:t>
      </w:r>
    </w:p>
    <w:p>
      <w:pPr>
        <w:numPr>
          <w:ilvl w:val="2"/>
          <w:numId w:val="90"/>
        </w:numPr>
        <w:spacing w:after="60"/>
      </w:pPr>
      <w:r>
        <w:rPr>
          <w:b/>
        </w:rPr>
        <w:t>Construction Committee:</w:t>
      </w:r>
      <w:r>
        <w:rPr/>
        <w:t xml:space="preserve"> Payments related to the purchase of materials or services specific to construction activities are initiated by the Construction Committee.</w:t>
      </w:r>
    </w:p>
    <w:p>
      <w:pPr>
        <w:tabs>
          <w:tab w:pos="425" w:val="left"/>
        </w:tabs>
        <w:spacing w:after="60"/>
        <w:ind w:left="425" w:hanging="425"/>
      </w:pPr>
      <w:r>
        <w:rPr>
          <w:b/>
        </w:rPr>
        <w:t>2.</w:t>
      </w:r>
      <w:r>
        <w:rPr/>
        <w:tab/>
        <w:t>Recommendations for Payments:</w:t>
      </w:r>
    </w:p>
    <w:p>
      <w:pPr>
        <w:numPr>
          <w:ilvl w:val="1"/>
          <w:numId w:val="90"/>
        </w:numPr>
        <w:spacing w:after="60"/>
      </w:pPr>
      <w:r>
        <w:rPr>
          <w:b/>
        </w:rPr>
        <w:t>In-charge of Purchase:</w:t>
      </w:r>
      <w:r>
        <w:rPr/>
        <w:t xml:space="preserve"> The In-charge of Purchase is responsible for recommending payments related to the purchase of capital equipment and consumables. This recommendation is based on the actual requirement, the budget allocation, and any applicable purchase orders or agreements.</w:t>
      </w:r>
    </w:p>
    <w:p>
      <w:pPr>
        <w:numPr>
          <w:ilvl w:val="1"/>
          <w:numId w:val="90"/>
        </w:numPr>
        <w:spacing w:after="60"/>
      </w:pPr>
      <w:r>
        <w:rPr>
          <w:b/>
        </w:rPr>
        <w:t>In-charge of Construction:</w:t>
      </w:r>
      <w:r>
        <w:rPr/>
        <w:t xml:space="preserve"> Similarly, the In-charge of Construction recommends payments related to the purchase of construction materials or services directly related to construction activities.</w:t>
      </w:r>
    </w:p>
    <w:p>
      <w:pPr>
        <w:tabs>
          <w:tab w:pos="425" w:val="left"/>
        </w:tabs>
        <w:spacing w:after="60"/>
        <w:ind w:left="425" w:hanging="425"/>
      </w:pPr>
      <w:r>
        <w:rPr>
          <w:b/>
        </w:rPr>
        <w:t>3.</w:t>
      </w:r>
      <w:r>
        <w:rPr/>
        <w:tab/>
        <w:t>Approval Process:</w:t>
      </w:r>
    </w:p>
    <w:p>
      <w:pPr>
        <w:numPr>
          <w:ilvl w:val="1"/>
          <w:numId w:val="90"/>
        </w:numPr>
        <w:spacing w:after="60"/>
      </w:pPr>
      <w:r>
        <w:rPr>
          <w:b/>
        </w:rPr>
        <w:t>Chairman’s Approval:</w:t>
      </w:r>
      <w:r>
        <w:rPr/>
        <w:t xml:space="preserve"> Before any payments can be processed, prior approval from the Chairman must be obtained. This ensures that all expenditures are consistent with institutional budgets and aligned with strategic objectives.</w:t>
      </w:r>
    </w:p>
    <w:p>
      <w:pPr>
        <w:numPr>
          <w:ilvl w:val="1"/>
          <w:numId w:val="90"/>
        </w:numPr>
        <w:spacing w:after="60"/>
      </w:pPr>
      <w:r>
        <w:rPr/>
        <w:t>Process Flow:</w:t>
      </w:r>
    </w:p>
    <w:p>
      <w:pPr>
        <w:numPr>
          <w:ilvl w:val="2"/>
          <w:numId w:val="90"/>
        </w:numPr>
        <w:spacing w:after="60"/>
      </w:pPr>
      <w:r>
        <w:rPr/>
        <w:t>Once the In-charge of Purchase or In-charge of Construction recommends the payment, the approval from the Chairman is sought.</w:t>
      </w:r>
    </w:p>
    <w:p>
      <w:pPr>
        <w:numPr>
          <w:ilvl w:val="2"/>
          <w:numId w:val="90"/>
        </w:numPr>
        <w:spacing w:after="60"/>
      </w:pPr>
      <w:r>
        <w:rPr/>
        <w:t>Upon receiving the Chairman’s approval, the payment process can proceed.</w:t>
      </w:r>
    </w:p>
    <w:p>
      <w:pPr>
        <w:tabs>
          <w:tab w:pos="425" w:val="left"/>
        </w:tabs>
        <w:spacing w:after="60"/>
        <w:ind w:left="425" w:hanging="425"/>
      </w:pPr>
      <w:r>
        <w:rPr>
          <w:b/>
        </w:rPr>
        <w:t>4.</w:t>
      </w:r>
      <w:r>
        <w:rPr/>
        <w:tab/>
        <w:t>Payment Execution:</w:t>
      </w:r>
    </w:p>
    <w:p>
      <w:pPr>
        <w:numPr>
          <w:ilvl w:val="1"/>
          <w:numId w:val="90"/>
        </w:numPr>
        <w:spacing w:after="60"/>
      </w:pPr>
      <w:r>
        <w:rPr/>
        <w:t>After approval, the Finance Officer will initiate the payment to the vendor or service provider as per the purchase order or contract terms.</w:t>
      </w:r>
    </w:p>
    <w:p>
      <w:pPr>
        <w:numPr>
          <w:ilvl w:val="1"/>
          <w:numId w:val="90"/>
        </w:numPr>
        <w:spacing w:after="60"/>
      </w:pPr>
      <w:r>
        <w:rPr/>
        <w:t>All payments will be processed in compliance with the institution’s financial regulations and procedures.</w:t>
      </w:r>
    </w:p>
    <w:p>
      <w:pPr>
        <w:tabs>
          <w:tab w:pos="425" w:val="left"/>
        </w:tabs>
        <w:spacing w:after="60"/>
        <w:ind w:left="425" w:hanging="425"/>
      </w:pPr>
      <w:r>
        <w:rPr>
          <w:b/>
        </w:rPr>
        <w:t>5.</w:t>
      </w:r>
      <w:r>
        <w:rPr/>
        <w:tab/>
        <w:t>Documentation and Record Keeping:</w:t>
      </w:r>
    </w:p>
    <w:p>
      <w:pPr>
        <w:numPr>
          <w:ilvl w:val="1"/>
          <w:numId w:val="90"/>
        </w:numPr>
        <w:spacing w:after="60"/>
      </w:pPr>
      <w:r>
        <w:rPr/>
        <w:t>For each payment, appropriate documentation (such as purchase orders, invoices, and approval records) must be kept for audit purposes and for future reference.</w:t>
      </w:r>
    </w:p>
    <w:p>
      <w:pPr>
        <w:numPr>
          <w:ilvl w:val="1"/>
          <w:numId w:val="90"/>
        </w:numPr>
        <w:spacing w:after="60"/>
      </w:pPr>
      <w:r>
        <w:rPr/>
        <w:t>The Finance Officer will ensure that all documentation is properly filed and available for verification.</w:t>
      </w:r>
    </w:p>
    <w:p>
      <w:pPr>
        <w:tabs>
          <w:tab w:pos="425" w:val="left"/>
        </w:tabs>
        <w:spacing w:after="60"/>
        <w:ind w:left="425" w:hanging="425"/>
      </w:pPr>
      <w:r>
        <w:rPr>
          <w:b/>
        </w:rPr>
        <w:t>6.</w:t>
      </w:r>
      <w:r>
        <w:rPr/>
        <w:tab/>
        <w:t>Monitoring and Compliance:</w:t>
      </w:r>
    </w:p>
    <w:p>
      <w:pPr>
        <w:numPr>
          <w:ilvl w:val="1"/>
          <w:numId w:val="90"/>
        </w:numPr>
        <w:spacing w:after="60"/>
      </w:pPr>
      <w:r>
        <w:rPr/>
        <w:t>The Finance Officer will regularly review purchase-related payments to ensure that they adhere to budgetary constraints, institutional policies, and regulatory requirements.</w:t>
      </w:r>
    </w:p>
    <w:p>
      <w:pPr>
        <w:numPr>
          <w:ilvl w:val="1"/>
          <w:numId w:val="90"/>
        </w:numPr>
        <w:spacing w:after="60"/>
      </w:pPr>
      <w:r>
        <w:rPr/>
        <w:t>All purchases must be completed in alignment with the approved budget and any relevant purchase agreements.</w:t>
      </w:r>
    </w:p>
    <w:p>
      <w:pPr>
        <w:spacing w:after="0"/>
      </w:pPr>
      <w:r>
        <w:br w:type="page"/>
      </w:r>
    </w:p>
    <w:p>
      <w:pPr>
        <w:pStyle w:val="Heading1"/>
        <w:spacing w:before="0"/>
      </w:pPr>
      <w:r>
        <w:rPr/>
        <w:t>13. Operational Payments Policy</w:t>
      </w:r>
    </w:p>
    <w:p>
      <w:pPr>
        <w:tabs>
          <w:tab w:pos="425" w:val="left"/>
        </w:tabs>
        <w:spacing w:after="60"/>
        <w:ind w:left="425" w:hanging="425"/>
      </w:pPr>
      <w:r>
        <w:rPr>
          <w:b/>
        </w:rPr>
        <w:t>1.</w:t>
      </w:r>
      <w:r>
        <w:rPr/>
        <w:tab/>
        <w:t>Salary and Wages Payments:</w:t>
      </w:r>
    </w:p>
    <w:p>
      <w:pPr>
        <w:numPr>
          <w:ilvl w:val="1"/>
          <w:numId w:val="90"/>
        </w:numPr>
        <w:spacing w:after="60"/>
      </w:pPr>
      <w:r>
        <w:rPr>
          <w:b/>
        </w:rPr>
        <w:t>Salary Payments:</w:t>
      </w:r>
      <w:r>
        <w:rPr/>
        <w:t xml:space="preserve"> Salary payments to faculty, staff, and employees will be made as per the appointment orders and the related upgradations (e.g., promotions, increments).</w:t>
      </w:r>
    </w:p>
    <w:p>
      <w:pPr>
        <w:numPr>
          <w:ilvl w:val="1"/>
          <w:numId w:val="90"/>
        </w:numPr>
        <w:spacing w:after="60"/>
      </w:pPr>
      <w:r>
        <w:rPr>
          <w:b/>
        </w:rPr>
        <w:t>Wages Payments:</w:t>
      </w:r>
      <w:r>
        <w:rPr/>
        <w:t xml:space="preserve"> Wages for support staff and contractual employees will be processed based on attendance records, work hours, or contractual agreements.</w:t>
      </w:r>
    </w:p>
    <w:p>
      <w:pPr>
        <w:tabs>
          <w:tab w:pos="425" w:val="left"/>
        </w:tabs>
        <w:spacing w:after="60"/>
        <w:ind w:left="425" w:hanging="425"/>
      </w:pPr>
      <w:r>
        <w:rPr>
          <w:b/>
        </w:rPr>
        <w:t>2.</w:t>
      </w:r>
      <w:r>
        <w:rPr/>
        <w:tab/>
        <w:t>Budget Provision:</w:t>
      </w:r>
    </w:p>
    <w:p>
      <w:pPr>
        <w:numPr>
          <w:ilvl w:val="1"/>
          <w:numId w:val="90"/>
        </w:numPr>
        <w:spacing w:after="60"/>
      </w:pPr>
      <w:r>
        <w:rPr>
          <w:b/>
        </w:rPr>
        <w:t>Prior Approval:</w:t>
      </w:r>
      <w:r>
        <w:rPr/>
        <w:t xml:space="preserve"> Before making any operational payment, there must be a budget provision available to cover the expenditure.</w:t>
      </w:r>
    </w:p>
    <w:p>
      <w:pPr>
        <w:numPr>
          <w:ilvl w:val="1"/>
          <w:numId w:val="90"/>
        </w:numPr>
        <w:spacing w:after="60"/>
      </w:pPr>
      <w:r>
        <w:rPr>
          <w:b/>
        </w:rPr>
        <w:t>Approval Process:</w:t>
      </w:r>
      <w:r>
        <w:rPr/>
        <w:t xml:space="preserve"> The Finance Officer must ensure that the payment falls within the approved budget before proceeding with the payment. Any deviations from the budget must be approved by the Chairman or Principal, as required.</w:t>
      </w:r>
    </w:p>
    <w:p>
      <w:pPr>
        <w:tabs>
          <w:tab w:pos="425" w:val="left"/>
        </w:tabs>
        <w:spacing w:after="60"/>
        <w:ind w:left="425" w:hanging="425"/>
      </w:pPr>
      <w:r>
        <w:rPr>
          <w:b/>
        </w:rPr>
        <w:t>3.</w:t>
      </w:r>
      <w:r>
        <w:rPr/>
        <w:tab/>
        <w:t>Types of Operational Payments:</w:t>
      </w:r>
    </w:p>
    <w:p>
      <w:pPr>
        <w:numPr>
          <w:ilvl w:val="1"/>
          <w:numId w:val="90"/>
        </w:numPr>
        <w:spacing w:after="60"/>
      </w:pPr>
      <w:r>
        <w:rPr>
          <w:b/>
        </w:rPr>
        <w:t>Salaries and Wages:</w:t>
      </w:r>
      <w:r>
        <w:rPr/>
        <w:t xml:space="preserve"> Payments for regular salaries and wages are processed according to the salary structure and applicable attendance records.</w:t>
      </w:r>
    </w:p>
    <w:p>
      <w:pPr>
        <w:numPr>
          <w:ilvl w:val="1"/>
          <w:numId w:val="90"/>
        </w:numPr>
        <w:spacing w:after="60"/>
      </w:pPr>
      <w:r>
        <w:rPr>
          <w:b/>
        </w:rPr>
        <w:t>Other Operational Expenditures:</w:t>
      </w:r>
      <w:r>
        <w:rPr/>
        <w:t xml:space="preserve"> Any other payments for operational purposes (such as utilities, office supplies, etc.) require prior approval and must fall within the institution’s financial planning and budget allocation.</w:t>
      </w:r>
    </w:p>
    <w:p>
      <w:pPr>
        <w:tabs>
          <w:tab w:pos="425" w:val="left"/>
        </w:tabs>
        <w:spacing w:after="60"/>
        <w:ind w:left="425" w:hanging="425"/>
      </w:pPr>
      <w:r>
        <w:rPr>
          <w:b/>
        </w:rPr>
        <w:t>4.</w:t>
      </w:r>
      <w:r>
        <w:rPr/>
        <w:tab/>
        <w:t>Payment Authorization:</w:t>
      </w:r>
    </w:p>
    <w:p>
      <w:pPr>
        <w:numPr>
          <w:ilvl w:val="1"/>
          <w:numId w:val="90"/>
        </w:numPr>
        <w:spacing w:after="60"/>
      </w:pPr>
      <w:r>
        <w:rPr/>
        <w:t>All payments for operational expenses must be authorized by the Principal or Chairman, based on the available budget and financial requirements.</w:t>
      </w:r>
    </w:p>
    <w:p>
      <w:pPr>
        <w:numPr>
          <w:ilvl w:val="1"/>
          <w:numId w:val="90"/>
        </w:numPr>
        <w:spacing w:after="60"/>
      </w:pPr>
      <w:r>
        <w:rPr/>
        <w:t>Once authorized, the Finance Officer will proceed with the payment following the usual processing steps (e.g., check issuance, transfer, or direct deposit).</w:t>
      </w:r>
    </w:p>
    <w:p>
      <w:pPr>
        <w:tabs>
          <w:tab w:pos="425" w:val="left"/>
        </w:tabs>
        <w:spacing w:after="60"/>
        <w:ind w:left="425" w:hanging="425"/>
      </w:pPr>
      <w:r>
        <w:rPr>
          <w:b/>
        </w:rPr>
        <w:t>5.</w:t>
      </w:r>
      <w:r>
        <w:rPr/>
        <w:tab/>
        <w:t>Record Keeping and Compliance:</w:t>
      </w:r>
    </w:p>
    <w:p>
      <w:pPr>
        <w:numPr>
          <w:ilvl w:val="1"/>
          <w:numId w:val="90"/>
        </w:numPr>
        <w:spacing w:after="60"/>
      </w:pPr>
      <w:r>
        <w:rPr/>
        <w:t>The Finance Officer shall maintain a detailed record of all operational payments, including payment vouchers, invoices, and approval documents, for auditing and verification purposes.</w:t>
      </w:r>
    </w:p>
    <w:p>
      <w:pPr>
        <w:numPr>
          <w:ilvl w:val="1"/>
          <w:numId w:val="90"/>
        </w:numPr>
        <w:spacing w:after="60"/>
      </w:pPr>
      <w:r>
        <w:rPr/>
        <w:t>The Finance Officer must ensure compliance with institutional policies, financial regulations, and accounting standards.</w:t>
      </w:r>
    </w:p>
    <w:p>
      <w:pPr>
        <w:tabs>
          <w:tab w:pos="425" w:val="left"/>
        </w:tabs>
        <w:spacing w:after="60"/>
        <w:ind w:left="425" w:hanging="425"/>
      </w:pPr>
      <w:r>
        <w:rPr>
          <w:b/>
        </w:rPr>
        <w:t>6.</w:t>
      </w:r>
      <w:r>
        <w:rPr/>
        <w:tab/>
        <w:t>Periodic Review:</w:t>
      </w:r>
    </w:p>
    <w:p>
      <w:pPr>
        <w:numPr>
          <w:ilvl w:val="1"/>
          <w:numId w:val="90"/>
        </w:numPr>
        <w:spacing w:after="60"/>
      </w:pPr>
      <w:r>
        <w:rPr/>
        <w:t>Finance Officer and Principal will regularly review operational expenditures to ensure they are aligned with the budget and that no over-expenditure occurs. This review process helps in making adjustments as necessary to adhere to financial constraints.</w:t>
      </w:r>
    </w:p>
    <w:p>
      <w:pPr>
        <w:spacing w:after="0"/>
      </w:pPr>
      <w:r>
        <w:br w:type="page"/>
      </w:r>
    </w:p>
    <w:p>
      <w:pPr>
        <w:pStyle w:val="Heading1"/>
        <w:spacing w:before="0"/>
      </w:pPr>
      <w:r>
        <w:rPr/>
        <w:t>14. Fixed Assets Policy</w:t>
      </w:r>
    </w:p>
    <w:p>
      <w:pPr>
        <w:pStyle w:val="Heading2"/>
      </w:pPr>
      <w:r>
        <w:rPr/>
        <w:t>Introduction</w:t>
      </w:r>
    </w:p>
    <w:p>
      <w:pPr>
        <w:numPr>
          <w:ilvl w:val="0"/>
          <w:numId w:val="90"/>
        </w:numPr>
        <w:spacing w:after="60"/>
      </w:pPr>
      <w:r>
        <w:rPr/>
        <w:t>Role of Fixed Assets</w:t>
      </w:r>
    </w:p>
    <w:p>
      <w:pPr>
        <w:numPr>
          <w:ilvl w:val="1"/>
          <w:numId w:val="90"/>
        </w:numPr>
        <w:spacing w:after="60"/>
      </w:pPr>
      <w:r>
        <w:rPr/>
        <w:t>Fixed Assets form the backbone of Higher Education Institutions (HEIs), enabling them to generate academic, research, and administrative value while also contributing to revenue and long-term sustainability.</w:t>
      </w:r>
    </w:p>
    <w:p>
      <w:pPr>
        <w:numPr>
          <w:ilvl w:val="1"/>
          <w:numId w:val="90"/>
        </w:numPr>
        <w:spacing w:after="60"/>
      </w:pPr>
      <w:r>
        <w:rPr/>
        <w:t>These assets include land, buildings, infrastructure, laboratory equipment, IT systems, furniture, vehicles, and other long-term resources that provide economic and service benefits over multiple years.</w:t>
      </w:r>
    </w:p>
    <w:p>
      <w:pPr>
        <w:numPr>
          <w:ilvl w:val="0"/>
          <w:numId w:val="90"/>
        </w:numPr>
        <w:spacing w:after="60"/>
      </w:pPr>
      <w:r>
        <w:rPr/>
        <w:t>Need for Standardization</w:t>
      </w:r>
    </w:p>
    <w:p>
      <w:pPr>
        <w:numPr>
          <w:ilvl w:val="1"/>
          <w:numId w:val="90"/>
        </w:numPr>
        <w:spacing w:after="60"/>
      </w:pPr>
      <w:r>
        <w:rPr/>
        <w:t>Due to the diverse nature and applications of assets across different departments and campuses, it is critical that all business units follow a standardized set of policies and procedures.</w:t>
      </w:r>
    </w:p>
    <w:p>
      <w:pPr>
        <w:numPr>
          <w:ilvl w:val="1"/>
          <w:numId w:val="90"/>
        </w:numPr>
        <w:spacing w:after="60"/>
      </w:pPr>
      <w:r>
        <w:rPr/>
        <w:t>Uniform processes ensure:</w:t>
      </w:r>
    </w:p>
    <w:p>
      <w:pPr>
        <w:numPr>
          <w:ilvl w:val="2"/>
          <w:numId w:val="90"/>
        </w:numPr>
        <w:spacing w:after="60"/>
      </w:pPr>
      <w:r>
        <w:rPr/>
        <w:t>Accurate recognition, valuation, and classification of assets.</w:t>
      </w:r>
    </w:p>
    <w:p>
      <w:pPr>
        <w:numPr>
          <w:ilvl w:val="2"/>
          <w:numId w:val="90"/>
        </w:numPr>
        <w:spacing w:after="60"/>
      </w:pPr>
      <w:r>
        <w:rPr/>
        <w:t>Consistency in accounting practices across the institution.</w:t>
      </w:r>
    </w:p>
    <w:p>
      <w:pPr>
        <w:numPr>
          <w:ilvl w:val="2"/>
          <w:numId w:val="90"/>
        </w:numPr>
        <w:spacing w:after="60"/>
      </w:pPr>
      <w:r>
        <w:rPr/>
        <w:t>Compliance with statutory regulations and audit requirements.</w:t>
      </w:r>
    </w:p>
    <w:p>
      <w:pPr>
        <w:numPr>
          <w:ilvl w:val="0"/>
          <w:numId w:val="90"/>
        </w:numPr>
        <w:spacing w:after="60"/>
      </w:pPr>
      <w:r>
        <w:rPr/>
        <w:t>Objective of the Guide</w:t>
      </w:r>
    </w:p>
    <w:p>
      <w:pPr>
        <w:numPr>
          <w:ilvl w:val="1"/>
          <w:numId w:val="90"/>
        </w:numPr>
        <w:spacing w:after="60"/>
      </w:pPr>
      <w:r>
        <w:rPr/>
        <w:t>This best practice guide has been developed to provide comprehensive instructions for the management and accounting treatment of fixed assets throughout their lifecycle, including:</w:t>
      </w:r>
    </w:p>
    <w:p>
      <w:pPr>
        <w:numPr>
          <w:ilvl w:val="2"/>
          <w:numId w:val="90"/>
        </w:numPr>
        <w:spacing w:after="60"/>
      </w:pPr>
      <w:r>
        <w:rPr/>
        <w:t>Acquisition and capitalization of assets.</w:t>
      </w:r>
    </w:p>
    <w:p>
      <w:pPr>
        <w:numPr>
          <w:ilvl w:val="2"/>
          <w:numId w:val="90"/>
        </w:numPr>
        <w:spacing w:after="60"/>
      </w:pPr>
      <w:r>
        <w:rPr/>
        <w:t>Depreciation and impairment of assets.</w:t>
      </w:r>
    </w:p>
    <w:p>
      <w:pPr>
        <w:numPr>
          <w:ilvl w:val="2"/>
          <w:numId w:val="90"/>
        </w:numPr>
        <w:spacing w:after="60"/>
      </w:pPr>
      <w:r>
        <w:rPr/>
        <w:t>Verification, revaluation, and tagging of assets.</w:t>
      </w:r>
    </w:p>
    <w:p>
      <w:pPr>
        <w:numPr>
          <w:ilvl w:val="2"/>
          <w:numId w:val="90"/>
        </w:numPr>
        <w:spacing w:after="60"/>
      </w:pPr>
      <w:r>
        <w:rPr/>
        <w:t>Disposal or retirement of assets.</w:t>
      </w:r>
    </w:p>
    <w:p>
      <w:pPr>
        <w:numPr>
          <w:ilvl w:val="1"/>
          <w:numId w:val="90"/>
        </w:numPr>
        <w:spacing w:after="60"/>
      </w:pPr>
      <w:r>
        <w:rPr/>
        <w:t>The guide ensures that fixed assets are:</w:t>
      </w:r>
    </w:p>
    <w:p>
      <w:pPr>
        <w:numPr>
          <w:ilvl w:val="2"/>
          <w:numId w:val="90"/>
        </w:numPr>
        <w:spacing w:after="60"/>
      </w:pPr>
      <w:r>
        <w:rPr/>
        <w:t>Used efficiently to maximize their economic and service potential.</w:t>
      </w:r>
    </w:p>
    <w:p>
      <w:pPr>
        <w:numPr>
          <w:ilvl w:val="2"/>
          <w:numId w:val="90"/>
        </w:numPr>
        <w:spacing w:after="60"/>
      </w:pPr>
      <w:r>
        <w:rPr/>
        <w:t>Properly safeguarded against loss, theft, or misuse.</w:t>
      </w:r>
    </w:p>
    <w:p>
      <w:pPr>
        <w:numPr>
          <w:ilvl w:val="2"/>
          <w:numId w:val="90"/>
        </w:numPr>
        <w:spacing w:after="60"/>
      </w:pPr>
      <w:r>
        <w:rPr/>
        <w:t>Reflected in the financial records in an accurate, reliable, and transparent manner.</w:t>
      </w:r>
    </w:p>
    <w:p>
      <w:pPr>
        <w:numPr>
          <w:ilvl w:val="0"/>
          <w:numId w:val="90"/>
        </w:numPr>
        <w:spacing w:after="60"/>
      </w:pPr>
      <w:r>
        <w:rPr/>
        <w:t>Scope of Application</w:t>
      </w:r>
    </w:p>
    <w:p>
      <w:pPr>
        <w:numPr>
          <w:ilvl w:val="1"/>
          <w:numId w:val="90"/>
        </w:numPr>
        <w:spacing w:after="60"/>
      </w:pPr>
      <w:r>
        <w:rPr/>
        <w:t>The policy applies to all schools, departments, research centers, and administrative offices within the HEI.</w:t>
      </w:r>
    </w:p>
    <w:p>
      <w:pPr>
        <w:numPr>
          <w:ilvl w:val="1"/>
          <w:numId w:val="90"/>
        </w:numPr>
        <w:spacing w:after="60"/>
      </w:pPr>
      <w:r>
        <w:rPr/>
        <w:t>It ensures that the Group-wide framework for fixed asset management is consistently implemented across all units.</w:t>
      </w:r>
    </w:p>
    <w:p>
      <w:pPr>
        <w:pStyle w:val="Heading2"/>
      </w:pPr>
      <w:r>
        <w:rPr/>
        <w:t>Objective</w:t>
      </w:r>
    </w:p>
    <w:p>
      <w:pPr>
        <w:numPr>
          <w:ilvl w:val="0"/>
          <w:numId w:val="90"/>
        </w:numPr>
        <w:spacing w:after="60"/>
      </w:pPr>
      <w:r>
        <w:rPr/>
        <w:t>The primary objective of Fixed Asset Management is to establish a systematic accounting and control process that ensures the accurate tracking, valuation, and safeguarding of all fixed assets owned by the HEI.</w:t>
      </w:r>
    </w:p>
    <w:p>
      <w:pPr>
        <w:numPr>
          <w:ilvl w:val="0"/>
          <w:numId w:val="90"/>
        </w:numPr>
        <w:spacing w:after="60"/>
      </w:pPr>
      <w:r>
        <w:rPr/>
        <w:t>Key goals include:</w:t>
      </w:r>
    </w:p>
    <w:p>
      <w:pPr>
        <w:tabs>
          <w:tab w:pos="935" w:val="left"/>
        </w:tabs>
        <w:spacing w:after="60"/>
        <w:ind w:left="935" w:hanging="425"/>
      </w:pPr>
      <w:r>
        <w:rPr/>
        <w:t>1.</w:t>
        <w:tab/>
        <w:t>Financial Accounting &amp; Reporting</w:t>
      </w:r>
    </w:p>
    <w:p>
      <w:pPr>
        <w:numPr>
          <w:ilvl w:val="2"/>
          <w:numId w:val="90"/>
        </w:numPr>
        <w:spacing w:after="60"/>
      </w:pPr>
      <w:r>
        <w:rPr/>
        <w:t>To record and report fixed assets in accordance with applicable accounting standards, ensuring accuracy in the balance sheet and compliance with statutory and audit requirements.</w:t>
      </w:r>
    </w:p>
    <w:p>
      <w:pPr>
        <w:tabs>
          <w:tab w:pos="935" w:val="left"/>
        </w:tabs>
        <w:spacing w:after="60"/>
        <w:ind w:left="935" w:hanging="425"/>
      </w:pPr>
      <w:r>
        <w:rPr/>
        <w:t>2.</w:t>
        <w:tab/>
        <w:t>Preventive Maintenance</w:t>
      </w:r>
    </w:p>
    <w:p>
      <w:pPr>
        <w:numPr>
          <w:ilvl w:val="2"/>
          <w:numId w:val="90"/>
        </w:numPr>
        <w:spacing w:after="60"/>
      </w:pPr>
      <w:r>
        <w:rPr/>
        <w:t>To maintain assets in good working condition through timely inspections, servicing, and preventive maintenance schedules, thereby maximizing their useful life.</w:t>
      </w:r>
    </w:p>
    <w:p>
      <w:pPr>
        <w:tabs>
          <w:tab w:pos="935" w:val="left"/>
        </w:tabs>
        <w:spacing w:after="60"/>
        <w:ind w:left="935" w:hanging="425"/>
      </w:pPr>
      <w:r>
        <w:rPr/>
        <w:t>3.</w:t>
        <w:tab/>
        <w:t>Theft Deterrence &amp; Security</w:t>
      </w:r>
    </w:p>
    <w:p>
      <w:pPr>
        <w:numPr>
          <w:ilvl w:val="2"/>
          <w:numId w:val="90"/>
        </w:numPr>
        <w:spacing w:after="60"/>
      </w:pPr>
      <w:r>
        <w:rPr/>
        <w:t>To implement tagging, inventory verification, and internal controls that safeguard assets against loss, theft, or unauthorized use.</w:t>
      </w:r>
    </w:p>
    <w:p>
      <w:pPr>
        <w:tabs>
          <w:tab w:pos="935" w:val="left"/>
        </w:tabs>
        <w:spacing w:after="60"/>
        <w:ind w:left="935" w:hanging="425"/>
      </w:pPr>
      <w:r>
        <w:rPr/>
        <w:t>4.</w:t>
        <w:tab/>
        <w:t>Efficient Utilization</w:t>
      </w:r>
    </w:p>
    <w:p>
      <w:pPr>
        <w:numPr>
          <w:ilvl w:val="2"/>
          <w:numId w:val="90"/>
        </w:numPr>
        <w:spacing w:after="60"/>
      </w:pPr>
      <w:r>
        <w:rPr/>
        <w:t>To ensure optimal deployment of assets across departments and campuses, avoiding duplication and under-utilization.</w:t>
      </w:r>
    </w:p>
    <w:p>
      <w:pPr>
        <w:tabs>
          <w:tab w:pos="935" w:val="left"/>
        </w:tabs>
        <w:spacing w:after="60"/>
        <w:ind w:left="935" w:hanging="425"/>
      </w:pPr>
      <w:r>
        <w:rPr/>
        <w:t>5.</w:t>
        <w:tab/>
        <w:t>Lifecycle Management</w:t>
      </w:r>
    </w:p>
    <w:p>
      <w:pPr>
        <w:numPr>
          <w:ilvl w:val="2"/>
          <w:numId w:val="90"/>
        </w:numPr>
        <w:spacing w:after="60"/>
      </w:pPr>
      <w:r>
        <w:rPr/>
        <w:t>To monitor assets throughout their lifecycle—from acquisition to disposal—including capitalization, depreciation, revaluation, impairment, and retirement.</w:t>
      </w:r>
    </w:p>
    <w:p>
      <w:pPr>
        <w:tabs>
          <w:tab w:pos="935" w:val="left"/>
        </w:tabs>
        <w:spacing w:after="60"/>
        <w:ind w:left="935" w:hanging="425"/>
      </w:pPr>
      <w:r>
        <w:rPr/>
        <w:t>6.</w:t>
        <w:tab/>
        <w:t>Transparency &amp; Accountability</w:t>
      </w:r>
    </w:p>
    <w:p>
      <w:pPr>
        <w:numPr>
          <w:ilvl w:val="2"/>
          <w:numId w:val="90"/>
        </w:numPr>
        <w:spacing w:after="60"/>
      </w:pPr>
      <w:r>
        <w:rPr/>
        <w:t>To provide clear visibility of assets to management, auditors, and stakeholders through a centralized asset register and periodic reports.</w:t>
      </w:r>
    </w:p>
    <w:p>
      <w:pPr>
        <w:pStyle w:val="Heading2"/>
      </w:pPr>
      <w:r>
        <w:rPr/>
        <w:t>Definitions</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2268"/>
        <w:gridCol w:w="7143"/>
      </w:tblGrid>
      <w:tr>
        <w:trPr>
          <w:cantSplit w:val="true"/>
          <w:tblHeader w:val="true"/>
        </w:trPr>
        <w:tc>
          <w:tcPr>
            <w:tcW w:type="dxa" w:w="2268"/>
            <w:shd w:val="clear" w:color="auto" w:fill="1F3A5F"/>
          </w:tcPr>
          <w:p>
            <w:pPr>
              <w:spacing w:after="20" w:before="20" w:line="240" w:lineRule="auto"/>
              <w:jc w:val="left"/>
            </w:pPr>
            <w:r>
              <w:rPr>
                <w:b/>
                <w:color w:val="FFFFFF"/>
                <w:sz w:val="20"/>
              </w:rPr>
              <w:t>Term</w:t>
            </w:r>
          </w:p>
        </w:tc>
        <w:tc>
          <w:tcPr>
            <w:tcW w:type="dxa" w:w="7143"/>
            <w:shd w:val="clear" w:color="auto" w:fill="1F3A5F"/>
          </w:tcPr>
          <w:p>
            <w:pPr>
              <w:spacing w:after="20" w:before="20" w:line="240" w:lineRule="auto"/>
              <w:jc w:val="left"/>
            </w:pPr>
            <w:r>
              <w:rPr>
                <w:b/>
                <w:color w:val="FFFFFF"/>
                <w:sz w:val="20"/>
              </w:rPr>
              <w:t>Definition</w:t>
            </w:r>
          </w:p>
        </w:tc>
      </w:tr>
      <w:tr>
        <w:trPr>
          <w:cantSplit w:val="true"/>
        </w:trPr>
        <w:tc>
          <w:tcPr>
            <w:tcW w:type="dxa" w:w="2268"/>
          </w:tcPr>
          <w:p>
            <w:pPr>
              <w:spacing w:after="20" w:before="20" w:line="240" w:lineRule="auto"/>
              <w:jc w:val="left"/>
            </w:pPr>
            <w:r>
              <w:rPr>
                <w:sz w:val="20"/>
              </w:rPr>
              <w:t>Property, Plant and Equipment (PPE)</w:t>
            </w:r>
          </w:p>
        </w:tc>
        <w:tc>
          <w:tcPr>
            <w:tcW w:type="dxa" w:w="7143"/>
          </w:tcPr>
          <w:p>
            <w:pPr>
              <w:spacing w:after="20" w:before="20" w:line="240" w:lineRule="auto"/>
              <w:jc w:val="left"/>
            </w:pPr>
            <w:r>
              <w:rPr>
                <w:sz w:val="20"/>
              </w:rPr>
              <w:t>A class of tangible fixed assets used in the production or supply of goods or services, for rental to others, or for administrative, educational, or research purposes. These assets are classified as non-current assets, as they are expected to provide economic benefits for a period exceeding 12 months.</w:t>
            </w:r>
          </w:p>
        </w:tc>
      </w:tr>
      <w:tr>
        <w:trPr>
          <w:cantSplit w:val="true"/>
        </w:trPr>
        <w:tc>
          <w:tcPr>
            <w:tcW w:type="dxa" w:w="2268"/>
            <w:shd w:val="clear" w:color="auto" w:fill="E8EEF5"/>
          </w:tcPr>
          <w:p>
            <w:pPr>
              <w:spacing w:after="20" w:before="20" w:line="240" w:lineRule="auto"/>
              <w:jc w:val="left"/>
            </w:pPr>
            <w:r>
              <w:rPr>
                <w:sz w:val="20"/>
              </w:rPr>
              <w:t>Recognition</w:t>
            </w:r>
          </w:p>
        </w:tc>
        <w:tc>
          <w:tcPr>
            <w:tcW w:type="dxa" w:w="7143"/>
            <w:shd w:val="clear" w:color="auto" w:fill="E8EEF5"/>
          </w:tcPr>
          <w:p>
            <w:pPr>
              <w:spacing w:after="20" w:before="20" w:line="240" w:lineRule="auto"/>
              <w:jc w:val="left"/>
            </w:pPr>
            <w:r>
              <w:rPr>
                <w:sz w:val="20"/>
              </w:rPr>
              <w:t>An item of PPE should be recognized as a fixed asset only if: (i) its cost can be measured reliably, and (ii) it is probable that future economic or service benefits associated with the item will flow to the institution.</w:t>
            </w:r>
          </w:p>
        </w:tc>
      </w:tr>
      <w:tr>
        <w:trPr>
          <w:cantSplit w:val="true"/>
        </w:trPr>
        <w:tc>
          <w:tcPr>
            <w:tcW w:type="dxa" w:w="2268"/>
          </w:tcPr>
          <w:p>
            <w:pPr>
              <w:spacing w:after="20" w:before="20" w:line="240" w:lineRule="auto"/>
              <w:jc w:val="left"/>
            </w:pPr>
            <w:r>
              <w:rPr>
                <w:sz w:val="20"/>
              </w:rPr>
              <w:t>Cost</w:t>
            </w:r>
          </w:p>
        </w:tc>
        <w:tc>
          <w:tcPr>
            <w:tcW w:type="dxa" w:w="7143"/>
          </w:tcPr>
          <w:p>
            <w:pPr>
              <w:spacing w:after="20" w:before="20" w:line="240" w:lineRule="auto"/>
              <w:jc w:val="left"/>
            </w:pPr>
            <w:r>
              <w:rPr>
                <w:sz w:val="20"/>
              </w:rPr>
              <w:t>The total expenditure incurred to acquire or construct an asset, including: (i) Purchase price (net of trade discounts and rebates), (ii) Directly attributable costs (delivery, installation, site preparation, professional fees), and (iii) Any costs necessary to bring the asset to its final location and working condition for intended use.</w:t>
            </w:r>
          </w:p>
        </w:tc>
      </w:tr>
      <w:tr>
        <w:trPr>
          <w:cantSplit w:val="true"/>
        </w:trPr>
        <w:tc>
          <w:tcPr>
            <w:tcW w:type="dxa" w:w="2268"/>
            <w:shd w:val="clear" w:color="auto" w:fill="E8EEF5"/>
          </w:tcPr>
          <w:p>
            <w:pPr>
              <w:spacing w:after="20" w:before="20" w:line="240" w:lineRule="auto"/>
              <w:jc w:val="left"/>
            </w:pPr>
            <w:r>
              <w:rPr>
                <w:sz w:val="20"/>
              </w:rPr>
              <w:t>Depreciation</w:t>
            </w:r>
          </w:p>
        </w:tc>
        <w:tc>
          <w:tcPr>
            <w:tcW w:type="dxa" w:w="7143"/>
            <w:shd w:val="clear" w:color="auto" w:fill="E8EEF5"/>
          </w:tcPr>
          <w:p>
            <w:pPr>
              <w:spacing w:after="20" w:before="20" w:line="240" w:lineRule="auto"/>
              <w:jc w:val="left"/>
            </w:pPr>
            <w:r>
              <w:rPr>
                <w:sz w:val="20"/>
              </w:rPr>
              <w:t>The systematic allocation of the depreciable amount of an asset over its useful life. Depreciation represents the wear and tear, usage, or obsolescence of assets and is charged periodically to the income &amp; expenditure account, ensuring that the cost of assets is matched with the revenues they help to generate.</w:t>
            </w:r>
          </w:p>
        </w:tc>
      </w:tr>
      <w:tr>
        <w:trPr>
          <w:cantSplit w:val="true"/>
        </w:trPr>
        <w:tc>
          <w:tcPr>
            <w:tcW w:type="dxa" w:w="2268"/>
          </w:tcPr>
          <w:p>
            <w:pPr>
              <w:spacing w:after="20" w:before="20" w:line="240" w:lineRule="auto"/>
              <w:jc w:val="left"/>
            </w:pPr>
            <w:r>
              <w:rPr>
                <w:sz w:val="20"/>
              </w:rPr>
              <w:t>Useful Economic Life (UEL)</w:t>
            </w:r>
          </w:p>
        </w:tc>
        <w:tc>
          <w:tcPr>
            <w:tcW w:type="dxa" w:w="7143"/>
          </w:tcPr>
          <w:p>
            <w:pPr>
              <w:spacing w:after="20" w:before="20" w:line="240" w:lineRule="auto"/>
              <w:jc w:val="left"/>
            </w:pPr>
            <w:r>
              <w:rPr>
                <w:sz w:val="20"/>
              </w:rPr>
              <w:t>The estimated period (in years) during which an asset is expected to provide economic or service benefits to the HEI. The UEL should align with the depreciation rates prescribed in the Fixed Assets SOP. For prudence, UEL must not exceed prescribed guidelines, though it may be shortened if actual usage or asset condition suggests a lower lifespan.</w:t>
            </w:r>
          </w:p>
        </w:tc>
      </w:tr>
      <w:tr>
        <w:trPr>
          <w:cantSplit w:val="true"/>
        </w:trPr>
        <w:tc>
          <w:tcPr>
            <w:tcW w:type="dxa" w:w="2268"/>
            <w:shd w:val="clear" w:color="auto" w:fill="E8EEF5"/>
          </w:tcPr>
          <w:p>
            <w:pPr>
              <w:spacing w:after="20" w:before="20" w:line="240" w:lineRule="auto"/>
              <w:jc w:val="left"/>
            </w:pPr>
            <w:r>
              <w:rPr>
                <w:sz w:val="20"/>
              </w:rPr>
              <w:t>Impairment Loss</w:t>
            </w:r>
          </w:p>
        </w:tc>
        <w:tc>
          <w:tcPr>
            <w:tcW w:type="dxa" w:w="7143"/>
            <w:shd w:val="clear" w:color="auto" w:fill="E8EEF5"/>
          </w:tcPr>
          <w:p>
            <w:pPr>
              <w:spacing w:after="20" w:before="20" w:line="240" w:lineRule="auto"/>
              <w:jc w:val="left"/>
            </w:pPr>
            <w:r>
              <w:rPr>
                <w:sz w:val="20"/>
              </w:rPr>
              <w:t>The amount by which the carrying value (book value) of an asset exceeds its recoverable amount (the higher of fair value less costs to sell or value in use). Impairment indicates a permanent decline in the value of the asset and must be recognized in the accounts when identified.</w:t>
            </w:r>
          </w:p>
        </w:tc>
      </w:tr>
    </w:tbl>
    <w:p>
      <w:pPr>
        <w:spacing w:after="80" w:line="240" w:lineRule="auto"/>
      </w:pPr>
    </w:p>
    <w:p>
      <w:pPr>
        <w:pStyle w:val="Heading2"/>
      </w:pPr>
      <w:r>
        <w:rPr/>
        <w:t>Fixed Asset Register (FAR)</w:t>
      </w:r>
    </w:p>
    <w:p>
      <w:pPr>
        <w:numPr>
          <w:ilvl w:val="0"/>
          <w:numId w:val="90"/>
        </w:numPr>
        <w:spacing w:after="60"/>
      </w:pPr>
      <w:r>
        <w:rPr/>
        <w:t>Requirement to Maintain FAR</w:t>
      </w:r>
    </w:p>
    <w:p>
      <w:pPr>
        <w:numPr>
          <w:ilvl w:val="1"/>
          <w:numId w:val="90"/>
        </w:numPr>
        <w:spacing w:after="60"/>
      </w:pPr>
      <w:r>
        <w:rPr/>
        <w:t>A Fixed Asset Register must be maintained at all institutes, departments, and the HEI Head Office where fixed assets are held.</w:t>
      </w:r>
    </w:p>
    <w:p>
      <w:pPr>
        <w:numPr>
          <w:ilvl w:val="1"/>
          <w:numId w:val="90"/>
        </w:numPr>
        <w:spacing w:after="60"/>
      </w:pPr>
      <w:r>
        <w:rPr/>
        <w:t>The purpose of the FAR is to ensure a comprehensive and accurate record of all fixed assets, facilitating financial reporting, physical verification, depreciation calculation, and audit compliance.</w:t>
      </w:r>
    </w:p>
    <w:p>
      <w:pPr>
        <w:numPr>
          <w:ilvl w:val="0"/>
          <w:numId w:val="90"/>
        </w:numPr>
        <w:spacing w:after="60"/>
      </w:pPr>
      <w:r>
        <w:rPr/>
        <w:t>System of Maintenance</w:t>
      </w:r>
    </w:p>
    <w:p>
      <w:pPr>
        <w:numPr>
          <w:ilvl w:val="1"/>
          <w:numId w:val="90"/>
        </w:numPr>
        <w:spacing w:after="60"/>
      </w:pPr>
      <w:r>
        <w:rPr/>
        <w:t>Best practice is to maintain the FAR within the institution’s accounting or ERP system, ensuring automation and integration with financial records.</w:t>
      </w:r>
    </w:p>
    <w:p>
      <w:pPr>
        <w:numPr>
          <w:ilvl w:val="1"/>
          <w:numId w:val="90"/>
        </w:numPr>
        <w:spacing w:after="60"/>
      </w:pPr>
      <w:r>
        <w:rPr/>
        <w:t>Where such systems are unavailable, the FAR should be maintained in Excel or a dedicated database with proper version control, security, and backup.</w:t>
      </w:r>
    </w:p>
    <w:p>
      <w:pPr>
        <w:numPr>
          <w:ilvl w:val="0"/>
          <w:numId w:val="90"/>
        </w:numPr>
        <w:spacing w:after="60"/>
      </w:pPr>
      <w:r>
        <w:rPr/>
        <w:t>Minimum Information in FAR</w:t>
      </w:r>
    </w:p>
    <w:p>
      <w:r>
        <w:rPr/>
        <w:t>Each entry in the Fixed Asset Register should include, at a minimum:</w:t>
      </w:r>
    </w:p>
    <w:p>
      <w:pPr>
        <w:numPr>
          <w:ilvl w:val="1"/>
          <w:numId w:val="90"/>
        </w:numPr>
        <w:spacing w:after="60"/>
      </w:pPr>
      <w:r>
        <w:rPr/>
        <w:t>Asset Number – Unique sequential number for identification.</w:t>
      </w:r>
    </w:p>
    <w:p>
      <w:pPr>
        <w:numPr>
          <w:ilvl w:val="1"/>
          <w:numId w:val="90"/>
        </w:numPr>
        <w:spacing w:after="60"/>
      </w:pPr>
      <w:r>
        <w:rPr/>
        <w:t>Asset Tag Reference – Barcode/RFID or physical tag affixed to the asset for verification.</w:t>
      </w:r>
    </w:p>
    <w:p>
      <w:pPr>
        <w:numPr>
          <w:ilvl w:val="1"/>
          <w:numId w:val="90"/>
        </w:numPr>
        <w:spacing w:after="60"/>
      </w:pPr>
      <w:r>
        <w:rPr/>
        <w:t>Asset Type/Category – e.g., Land, Building, IT Equipment, Furniture, Vehicle, Lab Equipment.</w:t>
      </w:r>
    </w:p>
    <w:p>
      <w:pPr>
        <w:numPr>
          <w:ilvl w:val="1"/>
          <w:numId w:val="90"/>
        </w:numPr>
        <w:spacing w:after="60"/>
      </w:pPr>
      <w:r>
        <w:rPr/>
        <w:t>Date of Acquisition – Date of purchase or commissioning.</w:t>
      </w:r>
    </w:p>
    <w:p>
      <w:pPr>
        <w:numPr>
          <w:ilvl w:val="1"/>
          <w:numId w:val="90"/>
        </w:numPr>
        <w:spacing w:after="60"/>
      </w:pPr>
      <w:r>
        <w:rPr/>
        <w:t>Asset Description – Detailed description (brand, model, specification).</w:t>
      </w:r>
    </w:p>
    <w:p>
      <w:pPr>
        <w:numPr>
          <w:ilvl w:val="1"/>
          <w:numId w:val="90"/>
        </w:numPr>
        <w:spacing w:after="60"/>
      </w:pPr>
      <w:r>
        <w:rPr/>
        <w:t>Location – Exact placement within the institute (department, building, lab, or off-site).</w:t>
      </w:r>
    </w:p>
    <w:p>
      <w:pPr>
        <w:numPr>
          <w:ilvl w:val="1"/>
          <w:numId w:val="90"/>
        </w:numPr>
        <w:spacing w:after="60"/>
      </w:pPr>
      <w:r>
        <w:rPr/>
        <w:t>Original Cost – Total acquisition cost, including directly attributable expenses.</w:t>
      </w:r>
    </w:p>
    <w:p>
      <w:pPr>
        <w:numPr>
          <w:ilvl w:val="1"/>
          <w:numId w:val="90"/>
        </w:numPr>
        <w:spacing w:after="60"/>
      </w:pPr>
      <w:r>
        <w:rPr/>
        <w:t>Useful Economic Life (Years) – Period over which the asset is expected to provide benefits.</w:t>
      </w:r>
    </w:p>
    <w:p>
      <w:pPr>
        <w:numPr>
          <w:ilvl w:val="1"/>
          <w:numId w:val="90"/>
        </w:numPr>
        <w:spacing w:after="60"/>
      </w:pPr>
      <w:r>
        <w:rPr/>
        <w:t>Accumulated Depreciation (B/F) – Depreciation charged up to the beginning of the accounting year.</w:t>
      </w:r>
    </w:p>
    <w:p>
      <w:pPr>
        <w:numPr>
          <w:ilvl w:val="1"/>
          <w:numId w:val="90"/>
        </w:numPr>
        <w:spacing w:after="60"/>
      </w:pPr>
      <w:r>
        <w:rPr/>
        <w:t>Depreciation Charge (Current Year) – Depreciation expense for the current period.</w:t>
      </w:r>
    </w:p>
    <w:p>
      <w:pPr>
        <w:numPr>
          <w:ilvl w:val="1"/>
          <w:numId w:val="90"/>
        </w:numPr>
        <w:spacing w:after="60"/>
      </w:pPr>
      <w:r>
        <w:rPr/>
        <w:t>Impairment Charge – Amount of impairment loss recognized (if any).</w:t>
      </w:r>
    </w:p>
    <w:p>
      <w:pPr>
        <w:numPr>
          <w:ilvl w:val="1"/>
          <w:numId w:val="90"/>
        </w:numPr>
        <w:spacing w:after="60"/>
      </w:pPr>
      <w:r>
        <w:rPr/>
        <w:t>Impairment Date – Date impairment was identified/recognized.</w:t>
      </w:r>
    </w:p>
    <w:p>
      <w:pPr>
        <w:numPr>
          <w:ilvl w:val="1"/>
          <w:numId w:val="90"/>
        </w:numPr>
        <w:spacing w:after="60"/>
      </w:pPr>
      <w:r>
        <w:rPr/>
        <w:t>Disposal Date – Date of sale, scrapping, or retirement.</w:t>
      </w:r>
    </w:p>
    <w:p>
      <w:pPr>
        <w:numPr>
          <w:ilvl w:val="1"/>
          <w:numId w:val="90"/>
        </w:numPr>
        <w:spacing w:after="60"/>
      </w:pPr>
      <w:r>
        <w:rPr/>
        <w:t>Disposal Proceeds – Amount realized from disposal (if applicable).</w:t>
      </w:r>
    </w:p>
    <w:p>
      <w:pPr>
        <w:numPr>
          <w:ilvl w:val="1"/>
          <w:numId w:val="90"/>
        </w:numPr>
        <w:spacing w:after="60"/>
      </w:pPr>
      <w:r>
        <w:rPr/>
        <w:t>Net Book Value (NBV) – Carrying amount of the asset after deducting depreciation and impairment.</w:t>
      </w:r>
    </w:p>
    <w:p>
      <w:pPr>
        <w:numPr>
          <w:ilvl w:val="0"/>
          <w:numId w:val="90"/>
        </w:numPr>
        <w:spacing w:after="60"/>
      </w:pPr>
      <w:r>
        <w:rPr/>
        <w:t>Separable Components</w:t>
      </w:r>
    </w:p>
    <w:p>
      <w:pPr>
        <w:numPr>
          <w:ilvl w:val="1"/>
          <w:numId w:val="90"/>
        </w:numPr>
        <w:spacing w:after="60"/>
      </w:pPr>
      <w:r>
        <w:rPr/>
        <w:t>Significant separable parts of an asset (e.g., elevator in a building, engine in a vehicle, server in a computer system) must be identified separately.</w:t>
      </w:r>
    </w:p>
    <w:p>
      <w:pPr>
        <w:numPr>
          <w:ilvl w:val="1"/>
          <w:numId w:val="90"/>
        </w:numPr>
        <w:spacing w:after="60"/>
      </w:pPr>
      <w:r>
        <w:rPr/>
        <w:t>Costs of replacing these parts should be capitalized individually, and where appropriate, depreciated separately to reflect true asset value.</w:t>
      </w:r>
    </w:p>
    <w:p>
      <w:pPr>
        <w:pStyle w:val="Heading2"/>
      </w:pPr>
      <w:r>
        <w:rPr/>
        <w:t>Disposals / Sales of Asset</w:t>
      </w:r>
    </w:p>
    <w:p>
      <w:pPr>
        <w:numPr>
          <w:ilvl w:val="0"/>
          <w:numId w:val="90"/>
        </w:numPr>
        <w:spacing w:after="60"/>
      </w:pPr>
      <w:r>
        <w:rPr/>
        <w:t>Approval Process</w:t>
      </w:r>
    </w:p>
    <w:p>
      <w:pPr>
        <w:numPr>
          <w:ilvl w:val="1"/>
          <w:numId w:val="90"/>
        </w:numPr>
        <w:spacing w:after="60"/>
      </w:pPr>
      <w:r>
        <w:rPr/>
        <w:t>The HEI must establish a formal approval mechanism for the disposal of property, plant, and equipment (PPE).</w:t>
      </w:r>
    </w:p>
    <w:p>
      <w:pPr>
        <w:numPr>
          <w:ilvl w:val="1"/>
          <w:numId w:val="90"/>
        </w:numPr>
        <w:spacing w:after="60"/>
      </w:pPr>
      <w:r>
        <w:rPr/>
        <w:t>Disposal requests should be supported by a completed Asset Disposal Form, which must include asset details, justification for disposal, and valuation.</w:t>
      </w:r>
    </w:p>
    <w:p>
      <w:pPr>
        <w:numPr>
          <w:ilvl w:val="1"/>
          <w:numId w:val="90"/>
        </w:numPr>
        <w:spacing w:after="60"/>
      </w:pPr>
      <w:r>
        <w:rPr/>
        <w:t>The form must be prepared, signed, and authorized in accordance with the institution’s Approval Matrix / Local Authorities &amp; Limits Schedule before the asset can be disposed of.</w:t>
      </w:r>
    </w:p>
    <w:p>
      <w:pPr>
        <w:numPr>
          <w:ilvl w:val="0"/>
          <w:numId w:val="90"/>
        </w:numPr>
        <w:spacing w:after="60"/>
      </w:pPr>
      <w:r>
        <w:rPr/>
        <w:t>Accounting and Reconciliation</w:t>
      </w:r>
    </w:p>
    <w:p>
      <w:pPr>
        <w:numPr>
          <w:ilvl w:val="1"/>
          <w:numId w:val="90"/>
        </w:numPr>
        <w:spacing w:after="60"/>
      </w:pPr>
      <w:r>
        <w:rPr/>
        <w:t>At the time of disposal, the following must be reconciled with the Fixed Asset Register (FAR):</w:t>
      </w:r>
    </w:p>
    <w:p>
      <w:pPr>
        <w:tabs>
          <w:tab w:pos="1361" w:val="left"/>
        </w:tabs>
        <w:spacing w:after="60"/>
        <w:ind w:left="1361" w:hanging="425"/>
      </w:pPr>
      <w:r>
        <w:rPr/>
        <w:t>1.</w:t>
        <w:tab/>
        <w:t>Original Cost of the asset.</w:t>
      </w:r>
    </w:p>
    <w:p>
      <w:pPr>
        <w:tabs>
          <w:tab w:pos="1361" w:val="left"/>
        </w:tabs>
        <w:spacing w:after="60"/>
        <w:ind w:left="1361" w:hanging="425"/>
      </w:pPr>
      <w:r>
        <w:rPr/>
        <w:t>2.</w:t>
        <w:tab/>
        <w:t>Accumulated Depreciation charged up to the disposal date.</w:t>
      </w:r>
    </w:p>
    <w:p>
      <w:pPr>
        <w:tabs>
          <w:tab w:pos="1361" w:val="left"/>
        </w:tabs>
        <w:spacing w:after="60"/>
        <w:ind w:left="1361" w:hanging="425"/>
      </w:pPr>
      <w:r>
        <w:rPr/>
        <w:t>3.</w:t>
        <w:tab/>
        <w:t>Net Book Value (NBV) at the time of disposal.</w:t>
      </w:r>
    </w:p>
    <w:p>
      <w:pPr>
        <w:tabs>
          <w:tab w:pos="1361" w:val="left"/>
        </w:tabs>
        <w:spacing w:after="60"/>
        <w:ind w:left="1361" w:hanging="425"/>
      </w:pPr>
      <w:r>
        <w:rPr/>
        <w:t>4.</w:t>
        <w:tab/>
        <w:t>Net Proceeds from the disposal (actual amount realized).</w:t>
      </w:r>
    </w:p>
    <w:p>
      <w:pPr>
        <w:numPr>
          <w:ilvl w:val="1"/>
          <w:numId w:val="90"/>
        </w:numPr>
        <w:spacing w:after="60"/>
      </w:pPr>
      <w:r>
        <w:rPr/>
        <w:t>These reconciliations ensure that the FAR and financial statements remain accurate and up to date.</w:t>
      </w:r>
    </w:p>
    <w:p>
      <w:pPr>
        <w:numPr>
          <w:ilvl w:val="0"/>
          <w:numId w:val="90"/>
        </w:numPr>
        <w:spacing w:after="60"/>
      </w:pPr>
      <w:r>
        <w:rPr/>
        <w:t>Definition of Net Proceeds</w:t>
      </w:r>
    </w:p>
    <w:p>
      <w:pPr>
        <w:numPr>
          <w:ilvl w:val="1"/>
          <w:numId w:val="90"/>
        </w:numPr>
        <w:spacing w:after="60"/>
      </w:pPr>
      <w:r>
        <w:rPr/>
        <w:t>Net Proceeds = Total Economic Benefit – Costs to Sell</w:t>
      </w:r>
    </w:p>
    <w:p>
      <w:pPr>
        <w:numPr>
          <w:ilvl w:val="1"/>
          <w:numId w:val="90"/>
        </w:numPr>
        <w:spacing w:after="60"/>
      </w:pPr>
      <w:r>
        <w:rPr/>
        <w:t>Total economic benefit may include:</w:t>
      </w:r>
    </w:p>
    <w:p>
      <w:pPr>
        <w:tabs>
          <w:tab w:pos="1361" w:val="left"/>
        </w:tabs>
        <w:spacing w:after="60"/>
        <w:ind w:left="1361" w:hanging="425"/>
      </w:pPr>
      <w:r>
        <w:rPr/>
        <w:t>1.</w:t>
        <w:tab/>
        <w:t>Cash Consideration – money received from sale.</w:t>
      </w:r>
    </w:p>
    <w:p>
      <w:pPr>
        <w:tabs>
          <w:tab w:pos="1361" w:val="left"/>
        </w:tabs>
        <w:spacing w:after="60"/>
        <w:ind w:left="1361" w:hanging="425"/>
      </w:pPr>
      <w:r>
        <w:rPr/>
        <w:t>2.</w:t>
        <w:tab/>
        <w:t>Deferred Consideration – payments to be received at a future date.</w:t>
      </w:r>
    </w:p>
    <w:p>
      <w:pPr>
        <w:tabs>
          <w:tab w:pos="1361" w:val="left"/>
        </w:tabs>
        <w:spacing w:after="60"/>
        <w:ind w:left="1361" w:hanging="425"/>
      </w:pPr>
      <w:r>
        <w:rPr/>
        <w:t>3.</w:t>
        <w:tab/>
        <w:t>Non-Cash Consideration – e.g., receipt of a replacement asset, exchange transaction, or trade-in.</w:t>
      </w:r>
    </w:p>
    <w:p>
      <w:pPr>
        <w:numPr>
          <w:ilvl w:val="1"/>
          <w:numId w:val="90"/>
        </w:numPr>
        <w:spacing w:after="60"/>
      </w:pPr>
      <w:r>
        <w:rPr/>
        <w:t>For non-cash consideration, the value recorded should be the price the HEI would reasonably expect to pay if it had acquired the asset directly in the open market.</w:t>
      </w:r>
    </w:p>
    <w:p>
      <w:pPr>
        <w:numPr>
          <w:ilvl w:val="0"/>
          <w:numId w:val="90"/>
        </w:numPr>
        <w:spacing w:after="60"/>
      </w:pPr>
      <w:r>
        <w:rPr/>
        <w:t>Additional Requirements</w:t>
      </w:r>
    </w:p>
    <w:p>
      <w:pPr>
        <w:numPr>
          <w:ilvl w:val="1"/>
          <w:numId w:val="90"/>
        </w:numPr>
        <w:spacing w:after="60"/>
      </w:pPr>
      <w:r>
        <w:rPr/>
        <w:t>For scrapped assets (no proceeds), a disposal entry must still be passed in the FAR and accounts, showing NBV written off.</w:t>
      </w:r>
    </w:p>
    <w:p>
      <w:pPr>
        <w:numPr>
          <w:ilvl w:val="1"/>
          <w:numId w:val="90"/>
        </w:numPr>
        <w:spacing w:after="60"/>
      </w:pPr>
      <w:r>
        <w:rPr/>
        <w:t>Any profit or loss on disposal (difference between NBV and net proceeds) should be recorded in the income &amp; expenditure account of the HEI.</w:t>
      </w:r>
    </w:p>
    <w:p>
      <w:pPr>
        <w:numPr>
          <w:ilvl w:val="1"/>
          <w:numId w:val="90"/>
        </w:numPr>
        <w:spacing w:after="60"/>
      </w:pPr>
      <w:r>
        <w:rPr/>
        <w:t>Assets funded by external grants must be disposed of in accordance with the funding agency’s rules, and necessary disclosures must be made.</w:t>
      </w:r>
    </w:p>
    <w:p>
      <w:pPr>
        <w:pStyle w:val="Heading2"/>
      </w:pPr>
      <w:r>
        <w:rPr/>
        <w:t>Depreciation</w:t>
      </w:r>
    </w:p>
    <w:p>
      <w:pPr>
        <w:numPr>
          <w:ilvl w:val="0"/>
          <w:numId w:val="90"/>
        </w:numPr>
        <w:spacing w:after="60"/>
      </w:pPr>
      <w:r>
        <w:rPr/>
        <w:t>Commencement of Depreciation</w:t>
      </w:r>
    </w:p>
    <w:p>
      <w:pPr>
        <w:numPr>
          <w:ilvl w:val="1"/>
          <w:numId w:val="90"/>
        </w:numPr>
        <w:spacing w:after="60"/>
      </w:pPr>
      <w:r>
        <w:rPr/>
        <w:t>Depreciation begins when an asset is available for use or put to use, i.e., when it is in the location and condition necessary for operating in the intended manner.</w:t>
      </w:r>
    </w:p>
    <w:p>
      <w:pPr>
        <w:numPr>
          <w:ilvl w:val="1"/>
          <w:numId w:val="90"/>
        </w:numPr>
        <w:spacing w:after="60"/>
      </w:pPr>
      <w:r>
        <w:rPr/>
        <w:t>Assets under construction (Capital Work-in-Progress) are not depreciated until they are completed and put into service.</w:t>
      </w:r>
    </w:p>
    <w:p>
      <w:pPr>
        <w:numPr>
          <w:ilvl w:val="0"/>
          <w:numId w:val="90"/>
        </w:numPr>
        <w:spacing w:after="60"/>
      </w:pPr>
      <w:r>
        <w:rPr/>
        <w:t>Component Depreciation</w:t>
      </w:r>
    </w:p>
    <w:p>
      <w:pPr>
        <w:numPr>
          <w:ilvl w:val="1"/>
          <w:numId w:val="90"/>
        </w:numPr>
        <w:spacing w:after="60"/>
      </w:pPr>
      <w:r>
        <w:rPr/>
        <w:t>Each significant component of Property, Plant, and Equipment (PPE) must be depreciated separately if its cost is material in relation to the total cost of the asset.</w:t>
      </w:r>
    </w:p>
    <w:p>
      <w:pPr>
        <w:numPr>
          <w:ilvl w:val="1"/>
          <w:numId w:val="90"/>
        </w:numPr>
        <w:spacing w:after="60"/>
      </w:pPr>
      <w:r>
        <w:rPr>
          <w:b/>
        </w:rPr>
        <w:t>Example:</w:t>
      </w:r>
      <w:r>
        <w:rPr/>
        <w:t xml:space="preserve"> Land is not depreciated, but the building on the land is depreciated over its useful life.</w:t>
      </w:r>
    </w:p>
    <w:p>
      <w:pPr>
        <w:numPr>
          <w:ilvl w:val="0"/>
          <w:numId w:val="90"/>
        </w:numPr>
        <w:spacing w:after="60"/>
      </w:pPr>
      <w:r>
        <w:rPr/>
        <w:t>Automation of Depreciation</w:t>
      </w:r>
    </w:p>
    <w:p>
      <w:pPr>
        <w:numPr>
          <w:ilvl w:val="1"/>
          <w:numId w:val="90"/>
        </w:numPr>
        <w:spacing w:after="60"/>
      </w:pPr>
      <w:r>
        <w:rPr/>
        <w:t>Depreciation calculations should be automated using the institution’s accounting system or ERP, ensuring consistency and reducing manual errors.</w:t>
      </w:r>
    </w:p>
    <w:p>
      <w:pPr>
        <w:numPr>
          <w:ilvl w:val="1"/>
          <w:numId w:val="90"/>
        </w:numPr>
        <w:spacing w:after="60"/>
      </w:pPr>
      <w:r>
        <w:rPr/>
        <w:t>Depreciation must be calculated monthly and posted to the General Ledger systematically.</w:t>
      </w:r>
    </w:p>
    <w:p>
      <w:pPr>
        <w:numPr>
          <w:ilvl w:val="0"/>
          <w:numId w:val="90"/>
        </w:numPr>
        <w:spacing w:after="60"/>
      </w:pPr>
      <w:r>
        <w:rPr/>
        <w:t>Depreciation Method</w:t>
      </w:r>
    </w:p>
    <w:p>
      <w:pPr>
        <w:numPr>
          <w:ilvl w:val="1"/>
          <w:numId w:val="90"/>
        </w:numPr>
        <w:spacing w:after="60"/>
      </w:pPr>
      <w:r>
        <w:rPr/>
        <w:t>Depreciation should reflect the pattern of economic benefit consumption.</w:t>
      </w:r>
    </w:p>
    <w:p>
      <w:pPr>
        <w:numPr>
          <w:ilvl w:val="1"/>
          <w:numId w:val="90"/>
        </w:numPr>
        <w:spacing w:after="60"/>
      </w:pPr>
      <w:r>
        <w:rPr/>
        <w:t>BLDE (Deemed to be University) currently follows the Straight-Line Method (SLM), spreading the cost of the asset evenly over its useful life.</w:t>
      </w:r>
    </w:p>
    <w:p>
      <w:pPr>
        <w:numPr>
          <w:ilvl w:val="1"/>
          <w:numId w:val="90"/>
        </w:numPr>
        <w:spacing w:after="60"/>
      </w:pPr>
      <w:r>
        <w:rPr/>
        <w:t>Any change in method (e.g., Written Down Value / Units of Production) must be approved by the Chief Finance Officer (CFO).</w:t>
      </w:r>
    </w:p>
    <w:p>
      <w:pPr>
        <w:numPr>
          <w:ilvl w:val="0"/>
          <w:numId w:val="90"/>
        </w:numPr>
        <w:spacing w:after="60"/>
      </w:pPr>
      <w:r>
        <w:rPr/>
        <w:t>Leasehold Improvements</w:t>
      </w:r>
    </w:p>
    <w:p>
      <w:pPr>
        <w:numPr>
          <w:ilvl w:val="1"/>
          <w:numId w:val="90"/>
        </w:numPr>
        <w:spacing w:after="60"/>
      </w:pPr>
      <w:r>
        <w:rPr/>
        <w:t>Improvements made on leased property must be capitalized and depreciated over the shorter of their useful life or the remaining lease term.</w:t>
      </w:r>
    </w:p>
    <w:p>
      <w:pPr>
        <w:numPr>
          <w:ilvl w:val="1"/>
          <w:numId w:val="90"/>
        </w:numPr>
        <w:spacing w:after="60"/>
      </w:pPr>
      <w:r>
        <w:rPr/>
        <w:t>If improvements can be removed without damage, they may be depreciated over their useful life.</w:t>
      </w:r>
    </w:p>
    <w:p>
      <w:pPr>
        <w:numPr>
          <w:ilvl w:val="0"/>
          <w:numId w:val="90"/>
        </w:numPr>
        <w:spacing w:after="60"/>
      </w:pPr>
      <w:r>
        <w:rPr/>
        <w:t>Indicative Useful Economic Lives (UELs)</w:t>
      </w:r>
    </w:p>
    <w:p>
      <w:pPr>
        <w:numPr>
          <w:ilvl w:val="1"/>
          <w:numId w:val="90"/>
        </w:numPr>
        <w:spacing w:after="60"/>
      </w:pPr>
      <w:r>
        <w:rPr/>
        <w:t>The following ranges should be used as guidance for asset classification:</w:t>
      </w:r>
    </w:p>
    <w:tbl>
      <w:tblPr>
        <w:tblW w:type="dxa" w:w="6804"/>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3402"/>
        <w:gridCol w:w="3402"/>
      </w:tblGrid>
      <w:tr>
        <w:trPr>
          <w:cantSplit w:val="true"/>
          <w:tblHeader w:val="true"/>
        </w:trPr>
        <w:tc>
          <w:tcPr>
            <w:tcW w:type="dxa" w:w="3402"/>
            <w:shd w:val="clear" w:color="auto" w:fill="1F3A5F"/>
          </w:tcPr>
          <w:p>
            <w:pPr>
              <w:spacing w:after="20" w:before="20" w:line="240" w:lineRule="auto"/>
              <w:jc w:val="left"/>
            </w:pPr>
            <w:r>
              <w:rPr>
                <w:b/>
                <w:color w:val="FFFFFF"/>
                <w:sz w:val="20"/>
              </w:rPr>
              <w:t>Asset Type</w:t>
            </w:r>
          </w:p>
        </w:tc>
        <w:tc>
          <w:tcPr>
            <w:tcW w:type="dxa" w:w="3402"/>
            <w:shd w:val="clear" w:color="auto" w:fill="1F3A5F"/>
          </w:tcPr>
          <w:p>
            <w:pPr>
              <w:spacing w:after="20" w:before="20" w:line="240" w:lineRule="auto"/>
              <w:jc w:val="left"/>
            </w:pPr>
            <w:r>
              <w:rPr>
                <w:b/>
                <w:color w:val="FFFFFF"/>
                <w:sz w:val="20"/>
              </w:rPr>
              <w:t>Useful Economic Life (Years)</w:t>
            </w:r>
          </w:p>
        </w:tc>
      </w:tr>
      <w:tr>
        <w:trPr>
          <w:cantSplit w:val="true"/>
        </w:trPr>
        <w:tc>
          <w:tcPr>
            <w:tcW w:type="dxa" w:w="3402"/>
          </w:tcPr>
          <w:p>
            <w:pPr>
              <w:spacing w:after="20" w:before="20" w:line="240" w:lineRule="auto"/>
              <w:jc w:val="left"/>
            </w:pPr>
            <w:r>
              <w:rPr>
                <w:sz w:val="20"/>
              </w:rPr>
              <w:t>Freehold Buildings</w:t>
            </w:r>
          </w:p>
        </w:tc>
        <w:tc>
          <w:tcPr>
            <w:tcW w:type="dxa" w:w="3402"/>
          </w:tcPr>
          <w:p>
            <w:pPr>
              <w:spacing w:after="20" w:before="20" w:line="240" w:lineRule="auto"/>
              <w:jc w:val="left"/>
            </w:pPr>
            <w:r>
              <w:rPr>
                <w:sz w:val="20"/>
              </w:rPr>
              <w:t>25–50</w:t>
            </w:r>
          </w:p>
        </w:tc>
      </w:tr>
      <w:tr>
        <w:trPr>
          <w:cantSplit w:val="true"/>
        </w:trPr>
        <w:tc>
          <w:tcPr>
            <w:tcW w:type="dxa" w:w="3402"/>
            <w:shd w:val="clear" w:color="auto" w:fill="E8EEF5"/>
          </w:tcPr>
          <w:p>
            <w:pPr>
              <w:spacing w:after="20" w:before="20" w:line="240" w:lineRule="auto"/>
              <w:jc w:val="left"/>
            </w:pPr>
            <w:r>
              <w:rPr>
                <w:sz w:val="20"/>
              </w:rPr>
              <w:t>Plant &amp; Equipment</w:t>
            </w:r>
          </w:p>
        </w:tc>
        <w:tc>
          <w:tcPr>
            <w:tcW w:type="dxa" w:w="3402"/>
            <w:shd w:val="clear" w:color="auto" w:fill="E8EEF5"/>
          </w:tcPr>
          <w:p>
            <w:pPr>
              <w:spacing w:after="20" w:before="20" w:line="240" w:lineRule="auto"/>
              <w:jc w:val="left"/>
            </w:pPr>
            <w:r>
              <w:rPr>
                <w:sz w:val="20"/>
              </w:rPr>
              <w:t>3–20 (depending on type/usage)</w:t>
            </w:r>
          </w:p>
        </w:tc>
      </w:tr>
      <w:tr>
        <w:trPr>
          <w:cantSplit w:val="true"/>
        </w:trPr>
        <w:tc>
          <w:tcPr>
            <w:tcW w:type="dxa" w:w="3402"/>
          </w:tcPr>
          <w:p>
            <w:pPr>
              <w:spacing w:after="20" w:before="20" w:line="240" w:lineRule="auto"/>
              <w:jc w:val="left"/>
            </w:pPr>
            <w:r>
              <w:rPr>
                <w:sz w:val="20"/>
              </w:rPr>
              <w:t>Motor Cars &amp; Vans</w:t>
            </w:r>
          </w:p>
        </w:tc>
        <w:tc>
          <w:tcPr>
            <w:tcW w:type="dxa" w:w="3402"/>
          </w:tcPr>
          <w:p>
            <w:pPr>
              <w:spacing w:after="20" w:before="20" w:line="240" w:lineRule="auto"/>
              <w:jc w:val="left"/>
            </w:pPr>
            <w:r>
              <w:rPr>
                <w:sz w:val="20"/>
              </w:rPr>
              <w:t>4–5</w:t>
            </w:r>
          </w:p>
        </w:tc>
      </w:tr>
      <w:tr>
        <w:trPr>
          <w:cantSplit w:val="true"/>
        </w:trPr>
        <w:tc>
          <w:tcPr>
            <w:tcW w:type="dxa" w:w="3402"/>
            <w:shd w:val="clear" w:color="auto" w:fill="E8EEF5"/>
          </w:tcPr>
          <w:p>
            <w:pPr>
              <w:spacing w:after="20" w:before="20" w:line="240" w:lineRule="auto"/>
              <w:jc w:val="left"/>
            </w:pPr>
            <w:r>
              <w:rPr>
                <w:sz w:val="20"/>
              </w:rPr>
              <w:t>Freight Vehicles</w:t>
            </w:r>
          </w:p>
        </w:tc>
        <w:tc>
          <w:tcPr>
            <w:tcW w:type="dxa" w:w="3402"/>
            <w:shd w:val="clear" w:color="auto" w:fill="E8EEF5"/>
          </w:tcPr>
          <w:p>
            <w:pPr>
              <w:spacing w:after="20" w:before="20" w:line="240" w:lineRule="auto"/>
              <w:jc w:val="left"/>
            </w:pPr>
            <w:r>
              <w:rPr>
                <w:sz w:val="20"/>
              </w:rPr>
              <w:t>5</w:t>
            </w:r>
          </w:p>
        </w:tc>
      </w:tr>
      <w:tr>
        <w:trPr>
          <w:cantSplit w:val="true"/>
        </w:trPr>
        <w:tc>
          <w:tcPr>
            <w:tcW w:type="dxa" w:w="3402"/>
          </w:tcPr>
          <w:p>
            <w:pPr>
              <w:spacing w:after="20" w:before="20" w:line="240" w:lineRule="auto"/>
              <w:jc w:val="left"/>
            </w:pPr>
            <w:r>
              <w:rPr>
                <w:sz w:val="20"/>
              </w:rPr>
              <w:t>Office Furniture &amp; Machinery</w:t>
            </w:r>
          </w:p>
        </w:tc>
        <w:tc>
          <w:tcPr>
            <w:tcW w:type="dxa" w:w="3402"/>
          </w:tcPr>
          <w:p>
            <w:pPr>
              <w:spacing w:after="20" w:before="20" w:line="240" w:lineRule="auto"/>
              <w:jc w:val="left"/>
            </w:pPr>
            <w:r>
              <w:rPr>
                <w:sz w:val="20"/>
              </w:rPr>
              <w:t>10</w:t>
            </w:r>
          </w:p>
        </w:tc>
      </w:tr>
      <w:tr>
        <w:trPr>
          <w:cantSplit w:val="true"/>
        </w:trPr>
        <w:tc>
          <w:tcPr>
            <w:tcW w:type="dxa" w:w="3402"/>
            <w:shd w:val="clear" w:color="auto" w:fill="E8EEF5"/>
          </w:tcPr>
          <w:p>
            <w:pPr>
              <w:spacing w:after="20" w:before="20" w:line="240" w:lineRule="auto"/>
              <w:jc w:val="left"/>
            </w:pPr>
            <w:r>
              <w:rPr>
                <w:sz w:val="20"/>
              </w:rPr>
              <w:t>Computers &amp; IT Equipment</w:t>
            </w:r>
          </w:p>
        </w:tc>
        <w:tc>
          <w:tcPr>
            <w:tcW w:type="dxa" w:w="3402"/>
            <w:shd w:val="clear" w:color="auto" w:fill="E8EEF5"/>
          </w:tcPr>
          <w:p>
            <w:pPr>
              <w:spacing w:after="20" w:before="20" w:line="240" w:lineRule="auto"/>
              <w:jc w:val="left"/>
            </w:pPr>
            <w:r>
              <w:rPr>
                <w:sz w:val="20"/>
              </w:rPr>
              <w:t>3</w:t>
            </w:r>
          </w:p>
        </w:tc>
      </w:tr>
      <w:tr>
        <w:trPr>
          <w:cantSplit w:val="true"/>
        </w:trPr>
        <w:tc>
          <w:tcPr>
            <w:tcW w:type="dxa" w:w="3402"/>
          </w:tcPr>
          <w:p>
            <w:pPr>
              <w:spacing w:after="20" w:before="20" w:line="240" w:lineRule="auto"/>
              <w:jc w:val="left"/>
            </w:pPr>
            <w:r>
              <w:rPr>
                <w:sz w:val="20"/>
              </w:rPr>
              <w:t>Tooling</w:t>
            </w:r>
          </w:p>
        </w:tc>
        <w:tc>
          <w:tcPr>
            <w:tcW w:type="dxa" w:w="3402"/>
          </w:tcPr>
          <w:p>
            <w:pPr>
              <w:spacing w:after="20" w:before="20" w:line="240" w:lineRule="auto"/>
              <w:jc w:val="left"/>
            </w:pPr>
            <w:r>
              <w:rPr>
                <w:sz w:val="20"/>
              </w:rPr>
              <w:t>3–5</w:t>
            </w:r>
          </w:p>
        </w:tc>
      </w:tr>
    </w:tbl>
    <w:p>
      <w:pPr>
        <w:spacing w:after="80" w:line="240" w:lineRule="auto"/>
      </w:pPr>
    </w:p>
    <w:p>
      <w:pPr>
        <w:numPr>
          <w:ilvl w:val="0"/>
          <w:numId w:val="90"/>
        </w:numPr>
        <w:spacing w:after="60"/>
      </w:pPr>
      <w:r>
        <w:rPr/>
        <w:t>Factors Considered in Reviewing Useful Life</w:t>
      </w:r>
    </w:p>
    <w:p>
      <w:pPr>
        <w:numPr>
          <w:ilvl w:val="1"/>
          <w:numId w:val="90"/>
        </w:numPr>
        <w:spacing w:after="60"/>
      </w:pPr>
      <w:r>
        <w:rPr/>
        <w:t>Expected Usage – estimated production capacity or operating workload.</w:t>
      </w:r>
    </w:p>
    <w:p>
      <w:pPr>
        <w:numPr>
          <w:ilvl w:val="1"/>
          <w:numId w:val="90"/>
        </w:numPr>
        <w:spacing w:after="60"/>
      </w:pPr>
      <w:r>
        <w:rPr/>
        <w:t>Wear and Tear – operational intensity and maintenance history.</w:t>
      </w:r>
    </w:p>
    <w:p>
      <w:pPr>
        <w:numPr>
          <w:ilvl w:val="1"/>
          <w:numId w:val="90"/>
        </w:numPr>
        <w:spacing w:after="60"/>
      </w:pPr>
      <w:r>
        <w:rPr/>
        <w:t>Technical/Commercial Obsolescence – due to advancements in technology, product design, or industry practices.</w:t>
      </w:r>
    </w:p>
    <w:p>
      <w:pPr>
        <w:numPr>
          <w:ilvl w:val="1"/>
          <w:numId w:val="90"/>
        </w:numPr>
        <w:spacing w:after="60"/>
      </w:pPr>
      <w:r>
        <w:rPr/>
        <w:t>Legal or Contractual Limits – restrictions on usage from licenses, contracts, or legislation.</w:t>
      </w:r>
    </w:p>
    <w:p>
      <w:pPr>
        <w:numPr>
          <w:ilvl w:val="0"/>
          <w:numId w:val="90"/>
        </w:numPr>
        <w:spacing w:after="60"/>
      </w:pPr>
      <w:r>
        <w:rPr/>
        <w:t>Cessation of Depreciation</w:t>
      </w:r>
    </w:p>
    <w:p>
      <w:pPr>
        <w:numPr>
          <w:ilvl w:val="1"/>
          <w:numId w:val="90"/>
        </w:numPr>
        <w:spacing w:after="60"/>
      </w:pPr>
      <w:r>
        <w:rPr/>
        <w:t>Depreciation stops only when the asset is derecognized (disposed of, sold, or scrapped).</w:t>
      </w:r>
    </w:p>
    <w:p>
      <w:pPr>
        <w:numPr>
          <w:ilvl w:val="1"/>
          <w:numId w:val="90"/>
        </w:numPr>
        <w:spacing w:after="60"/>
      </w:pPr>
      <w:r>
        <w:rPr/>
        <w:t>Depreciation should not be halted merely because an asset is idle, retired, or temporarily out of use, unless it has been fully depreciated.</w:t>
      </w:r>
    </w:p>
    <w:p>
      <w:pPr>
        <w:pStyle w:val="Heading2"/>
      </w:pPr>
      <w:r>
        <w:rPr/>
        <w:t>Asset Accounting</w:t>
      </w:r>
    </w:p>
    <w:p>
      <w:pPr>
        <w:tabs>
          <w:tab w:pos="425" w:val="left"/>
        </w:tabs>
        <w:spacing w:after="60"/>
        <w:ind w:left="425" w:hanging="425"/>
      </w:pPr>
      <w:r>
        <w:rPr>
          <w:b/>
        </w:rPr>
        <w:t>1.</w:t>
      </w:r>
      <w:r>
        <w:rPr/>
        <w:tab/>
        <w:t>Asset Register Maintenance:</w:t>
      </w:r>
    </w:p>
    <w:p>
      <w:pPr>
        <w:numPr>
          <w:ilvl w:val="1"/>
          <w:numId w:val="90"/>
        </w:numPr>
        <w:spacing w:after="60"/>
      </w:pPr>
      <w:r>
        <w:rPr/>
        <w:t>Each department shall maintain a detailed asset register that includes:</w:t>
      </w:r>
    </w:p>
    <w:p>
      <w:pPr>
        <w:numPr>
          <w:ilvl w:val="2"/>
          <w:numId w:val="90"/>
        </w:numPr>
        <w:spacing w:after="60"/>
      </w:pPr>
      <w:r>
        <w:rPr>
          <w:b/>
        </w:rPr>
        <w:t>Asset Number:</w:t>
      </w:r>
      <w:r>
        <w:rPr/>
        <w:t xml:space="preserve"> A unique identifier for each asset.</w:t>
      </w:r>
    </w:p>
    <w:p>
      <w:pPr>
        <w:numPr>
          <w:ilvl w:val="2"/>
          <w:numId w:val="90"/>
        </w:numPr>
        <w:spacing w:after="60"/>
      </w:pPr>
      <w:r>
        <w:rPr>
          <w:b/>
        </w:rPr>
        <w:t>Asset Description:</w:t>
      </w:r>
      <w:r>
        <w:rPr/>
        <w:t xml:space="preserve"> A brief description of the asset (e.g., machinery, equipment, furniture).</w:t>
      </w:r>
    </w:p>
    <w:p>
      <w:pPr>
        <w:numPr>
          <w:ilvl w:val="2"/>
          <w:numId w:val="90"/>
        </w:numPr>
        <w:spacing w:after="60"/>
      </w:pPr>
      <w:r>
        <w:rPr>
          <w:b/>
        </w:rPr>
        <w:t>Date of Purchase:</w:t>
      </w:r>
      <w:r>
        <w:rPr/>
        <w:t xml:space="preserve"> The date the asset was acquired by the institution.</w:t>
      </w:r>
    </w:p>
    <w:p>
      <w:pPr>
        <w:numPr>
          <w:ilvl w:val="2"/>
          <w:numId w:val="90"/>
        </w:numPr>
        <w:spacing w:after="60"/>
      </w:pPr>
      <w:r>
        <w:rPr>
          <w:b/>
        </w:rPr>
        <w:t>Date of Transfer:</w:t>
      </w:r>
      <w:r>
        <w:rPr/>
        <w:t xml:space="preserve"> In case of asset movement between departments, the date of transfer must also be recorded.</w:t>
      </w:r>
    </w:p>
    <w:p>
      <w:pPr>
        <w:tabs>
          <w:tab w:pos="425" w:val="left"/>
        </w:tabs>
        <w:spacing w:after="60"/>
        <w:ind w:left="425" w:hanging="425"/>
      </w:pPr>
      <w:r>
        <w:rPr>
          <w:b/>
        </w:rPr>
        <w:t>2.</w:t>
      </w:r>
      <w:r>
        <w:rPr/>
        <w:tab/>
        <w:t>Submission of Asset Register:</w:t>
      </w:r>
    </w:p>
    <w:p>
      <w:pPr>
        <w:numPr>
          <w:ilvl w:val="1"/>
          <w:numId w:val="90"/>
        </w:numPr>
        <w:spacing w:after="60"/>
      </w:pPr>
      <w:r>
        <w:rPr/>
        <w:t>The Head of Department (HoD) is responsible for updating the asset register with any new acquisitions, transfers, or disposals.</w:t>
      </w:r>
    </w:p>
    <w:p>
      <w:pPr>
        <w:numPr>
          <w:ilvl w:val="1"/>
          <w:numId w:val="90"/>
        </w:numPr>
        <w:spacing w:after="60"/>
      </w:pPr>
      <w:r>
        <w:rPr/>
        <w:t>The HoD shall submit the updated asset register to the Finance Officer once every semester. This ensures that all assets are accounted for and up-to-date.</w:t>
      </w:r>
    </w:p>
    <w:p>
      <w:pPr>
        <w:tabs>
          <w:tab w:pos="425" w:val="left"/>
        </w:tabs>
        <w:spacing w:after="60"/>
        <w:ind w:left="425" w:hanging="425"/>
      </w:pPr>
      <w:r>
        <w:rPr>
          <w:b/>
        </w:rPr>
        <w:t>3.</w:t>
      </w:r>
      <w:r>
        <w:rPr/>
        <w:tab/>
        <w:t>Depreciation Entries:</w:t>
      </w:r>
    </w:p>
    <w:p>
      <w:pPr>
        <w:numPr>
          <w:ilvl w:val="1"/>
          <w:numId w:val="90"/>
        </w:numPr>
        <w:spacing w:after="60"/>
      </w:pPr>
      <w:r>
        <w:rPr/>
        <w:t>The Finance Officer will use the submitted asset register to make depreciation entries into the institution’s financial accounts.</w:t>
      </w:r>
    </w:p>
    <w:p>
      <w:pPr>
        <w:numPr>
          <w:ilvl w:val="1"/>
          <w:numId w:val="90"/>
        </w:numPr>
        <w:spacing w:after="60"/>
      </w:pPr>
      <w:r>
        <w:rPr/>
        <w:t>Depreciation is calculated based on the age and type of the asset, and entries will be made in accordance with the Institution’s Accounting Policies for asset depreciation.</w:t>
      </w:r>
    </w:p>
    <w:p>
      <w:pPr>
        <w:tabs>
          <w:tab w:pos="425" w:val="left"/>
        </w:tabs>
        <w:spacing w:after="60"/>
        <w:ind w:left="425" w:hanging="425"/>
      </w:pPr>
      <w:r>
        <w:rPr>
          <w:b/>
        </w:rPr>
        <w:t>4.</w:t>
      </w:r>
      <w:r>
        <w:rPr/>
        <w:tab/>
        <w:t>Physical Asset Tracking:</w:t>
      </w:r>
    </w:p>
    <w:p>
      <w:pPr>
        <w:numPr>
          <w:ilvl w:val="1"/>
          <w:numId w:val="90"/>
        </w:numPr>
        <w:spacing w:after="60"/>
      </w:pPr>
      <w:r>
        <w:rPr/>
        <w:t>The Finance Officer is responsible for tracking the physical assets across the institution. This includes ensuring that all assets are properly labeled, tracked, and maintained.</w:t>
      </w:r>
    </w:p>
    <w:p>
      <w:pPr>
        <w:numPr>
          <w:ilvl w:val="1"/>
          <w:numId w:val="90"/>
        </w:numPr>
        <w:spacing w:after="60"/>
      </w:pPr>
      <w:r>
        <w:rPr/>
        <w:t>Periodic physical verification of assets will be conducted to ensure that the information in the asset register matches the actual physical assets on hand.</w:t>
      </w:r>
    </w:p>
    <w:p>
      <w:pPr>
        <w:numPr>
          <w:ilvl w:val="1"/>
          <w:numId w:val="90"/>
        </w:numPr>
        <w:spacing w:after="60"/>
      </w:pPr>
      <w:r>
        <w:rPr/>
        <w:t>Any discrepancies or issues in the asset tracking must be reported to the principal and resolved promptly.</w:t>
      </w:r>
    </w:p>
    <w:p>
      <w:pPr>
        <w:tabs>
          <w:tab w:pos="425" w:val="left"/>
        </w:tabs>
        <w:spacing w:after="60"/>
        <w:ind w:left="425" w:hanging="425"/>
      </w:pPr>
      <w:r>
        <w:rPr>
          <w:b/>
        </w:rPr>
        <w:t>5.</w:t>
      </w:r>
      <w:r>
        <w:rPr/>
        <w:tab/>
        <w:t>Asset Transfer and Disposal:</w:t>
      </w:r>
    </w:p>
    <w:p>
      <w:pPr>
        <w:numPr>
          <w:ilvl w:val="1"/>
          <w:numId w:val="90"/>
        </w:numPr>
        <w:spacing w:after="60"/>
      </w:pPr>
      <w:r>
        <w:rPr/>
        <w:t>Any transfer of assets between departments or disposal of old/obsolete assets must be recorded in the asset register. This will be done by the HoD in consultation with the Finance Officer.</w:t>
      </w:r>
    </w:p>
    <w:p>
      <w:pPr>
        <w:numPr>
          <w:ilvl w:val="1"/>
          <w:numId w:val="90"/>
        </w:numPr>
        <w:spacing w:after="60"/>
      </w:pPr>
      <w:r>
        <w:rPr/>
        <w:t>The Finance Officer will update the financial accounts accordingly, reflecting the transfer or disposal of assets.</w:t>
      </w:r>
    </w:p>
    <w:p>
      <w:pPr>
        <w:tabs>
          <w:tab w:pos="425" w:val="left"/>
        </w:tabs>
        <w:spacing w:after="60"/>
        <w:ind w:left="425" w:hanging="425"/>
      </w:pPr>
      <w:r>
        <w:rPr>
          <w:b/>
        </w:rPr>
        <w:t>6.</w:t>
      </w:r>
      <w:r>
        <w:rPr/>
        <w:tab/>
        <w:t>Audit and Compliance:</w:t>
      </w:r>
    </w:p>
    <w:p>
      <w:pPr>
        <w:numPr>
          <w:ilvl w:val="1"/>
          <w:numId w:val="90"/>
        </w:numPr>
        <w:spacing w:after="60"/>
      </w:pPr>
      <w:r>
        <w:rPr/>
        <w:t>The Finance Officer will ensure that asset records are accurate and compliant with financial regulations and auditing standards.</w:t>
      </w:r>
    </w:p>
    <w:p>
      <w:pPr>
        <w:numPr>
          <w:ilvl w:val="1"/>
          <w:numId w:val="90"/>
        </w:numPr>
        <w:spacing w:after="60"/>
      </w:pPr>
      <w:r>
        <w:rPr/>
        <w:t>An annual audit will be conducted to verify the existence and condition of physical assets, and the findings will be reported to the Governing Body.</w:t>
      </w:r>
    </w:p>
    <w:p>
      <w:pPr>
        <w:pStyle w:val="Heading2"/>
      </w:pPr>
      <w:r>
        <w:rPr/>
        <w:t>Insurance of the Assets</w:t>
      </w:r>
    </w:p>
    <w:p>
      <w:pPr>
        <w:numPr>
          <w:ilvl w:val="0"/>
          <w:numId w:val="90"/>
        </w:numPr>
        <w:spacing w:after="60"/>
      </w:pPr>
      <w:r>
        <w:rPr/>
        <w:t>Purpose of Asset Insurance</w:t>
      </w:r>
    </w:p>
    <w:p>
      <w:pPr>
        <w:numPr>
          <w:ilvl w:val="1"/>
          <w:numId w:val="90"/>
        </w:numPr>
        <w:spacing w:after="60"/>
      </w:pPr>
      <w:r>
        <w:rPr/>
        <w:t>Asset insurance safeguards the institution from financial losses arising from unforeseen events, ensuring business continuity and institutional stability.</w:t>
      </w:r>
    </w:p>
    <w:p>
      <w:pPr>
        <w:numPr>
          <w:ilvl w:val="1"/>
          <w:numId w:val="90"/>
        </w:numPr>
        <w:spacing w:after="60"/>
      </w:pPr>
      <w:r>
        <w:rPr/>
        <w:t>Since HEIs invest substantial capital in buildings, equipment, vehicles, IT infrastructure, and other assets, insurance acts as a risk management tool to protect this investment.</w:t>
      </w:r>
    </w:p>
    <w:p>
      <w:pPr>
        <w:numPr>
          <w:ilvl w:val="0"/>
          <w:numId w:val="90"/>
        </w:numPr>
        <w:spacing w:after="60"/>
      </w:pPr>
      <w:r>
        <w:rPr/>
        <w:t>Scope of Coverage</w:t>
      </w:r>
    </w:p>
    <w:p>
      <w:r>
        <w:rPr/>
        <w:t>Asset insurance should provide protection against:</w:t>
      </w:r>
    </w:p>
    <w:p>
      <w:pPr>
        <w:numPr>
          <w:ilvl w:val="1"/>
          <w:numId w:val="90"/>
        </w:numPr>
        <w:spacing w:after="60"/>
      </w:pPr>
      <w:r>
        <w:rPr/>
        <w:t>Physical Damage / Breakdown</w:t>
      </w:r>
    </w:p>
    <w:p>
      <w:pPr>
        <w:numPr>
          <w:ilvl w:val="2"/>
          <w:numId w:val="90"/>
        </w:numPr>
        <w:spacing w:after="60"/>
      </w:pPr>
      <w:r>
        <w:rPr/>
        <w:t>Coverage for breakdown, accidental damage, fire, theft, or vandalism affecting assets.</w:t>
      </w:r>
    </w:p>
    <w:p>
      <w:pPr>
        <w:numPr>
          <w:ilvl w:val="1"/>
          <w:numId w:val="90"/>
        </w:numPr>
        <w:spacing w:after="60"/>
      </w:pPr>
      <w:r>
        <w:rPr/>
        <w:t>Natural Calamities</w:t>
      </w:r>
    </w:p>
    <w:p>
      <w:pPr>
        <w:numPr>
          <w:ilvl w:val="2"/>
          <w:numId w:val="90"/>
        </w:numPr>
        <w:spacing w:after="60"/>
      </w:pPr>
      <w:r>
        <w:rPr/>
        <w:t>Loss or damage due to natural disasters such as floods, lightning, storms, earthquakes, or explosions.</w:t>
      </w:r>
    </w:p>
    <w:p>
      <w:pPr>
        <w:numPr>
          <w:ilvl w:val="1"/>
          <w:numId w:val="90"/>
        </w:numPr>
        <w:spacing w:after="60"/>
      </w:pPr>
      <w:r>
        <w:rPr/>
        <w:t>Loss of Income / Business Interruption</w:t>
      </w:r>
    </w:p>
    <w:p>
      <w:pPr>
        <w:numPr>
          <w:ilvl w:val="2"/>
          <w:numId w:val="90"/>
        </w:numPr>
        <w:spacing w:after="60"/>
      </w:pPr>
      <w:r>
        <w:rPr/>
        <w:t>Compensation for financial losses caused by partial or complete shutdown of institutional operations due to insured events.</w:t>
      </w:r>
    </w:p>
    <w:p>
      <w:pPr>
        <w:numPr>
          <w:ilvl w:val="1"/>
          <w:numId w:val="90"/>
        </w:numPr>
        <w:spacing w:after="60"/>
      </w:pPr>
      <w:r>
        <w:rPr/>
        <w:t>Third-Party Liability</w:t>
      </w:r>
    </w:p>
    <w:p>
      <w:pPr>
        <w:numPr>
          <w:ilvl w:val="2"/>
          <w:numId w:val="90"/>
        </w:numPr>
        <w:spacing w:after="60"/>
      </w:pPr>
      <w:r>
        <w:rPr/>
        <w:t>Protection against legal claims, lawsuits, or compensation claims arising from accidents or asset-related failures.</w:t>
      </w:r>
    </w:p>
    <w:p>
      <w:pPr>
        <w:numPr>
          <w:ilvl w:val="0"/>
          <w:numId w:val="90"/>
        </w:numPr>
        <w:spacing w:after="60"/>
      </w:pPr>
      <w:r>
        <w:rPr/>
        <w:t>Assets to be Insured</w:t>
      </w:r>
    </w:p>
    <w:p>
      <w:pPr>
        <w:numPr>
          <w:ilvl w:val="1"/>
          <w:numId w:val="90"/>
        </w:numPr>
        <w:spacing w:after="60"/>
      </w:pPr>
      <w:r>
        <w:rPr/>
        <w:t>The HEI must ensure comprehensive insurance coverage for:</w:t>
      </w:r>
    </w:p>
    <w:p>
      <w:pPr>
        <w:numPr>
          <w:ilvl w:val="2"/>
          <w:numId w:val="90"/>
        </w:numPr>
        <w:spacing w:after="60"/>
      </w:pPr>
      <w:r>
        <w:rPr/>
        <w:t>Buildings &amp; Infrastructure (classrooms, labs, libraries, hostels, administrative offices).</w:t>
      </w:r>
    </w:p>
    <w:p>
      <w:pPr>
        <w:numPr>
          <w:ilvl w:val="2"/>
          <w:numId w:val="90"/>
        </w:numPr>
        <w:spacing w:after="60"/>
      </w:pPr>
      <w:r>
        <w:rPr/>
        <w:t>Machinery &amp; Equipment (lab apparatus, research instruments, industrial equipment).</w:t>
      </w:r>
    </w:p>
    <w:p>
      <w:pPr>
        <w:numPr>
          <w:ilvl w:val="2"/>
          <w:numId w:val="90"/>
        </w:numPr>
        <w:spacing w:after="60"/>
      </w:pPr>
      <w:r>
        <w:rPr/>
        <w:t>IT Equipment (computers, servers, networking devices, data centers).</w:t>
      </w:r>
    </w:p>
    <w:p>
      <w:pPr>
        <w:numPr>
          <w:ilvl w:val="2"/>
          <w:numId w:val="90"/>
        </w:numPr>
        <w:spacing w:after="60"/>
      </w:pPr>
      <w:r>
        <w:rPr/>
        <w:t>Furniture &amp; Fittings (office and classroom furnishings).</w:t>
      </w:r>
    </w:p>
    <w:p>
      <w:pPr>
        <w:numPr>
          <w:ilvl w:val="2"/>
          <w:numId w:val="90"/>
        </w:numPr>
        <w:spacing w:after="60"/>
      </w:pPr>
      <w:r>
        <w:rPr/>
        <w:t>Vehicles (buses, vans, official cars, and other institutional transport).</w:t>
      </w:r>
    </w:p>
    <w:p>
      <w:pPr>
        <w:numPr>
          <w:ilvl w:val="0"/>
          <w:numId w:val="90"/>
        </w:numPr>
        <w:spacing w:after="60"/>
      </w:pPr>
      <w:r>
        <w:rPr/>
        <w:t>Policy Administration</w:t>
      </w:r>
    </w:p>
    <w:p>
      <w:pPr>
        <w:numPr>
          <w:ilvl w:val="1"/>
          <w:numId w:val="90"/>
        </w:numPr>
        <w:spacing w:after="60"/>
      </w:pPr>
      <w:r>
        <w:rPr/>
        <w:t>The Finance Department, in consultation with the Registrar and Head of Administration, shall:</w:t>
      </w:r>
    </w:p>
    <w:p>
      <w:pPr>
        <w:numPr>
          <w:ilvl w:val="2"/>
          <w:numId w:val="90"/>
        </w:numPr>
        <w:spacing w:after="60"/>
      </w:pPr>
      <w:r>
        <w:rPr/>
        <w:t>Review asset values annually for adequate coverage.</w:t>
      </w:r>
    </w:p>
    <w:p>
      <w:pPr>
        <w:numPr>
          <w:ilvl w:val="2"/>
          <w:numId w:val="90"/>
        </w:numPr>
        <w:spacing w:after="60"/>
      </w:pPr>
      <w:r>
        <w:rPr/>
        <w:t>Ensure timely renewal of policies without any lapse.</w:t>
      </w:r>
    </w:p>
    <w:p>
      <w:pPr>
        <w:numPr>
          <w:ilvl w:val="2"/>
          <w:numId w:val="90"/>
        </w:numPr>
        <w:spacing w:after="60"/>
      </w:pPr>
      <w:r>
        <w:rPr/>
        <w:t>Maintain an Insurance Register recording details of all insured assets, policy numbers, coverage amounts, and renewal dates.</w:t>
      </w:r>
    </w:p>
    <w:p>
      <w:pPr>
        <w:numPr>
          <w:ilvl w:val="1"/>
          <w:numId w:val="90"/>
        </w:numPr>
        <w:spacing w:after="60"/>
      </w:pPr>
      <w:r>
        <w:rPr/>
        <w:t>Insurance claims must be processed promptly, with proper documentation of the incident, damage assessment, and claim submission to the insurer.</w:t>
      </w:r>
    </w:p>
    <w:p>
      <w:pPr>
        <w:numPr>
          <w:ilvl w:val="0"/>
          <w:numId w:val="90"/>
        </w:numPr>
        <w:spacing w:after="60"/>
      </w:pPr>
      <w:r>
        <w:rPr/>
        <w:t>Compliance &amp; Audit</w:t>
      </w:r>
    </w:p>
    <w:p>
      <w:pPr>
        <w:numPr>
          <w:ilvl w:val="1"/>
          <w:numId w:val="90"/>
        </w:numPr>
        <w:spacing w:after="60"/>
      </w:pPr>
      <w:r>
        <w:rPr/>
        <w:t>The insurance coverage must align with institutional risk management policies and any specific requirements from government or funding agencies.</w:t>
      </w:r>
    </w:p>
    <w:p>
      <w:pPr>
        <w:numPr>
          <w:ilvl w:val="1"/>
          <w:numId w:val="90"/>
        </w:numPr>
        <w:spacing w:after="60"/>
      </w:pPr>
      <w:r>
        <w:rPr/>
        <w:t>Annual internal and statutory audits must review the adequacy of insurance and ensure all high-value assets are covered.</w:t>
      </w:r>
    </w:p>
    <w:p>
      <w:pPr>
        <w:pStyle w:val="Heading2"/>
      </w:pPr>
      <w:r>
        <w:rPr/>
        <w:t>Physical Verification of Assets</w:t>
      </w:r>
    </w:p>
    <w:p>
      <w:pPr>
        <w:numPr>
          <w:ilvl w:val="0"/>
          <w:numId w:val="90"/>
        </w:numPr>
        <w:spacing w:after="60"/>
      </w:pPr>
      <w:r>
        <w:rPr/>
        <w:t>Frequency of Verification</w:t>
      </w:r>
    </w:p>
    <w:p>
      <w:pPr>
        <w:numPr>
          <w:ilvl w:val="1"/>
          <w:numId w:val="90"/>
        </w:numPr>
        <w:spacing w:after="60"/>
      </w:pPr>
      <w:r>
        <w:rPr/>
        <w:t>A comprehensive physical verification of all assets must be conducted annually across the HEI.</w:t>
      </w:r>
    </w:p>
    <w:p>
      <w:pPr>
        <w:numPr>
          <w:ilvl w:val="1"/>
          <w:numId w:val="90"/>
        </w:numPr>
        <w:spacing w:after="60"/>
      </w:pPr>
      <w:r>
        <w:rPr/>
        <w:t>Certain categories of assets require more frequent verification due to their higher risk of movement, loss, or misuse:</w:t>
      </w:r>
    </w:p>
    <w:p>
      <w:pPr>
        <w:numPr>
          <w:ilvl w:val="2"/>
          <w:numId w:val="90"/>
        </w:numPr>
        <w:spacing w:after="60"/>
      </w:pPr>
      <w:r>
        <w:rPr/>
        <w:t>Portable equipment (e.g., laptops, projectors, tablets, lab tools).</w:t>
      </w:r>
    </w:p>
    <w:p>
      <w:pPr>
        <w:numPr>
          <w:ilvl w:val="2"/>
          <w:numId w:val="90"/>
        </w:numPr>
        <w:spacing w:after="60"/>
      </w:pPr>
      <w:r>
        <w:rPr/>
        <w:t>High-value movable items (e.g., vehicles, specialized research instruments).</w:t>
      </w:r>
    </w:p>
    <w:p>
      <w:pPr>
        <w:numPr>
          <w:ilvl w:val="1"/>
          <w:numId w:val="90"/>
        </w:numPr>
        <w:spacing w:after="60"/>
      </w:pPr>
      <w:r>
        <w:rPr/>
        <w:t>Large, immovable, or long-life capital assets (e.g., buildings, land) may be verified annually or bi-annually.</w:t>
      </w:r>
    </w:p>
    <w:p>
      <w:pPr>
        <w:numPr>
          <w:ilvl w:val="0"/>
          <w:numId w:val="90"/>
        </w:numPr>
        <w:spacing w:after="60"/>
      </w:pPr>
      <w:r>
        <w:rPr/>
        <w:t>Asset Tagging for Identification</w:t>
      </w:r>
    </w:p>
    <w:p>
      <w:pPr>
        <w:numPr>
          <w:ilvl w:val="1"/>
          <w:numId w:val="90"/>
        </w:numPr>
        <w:spacing w:after="60"/>
      </w:pPr>
      <w:r>
        <w:rPr/>
        <w:t>All Property, Plant, and Equipment (PPE) must be clearly tagged with asset numbers/barcodes/RFID for easy identification.</w:t>
      </w:r>
    </w:p>
    <w:p>
      <w:pPr>
        <w:numPr>
          <w:ilvl w:val="1"/>
          <w:numId w:val="90"/>
        </w:numPr>
        <w:spacing w:after="60"/>
      </w:pPr>
      <w:r>
        <w:rPr/>
        <w:t>Tags should correspond to the details in the Fixed Asset Register (FAR), enabling quick cross-referencing during audits.</w:t>
      </w:r>
    </w:p>
    <w:p>
      <w:pPr>
        <w:numPr>
          <w:ilvl w:val="0"/>
          <w:numId w:val="90"/>
        </w:numPr>
        <w:spacing w:after="60"/>
      </w:pPr>
      <w:r>
        <w:rPr/>
        <w:t>Independence in Verification Process</w:t>
      </w:r>
    </w:p>
    <w:p>
      <w:pPr>
        <w:numPr>
          <w:ilvl w:val="1"/>
          <w:numId w:val="90"/>
        </w:numPr>
        <w:spacing w:after="60"/>
      </w:pPr>
      <w:r>
        <w:rPr/>
        <w:t>The verification process must involve a separation of duties:</w:t>
      </w:r>
    </w:p>
    <w:p>
      <w:pPr>
        <w:numPr>
          <w:ilvl w:val="2"/>
          <w:numId w:val="90"/>
        </w:numPr>
        <w:spacing w:after="60"/>
      </w:pPr>
      <w:r>
        <w:rPr>
          <w:b/>
        </w:rPr>
        <w:t>Asset Selection:</w:t>
      </w:r>
      <w:r>
        <w:rPr/>
        <w:t xml:space="preserve"> The list of assets to be verified should be chosen in advance from the FAR.</w:t>
      </w:r>
    </w:p>
    <w:p>
      <w:pPr>
        <w:numPr>
          <w:ilvl w:val="2"/>
          <w:numId w:val="90"/>
        </w:numPr>
        <w:spacing w:after="60"/>
      </w:pPr>
      <w:r>
        <w:rPr>
          <w:b/>
        </w:rPr>
        <w:t>Verification:</w:t>
      </w:r>
      <w:r>
        <w:rPr/>
        <w:t xml:space="preserve"> The individual verifying assets must be different from the selector and not directly responsible for their safekeeping.</w:t>
      </w:r>
    </w:p>
    <w:p>
      <w:pPr>
        <w:numPr>
          <w:ilvl w:val="2"/>
          <w:numId w:val="90"/>
        </w:numPr>
        <w:spacing w:after="60"/>
      </w:pPr>
      <w:r>
        <w:rPr>
          <w:b/>
        </w:rPr>
        <w:t>Example:</w:t>
      </w:r>
      <w:r>
        <w:rPr/>
        <w:t xml:space="preserve"> A Factory Manager should not verify factory machinery; instead, verification should be done by an independent officer or audit team.</w:t>
      </w:r>
    </w:p>
    <w:p>
      <w:pPr>
        <w:numPr>
          <w:ilvl w:val="0"/>
          <w:numId w:val="90"/>
        </w:numPr>
        <w:spacing w:after="60"/>
      </w:pPr>
      <w:r>
        <w:rPr/>
        <w:t>Verification Methodology</w:t>
      </w:r>
    </w:p>
    <w:p>
      <w:pPr>
        <w:numPr>
          <w:ilvl w:val="1"/>
          <w:numId w:val="90"/>
        </w:numPr>
        <w:spacing w:after="60"/>
      </w:pPr>
      <w:r>
        <w:rPr/>
        <w:t>The process should include two key checks:</w:t>
      </w:r>
    </w:p>
    <w:p>
      <w:pPr>
        <w:numPr>
          <w:ilvl w:val="2"/>
          <w:numId w:val="90"/>
        </w:numPr>
        <w:spacing w:after="60"/>
      </w:pPr>
      <w:r>
        <w:rPr>
          <w:b/>
        </w:rPr>
        <w:t>Existence Check:</w:t>
      </w:r>
      <w:r>
        <w:rPr/>
        <w:t xml:space="preserve"> Confirming that items recorded in the FAR physically exist.</w:t>
      </w:r>
    </w:p>
    <w:p>
      <w:pPr>
        <w:numPr>
          <w:ilvl w:val="2"/>
          <w:numId w:val="90"/>
        </w:numPr>
        <w:spacing w:after="60"/>
      </w:pPr>
      <w:r>
        <w:rPr>
          <w:b/>
        </w:rPr>
        <w:t>Completeness Check:</w:t>
      </w:r>
      <w:r>
        <w:rPr/>
        <w:t xml:space="preserve"> Ensuring that physical items observed on the floor are also recorded in the FAR.</w:t>
      </w:r>
    </w:p>
    <w:p>
      <w:pPr>
        <w:numPr>
          <w:ilvl w:val="0"/>
          <w:numId w:val="90"/>
        </w:numPr>
        <w:spacing w:after="60"/>
      </w:pPr>
      <w:r>
        <w:rPr/>
        <w:t>Recordkeeping of Verification</w:t>
      </w:r>
    </w:p>
    <w:p>
      <w:pPr>
        <w:numPr>
          <w:ilvl w:val="1"/>
          <w:numId w:val="90"/>
        </w:numPr>
        <w:spacing w:after="60"/>
      </w:pPr>
      <w:r>
        <w:rPr/>
        <w:t>A verification record must be maintained for audit and compliance, capturing:</w:t>
      </w:r>
    </w:p>
    <w:p>
      <w:pPr>
        <w:numPr>
          <w:ilvl w:val="2"/>
          <w:numId w:val="90"/>
        </w:numPr>
        <w:spacing w:after="60"/>
      </w:pPr>
      <w:r>
        <w:rPr/>
        <w:t>Asset ID and description.</w:t>
      </w:r>
    </w:p>
    <w:p>
      <w:pPr>
        <w:numPr>
          <w:ilvl w:val="2"/>
          <w:numId w:val="90"/>
        </w:numPr>
        <w:spacing w:after="60"/>
      </w:pPr>
      <w:r>
        <w:rPr/>
        <w:t>Location of asset.</w:t>
      </w:r>
    </w:p>
    <w:p>
      <w:pPr>
        <w:numPr>
          <w:ilvl w:val="2"/>
          <w:numId w:val="90"/>
        </w:numPr>
        <w:spacing w:after="60"/>
      </w:pPr>
      <w:r>
        <w:rPr/>
        <w:t>Person who selected the assets for verification.</w:t>
      </w:r>
    </w:p>
    <w:p>
      <w:pPr>
        <w:numPr>
          <w:ilvl w:val="2"/>
          <w:numId w:val="90"/>
        </w:numPr>
        <w:spacing w:after="60"/>
      </w:pPr>
      <w:r>
        <w:rPr/>
        <w:t>Person who carried out the verification.</w:t>
      </w:r>
    </w:p>
    <w:p>
      <w:pPr>
        <w:numPr>
          <w:ilvl w:val="2"/>
          <w:numId w:val="90"/>
        </w:numPr>
        <w:spacing w:after="60"/>
      </w:pPr>
      <w:r>
        <w:rPr/>
        <w:t>Date of verification.</w:t>
      </w:r>
    </w:p>
    <w:p>
      <w:pPr>
        <w:numPr>
          <w:ilvl w:val="2"/>
          <w:numId w:val="90"/>
        </w:numPr>
        <w:spacing w:after="60"/>
      </w:pPr>
      <w:r>
        <w:rPr/>
        <w:t>Any discrepancies noted (missing assets, unrecorded assets, damaged/obsolete items).</w:t>
      </w:r>
    </w:p>
    <w:p>
      <w:pPr>
        <w:numPr>
          <w:ilvl w:val="0"/>
          <w:numId w:val="90"/>
        </w:numPr>
        <w:spacing w:after="60"/>
      </w:pPr>
      <w:r>
        <w:rPr/>
        <w:t>Action on Discrepancies</w:t>
      </w:r>
    </w:p>
    <w:p>
      <w:pPr>
        <w:numPr>
          <w:ilvl w:val="1"/>
          <w:numId w:val="90"/>
        </w:numPr>
        <w:spacing w:after="60"/>
      </w:pPr>
      <w:r>
        <w:rPr/>
        <w:t>Discrepancies must be reported to the Registrar/Finance Officer for investigation.</w:t>
      </w:r>
    </w:p>
    <w:p>
      <w:pPr>
        <w:numPr>
          <w:ilvl w:val="1"/>
          <w:numId w:val="90"/>
        </w:numPr>
        <w:spacing w:after="60"/>
      </w:pPr>
      <w:r>
        <w:rPr/>
        <w:t>Corrective actions may include:</w:t>
      </w:r>
    </w:p>
    <w:p>
      <w:pPr>
        <w:numPr>
          <w:ilvl w:val="2"/>
          <w:numId w:val="90"/>
        </w:numPr>
        <w:spacing w:after="60"/>
      </w:pPr>
      <w:r>
        <w:rPr/>
        <w:t>Updating the FAR.</w:t>
      </w:r>
    </w:p>
    <w:p>
      <w:pPr>
        <w:numPr>
          <w:ilvl w:val="2"/>
          <w:numId w:val="90"/>
        </w:numPr>
        <w:spacing w:after="60"/>
      </w:pPr>
      <w:r>
        <w:rPr/>
        <w:t>Adjusting accounting records (e.g., impairment, disposal).</w:t>
      </w:r>
    </w:p>
    <w:p>
      <w:pPr>
        <w:numPr>
          <w:ilvl w:val="2"/>
          <w:numId w:val="90"/>
        </w:numPr>
        <w:spacing w:after="60"/>
      </w:pPr>
      <w:r>
        <w:rPr/>
        <w:t>Disciplinary action if negligence or misuse is identified.</w:t>
      </w:r>
    </w:p>
    <w:p>
      <w:pPr>
        <w:spacing w:after="0"/>
      </w:pPr>
      <w:r>
        <w:br w:type="page"/>
      </w:r>
    </w:p>
    <w:p>
      <w:pPr>
        <w:pStyle w:val="Heading1"/>
        <w:spacing w:before="0"/>
      </w:pPr>
      <w:r>
        <w:rPr/>
        <w:t>15. Internet Accounting Policy</w:t>
      </w:r>
    </w:p>
    <w:p>
      <w:pPr>
        <w:tabs>
          <w:tab w:pos="425" w:val="left"/>
        </w:tabs>
        <w:spacing w:after="60"/>
        <w:ind w:left="425" w:hanging="425"/>
      </w:pPr>
      <w:r>
        <w:rPr>
          <w:b/>
        </w:rPr>
        <w:t>1.</w:t>
      </w:r>
      <w:r>
        <w:rPr/>
        <w:tab/>
      </w:r>
      <w:r>
        <w:rPr>
          <w:b/>
        </w:rPr>
        <w:t>Management of Internet Facility:</w:t>
      </w:r>
    </w:p>
    <w:p>
      <w:pPr>
        <w:numPr>
          <w:ilvl w:val="1"/>
          <w:numId w:val="90"/>
        </w:numPr>
        <w:spacing w:after="60"/>
      </w:pPr>
      <w:r>
        <w:rPr/>
        <w:t>The System Administrator shall be responsible for managing the institution's internet facility. This includes planning, implementing, and upgrading the internet service infrastructure across the campus.</w:t>
      </w:r>
    </w:p>
    <w:p>
      <w:pPr>
        <w:tabs>
          <w:tab w:pos="425" w:val="left"/>
        </w:tabs>
        <w:spacing w:after="60"/>
        <w:ind w:left="425" w:hanging="425"/>
      </w:pPr>
      <w:r>
        <w:rPr>
          <w:b/>
        </w:rPr>
        <w:t>2.</w:t>
      </w:r>
      <w:r>
        <w:rPr/>
        <w:tab/>
      </w:r>
      <w:r>
        <w:rPr>
          <w:b/>
        </w:rPr>
        <w:t>Submission of Plans:</w:t>
      </w:r>
    </w:p>
    <w:p>
      <w:pPr>
        <w:numPr>
          <w:ilvl w:val="1"/>
          <w:numId w:val="90"/>
        </w:numPr>
        <w:spacing w:after="60"/>
      </w:pPr>
      <w:r>
        <w:rPr/>
        <w:t>The System Administrator shall submit detailed plans for:</w:t>
      </w:r>
    </w:p>
    <w:p>
      <w:pPr>
        <w:numPr>
          <w:ilvl w:val="2"/>
          <w:numId w:val="90"/>
        </w:numPr>
        <w:spacing w:after="60"/>
      </w:pPr>
      <w:r>
        <w:rPr>
          <w:b/>
        </w:rPr>
        <w:t>Providing or Upgrading the Internet Facility:</w:t>
      </w:r>
      <w:r>
        <w:rPr/>
        <w:t xml:space="preserve"> Proposals for the enhancement or expansion of the internet network.</w:t>
      </w:r>
    </w:p>
    <w:p>
      <w:pPr>
        <w:numPr>
          <w:ilvl w:val="2"/>
          <w:numId w:val="90"/>
        </w:numPr>
        <w:spacing w:after="60"/>
      </w:pPr>
      <w:r>
        <w:rPr>
          <w:b/>
        </w:rPr>
        <w:t>Utilizing the Internet Facility:</w:t>
      </w:r>
      <w:r>
        <w:rPr/>
        <w:t xml:space="preserve"> Plans outlining how the internet will be used across departments and by students, faculty, and staff.</w:t>
      </w:r>
    </w:p>
    <w:p>
      <w:pPr>
        <w:numPr>
          <w:ilvl w:val="2"/>
          <w:numId w:val="90"/>
        </w:numPr>
        <w:spacing w:after="60"/>
      </w:pPr>
      <w:r>
        <w:rPr>
          <w:b/>
        </w:rPr>
        <w:t>Service Contracts with Internet Service Providers (ISPs):</w:t>
      </w:r>
      <w:r>
        <w:rPr/>
        <w:t xml:space="preserve"> Recommendations for contracts with ISPs, detailing the terms and conditions for service delivery.</w:t>
      </w:r>
    </w:p>
    <w:p>
      <w:pPr>
        <w:tabs>
          <w:tab w:pos="425" w:val="left"/>
        </w:tabs>
        <w:spacing w:after="60"/>
        <w:ind w:left="425" w:hanging="425"/>
      </w:pPr>
      <w:r>
        <w:rPr>
          <w:b/>
        </w:rPr>
        <w:t>3.</w:t>
      </w:r>
      <w:r>
        <w:rPr/>
        <w:tab/>
      </w:r>
      <w:r>
        <w:rPr>
          <w:b/>
        </w:rPr>
        <w:t>Approval of Plans:</w:t>
      </w:r>
    </w:p>
    <w:p>
      <w:pPr>
        <w:numPr>
          <w:ilvl w:val="1"/>
          <w:numId w:val="90"/>
        </w:numPr>
        <w:spacing w:after="60"/>
      </w:pPr>
      <w:r>
        <w:rPr/>
        <w:t>Once the plans are submitted, they will be reviewed and approved by the relevant authority (e.g., the Principal or Governing Body).</w:t>
      </w:r>
    </w:p>
    <w:p>
      <w:pPr>
        <w:numPr>
          <w:ilvl w:val="1"/>
          <w:numId w:val="90"/>
        </w:numPr>
        <w:spacing w:after="60"/>
      </w:pPr>
      <w:r>
        <w:rPr/>
        <w:t>After approval, the System Administrator will enter into a service contract with the chosen Internet Service Provider, ensuring the delivery of services as per the agreed terms.</w:t>
      </w:r>
    </w:p>
    <w:p>
      <w:pPr>
        <w:tabs>
          <w:tab w:pos="425" w:val="left"/>
        </w:tabs>
        <w:spacing w:after="60"/>
        <w:ind w:left="425" w:hanging="425"/>
      </w:pPr>
      <w:r>
        <w:rPr>
          <w:b/>
        </w:rPr>
        <w:t>4.</w:t>
      </w:r>
      <w:r>
        <w:rPr/>
        <w:tab/>
      </w:r>
      <w:r>
        <w:rPr>
          <w:b/>
        </w:rPr>
        <w:t>Equipment Procurement:</w:t>
      </w:r>
    </w:p>
    <w:p>
      <w:pPr>
        <w:numPr>
          <w:ilvl w:val="1"/>
          <w:numId w:val="90"/>
        </w:numPr>
        <w:spacing w:after="60"/>
      </w:pPr>
      <w:r>
        <w:rPr/>
        <w:t>In case new equipment is required to support the internet facility (e.g., routers, modems, cables, etc.), the System Administrator shall initiate a separate proposal.</w:t>
      </w:r>
    </w:p>
    <w:p>
      <w:pPr>
        <w:numPr>
          <w:ilvl w:val="1"/>
          <w:numId w:val="90"/>
        </w:numPr>
        <w:spacing w:after="60"/>
      </w:pPr>
      <w:r>
        <w:rPr/>
        <w:t>This proposal must be submitted to the Purchase Committee for approval.</w:t>
      </w:r>
    </w:p>
    <w:p>
      <w:pPr>
        <w:numPr>
          <w:ilvl w:val="1"/>
          <w:numId w:val="90"/>
        </w:numPr>
        <w:spacing w:after="60"/>
      </w:pPr>
      <w:r>
        <w:rPr/>
        <w:t>The Purchase Committee will review the proposal and ensure that the procurement aligns with the institution's budget and needs.</w:t>
      </w:r>
    </w:p>
    <w:p>
      <w:pPr>
        <w:tabs>
          <w:tab w:pos="425" w:val="left"/>
        </w:tabs>
        <w:spacing w:after="60"/>
        <w:ind w:left="425" w:hanging="425"/>
      </w:pPr>
      <w:r>
        <w:rPr>
          <w:b/>
        </w:rPr>
        <w:t>5.</w:t>
      </w:r>
      <w:r>
        <w:rPr/>
        <w:tab/>
      </w:r>
      <w:r>
        <w:rPr>
          <w:b/>
        </w:rPr>
        <w:t>Financial Accountability:</w:t>
      </w:r>
    </w:p>
    <w:p>
      <w:pPr>
        <w:numPr>
          <w:ilvl w:val="1"/>
          <w:numId w:val="90"/>
        </w:numPr>
        <w:spacing w:after="60"/>
      </w:pPr>
      <w:r>
        <w:rPr/>
        <w:t>All expenditures related to the internet facility, including service charges, equipment procurement, and upgrades, shall be centrally managed and accounted for by the Finance Officer.</w:t>
      </w:r>
    </w:p>
    <w:p>
      <w:pPr>
        <w:numPr>
          <w:ilvl w:val="1"/>
          <w:numId w:val="90"/>
        </w:numPr>
        <w:spacing w:after="60"/>
      </w:pPr>
      <w:r>
        <w:rPr/>
        <w:t>The Finance Officer will maintain records of all related expenses, ensuring they align with the approved budget and that payments are processed according to institutional financial policies.</w:t>
      </w:r>
    </w:p>
    <w:p>
      <w:pPr>
        <w:tabs>
          <w:tab w:pos="425" w:val="left"/>
        </w:tabs>
        <w:spacing w:after="60"/>
        <w:ind w:left="425" w:hanging="425"/>
      </w:pPr>
      <w:r>
        <w:rPr>
          <w:b/>
        </w:rPr>
        <w:t>6.</w:t>
      </w:r>
      <w:r>
        <w:rPr/>
        <w:tab/>
      </w:r>
      <w:r>
        <w:rPr>
          <w:b/>
        </w:rPr>
        <w:t>Monitoring and Reporting:</w:t>
      </w:r>
    </w:p>
    <w:p>
      <w:pPr>
        <w:numPr>
          <w:ilvl w:val="1"/>
          <w:numId w:val="90"/>
        </w:numPr>
        <w:spacing w:after="60"/>
      </w:pPr>
      <w:r>
        <w:rPr/>
        <w:t>The Finance Officer will ensure that all financial transactions related to the internet facility are properly documented and reported.</w:t>
      </w:r>
    </w:p>
    <w:p>
      <w:pPr>
        <w:numPr>
          <w:ilvl w:val="1"/>
          <w:numId w:val="90"/>
        </w:numPr>
        <w:spacing w:after="60"/>
      </w:pPr>
      <w:r>
        <w:rPr/>
        <w:t>Regular reviews of expenditure will be conducted to ensure that the internet services are being utilized effectively and within budget.</w:t>
      </w:r>
    </w:p>
    <w:p>
      <w:pPr>
        <w:spacing w:after="0"/>
      </w:pPr>
      <w:r>
        <w:br w:type="page"/>
      </w:r>
    </w:p>
    <w:p>
      <w:pPr>
        <w:pStyle w:val="Heading1"/>
        <w:spacing w:before="0"/>
      </w:pPr>
      <w:r>
        <w:rPr/>
        <w:t>16. Printing and Stationery Accounting Policy</w:t>
      </w:r>
    </w:p>
    <w:p>
      <w:pPr>
        <w:tabs>
          <w:tab w:pos="425" w:val="left"/>
        </w:tabs>
        <w:spacing w:after="60"/>
        <w:ind w:left="425" w:hanging="425"/>
      </w:pPr>
      <w:r>
        <w:rPr>
          <w:b/>
        </w:rPr>
        <w:t>1.</w:t>
      </w:r>
      <w:r>
        <w:rPr/>
        <w:tab/>
      </w:r>
      <w:r>
        <w:rPr>
          <w:b/>
        </w:rPr>
        <w:t>Departmental Requirements:</w:t>
      </w:r>
    </w:p>
    <w:p>
      <w:pPr>
        <w:numPr>
          <w:ilvl w:val="1"/>
          <w:numId w:val="90"/>
        </w:numPr>
        <w:spacing w:after="60"/>
      </w:pPr>
      <w:r>
        <w:rPr/>
        <w:t>Each department is responsible for submitting its stationery requirements to the Central Stores.</w:t>
      </w:r>
    </w:p>
    <w:p>
      <w:pPr>
        <w:numPr>
          <w:ilvl w:val="1"/>
          <w:numId w:val="90"/>
        </w:numPr>
        <w:spacing w:after="60"/>
      </w:pPr>
      <w:r>
        <w:rPr/>
        <w:t>The Central Stores will consolidate these requirements and create an overall plan proposal for the procurement of consumables needed across all departments.</w:t>
      </w:r>
    </w:p>
    <w:p>
      <w:pPr>
        <w:tabs>
          <w:tab w:pos="425" w:val="left"/>
        </w:tabs>
        <w:spacing w:after="60"/>
        <w:ind w:left="425" w:hanging="425"/>
      </w:pPr>
      <w:r>
        <w:rPr>
          <w:b/>
        </w:rPr>
        <w:t>2.</w:t>
      </w:r>
      <w:r>
        <w:rPr/>
        <w:tab/>
      </w:r>
      <w:r>
        <w:rPr>
          <w:b/>
        </w:rPr>
        <w:t>Approval of the Plan:</w:t>
      </w:r>
    </w:p>
    <w:p>
      <w:pPr>
        <w:numPr>
          <w:ilvl w:val="1"/>
          <w:numId w:val="90"/>
        </w:numPr>
        <w:spacing w:after="60"/>
      </w:pPr>
      <w:r>
        <w:rPr/>
        <w:t>The plan proposal for consumables, once drafted by the Central Stores, must be reviewed and approved by the relevant authority (e.g., Principal or Finance Committee).</w:t>
      </w:r>
    </w:p>
    <w:p>
      <w:pPr>
        <w:tabs>
          <w:tab w:pos="425" w:val="left"/>
        </w:tabs>
        <w:spacing w:after="60"/>
        <w:ind w:left="425" w:hanging="425"/>
      </w:pPr>
      <w:r>
        <w:rPr>
          <w:b/>
        </w:rPr>
        <w:t>3.</w:t>
      </w:r>
      <w:r>
        <w:rPr/>
        <w:tab/>
      </w:r>
      <w:r>
        <w:rPr>
          <w:b/>
        </w:rPr>
        <w:t>Procurement Proposal:</w:t>
      </w:r>
    </w:p>
    <w:p>
      <w:pPr>
        <w:numPr>
          <w:ilvl w:val="1"/>
          <w:numId w:val="90"/>
        </w:numPr>
        <w:spacing w:after="60"/>
      </w:pPr>
      <w:r>
        <w:rPr/>
        <w:t>After the plan proposal is approved, a separate procurement proposal will be created to purchase the consumables, such as paper, ink, pens, and other printing supplies.</w:t>
      </w:r>
    </w:p>
    <w:p>
      <w:pPr>
        <w:tabs>
          <w:tab w:pos="425" w:val="left"/>
        </w:tabs>
        <w:spacing w:after="60"/>
        <w:ind w:left="425" w:hanging="425"/>
      </w:pPr>
      <w:r>
        <w:rPr>
          <w:b/>
        </w:rPr>
        <w:t>4.</w:t>
      </w:r>
      <w:r>
        <w:rPr/>
        <w:tab/>
      </w:r>
      <w:r>
        <w:rPr>
          <w:b/>
        </w:rPr>
        <w:t>Purchase Committee:</w:t>
      </w:r>
    </w:p>
    <w:p>
      <w:pPr>
        <w:numPr>
          <w:ilvl w:val="1"/>
          <w:numId w:val="90"/>
        </w:numPr>
        <w:spacing w:after="60"/>
      </w:pPr>
      <w:r>
        <w:rPr/>
        <w:t>The approved procurement proposal will be forwarded to the Purchase Committee, which will undertake the purchase process.</w:t>
      </w:r>
    </w:p>
    <w:p>
      <w:pPr>
        <w:numPr>
          <w:ilvl w:val="1"/>
          <w:numId w:val="90"/>
        </w:numPr>
        <w:spacing w:after="60"/>
      </w:pPr>
      <w:r>
        <w:rPr/>
        <w:t>The Purchase Committee will ensure that the purchase is carried out in accordance with institutional procurement policies and that it aligns with the approved budget.</w:t>
      </w:r>
    </w:p>
    <w:p>
      <w:pPr>
        <w:tabs>
          <w:tab w:pos="425" w:val="left"/>
        </w:tabs>
        <w:spacing w:after="60"/>
        <w:ind w:left="425" w:hanging="425"/>
      </w:pPr>
      <w:r>
        <w:rPr>
          <w:b/>
        </w:rPr>
        <w:t>5.</w:t>
      </w:r>
      <w:r>
        <w:rPr/>
        <w:tab/>
      </w:r>
      <w:r>
        <w:rPr>
          <w:b/>
        </w:rPr>
        <w:t>Financial Accounting:</w:t>
      </w:r>
    </w:p>
    <w:p>
      <w:pPr>
        <w:numPr>
          <w:ilvl w:val="1"/>
          <w:numId w:val="90"/>
        </w:numPr>
        <w:spacing w:after="60"/>
      </w:pPr>
      <w:r>
        <w:rPr/>
        <w:t>All expenditures related to consumables, including printing and stationery, will be centrally accounted by the Finance Officer.</w:t>
      </w:r>
    </w:p>
    <w:p>
      <w:pPr>
        <w:numPr>
          <w:ilvl w:val="1"/>
          <w:numId w:val="90"/>
        </w:numPr>
        <w:spacing w:after="60"/>
      </w:pPr>
      <w:r>
        <w:rPr/>
        <w:t>The Finance Officer will track and record all relevant expenses and ensure that they are compliant with the institution’s budgeting and accounting policies.</w:t>
      </w:r>
    </w:p>
    <w:p>
      <w:pPr>
        <w:tabs>
          <w:tab w:pos="425" w:val="left"/>
        </w:tabs>
        <w:spacing w:after="60"/>
        <w:ind w:left="425" w:hanging="425"/>
      </w:pPr>
      <w:r>
        <w:rPr>
          <w:b/>
        </w:rPr>
        <w:t>6.</w:t>
      </w:r>
      <w:r>
        <w:rPr/>
        <w:tab/>
      </w:r>
      <w:r>
        <w:rPr>
          <w:b/>
        </w:rPr>
        <w:t>Reporting:</w:t>
      </w:r>
    </w:p>
    <w:p>
      <w:pPr>
        <w:numPr>
          <w:ilvl w:val="1"/>
          <w:numId w:val="90"/>
        </w:numPr>
        <w:spacing w:after="60"/>
      </w:pPr>
      <w:r>
        <w:rPr/>
        <w:t>The Finance Officer will report on the expenditure for consumables to ensure transparency and to monitor whether the department’s needs and expenditures are within the planned budget.</w:t>
      </w:r>
    </w:p>
    <w:p>
      <w:pPr>
        <w:spacing w:after="0"/>
      </w:pPr>
      <w:r>
        <w:br w:type="page"/>
      </w:r>
    </w:p>
    <w:p>
      <w:pPr>
        <w:pStyle w:val="Heading1"/>
        <w:spacing w:before="0"/>
      </w:pPr>
      <w:r>
        <w:rPr/>
        <w:t>17. Maintenance Accounting Policy</w:t>
      </w:r>
    </w:p>
    <w:p>
      <w:pPr>
        <w:tabs>
          <w:tab w:pos="425" w:val="left"/>
        </w:tabs>
        <w:spacing w:after="60"/>
        <w:ind w:left="425" w:hanging="425"/>
      </w:pPr>
      <w:r>
        <w:rPr>
          <w:b/>
        </w:rPr>
        <w:t>1.</w:t>
      </w:r>
      <w:r>
        <w:rPr/>
        <w:tab/>
      </w:r>
      <w:r>
        <w:rPr>
          <w:b/>
        </w:rPr>
        <w:t>Initiation of Maintenance Plans:</w:t>
      </w:r>
    </w:p>
    <w:p>
      <w:pPr>
        <w:numPr>
          <w:ilvl w:val="1"/>
          <w:numId w:val="90"/>
        </w:numPr>
        <w:spacing w:after="60"/>
      </w:pPr>
      <w:r>
        <w:rPr/>
        <w:t>All organizational units responsible for the maintenance of capital equipment must initiate plans for entering into service contracts with the suppliers or service providers.</w:t>
      </w:r>
    </w:p>
    <w:p>
      <w:pPr>
        <w:tabs>
          <w:tab w:pos="425" w:val="left"/>
        </w:tabs>
        <w:spacing w:after="60"/>
        <w:ind w:left="425" w:hanging="425"/>
      </w:pPr>
      <w:r>
        <w:rPr>
          <w:b/>
        </w:rPr>
        <w:t>2.</w:t>
      </w:r>
      <w:r>
        <w:rPr/>
        <w:tab/>
      </w:r>
      <w:r>
        <w:rPr>
          <w:b/>
        </w:rPr>
        <w:t>Approval of Maintenance Plans:</w:t>
      </w:r>
    </w:p>
    <w:p>
      <w:pPr>
        <w:numPr>
          <w:ilvl w:val="1"/>
          <w:numId w:val="90"/>
        </w:numPr>
        <w:spacing w:after="60"/>
      </w:pPr>
      <w:r>
        <w:rPr/>
        <w:t>Once the maintenance plan is drafted, it must be reviewed and approved by the relevant authority (e.g., Principal or Finance Committee) before proceeding with further steps.</w:t>
      </w:r>
    </w:p>
    <w:p>
      <w:pPr>
        <w:tabs>
          <w:tab w:pos="425" w:val="left"/>
        </w:tabs>
        <w:spacing w:after="60"/>
        <w:ind w:left="425" w:hanging="425"/>
      </w:pPr>
      <w:r>
        <w:rPr>
          <w:b/>
        </w:rPr>
        <w:t>3.</w:t>
      </w:r>
      <w:r>
        <w:rPr/>
        <w:tab/>
      </w:r>
      <w:r>
        <w:rPr>
          <w:b/>
        </w:rPr>
        <w:t>Service Contract Proposals:</w:t>
      </w:r>
    </w:p>
    <w:p>
      <w:pPr>
        <w:numPr>
          <w:ilvl w:val="1"/>
          <w:numId w:val="90"/>
        </w:numPr>
        <w:spacing w:after="60"/>
      </w:pPr>
      <w:r>
        <w:rPr/>
        <w:t>After the plan is approved, proposals for entering into a service contract should be initiated. This involves negotiating the terms with service providers and ensuring that the contract covers the necessary services for maintaining capital equipment.</w:t>
      </w:r>
    </w:p>
    <w:p>
      <w:pPr>
        <w:tabs>
          <w:tab w:pos="425" w:val="left"/>
        </w:tabs>
        <w:spacing w:after="60"/>
        <w:ind w:left="425" w:hanging="425"/>
      </w:pPr>
      <w:r>
        <w:rPr>
          <w:b/>
        </w:rPr>
        <w:t>4.</w:t>
      </w:r>
      <w:r>
        <w:rPr/>
        <w:tab/>
      </w:r>
      <w:r>
        <w:rPr>
          <w:b/>
        </w:rPr>
        <w:t>Execution of Service Contracts:</w:t>
      </w:r>
    </w:p>
    <w:p>
      <w:pPr>
        <w:numPr>
          <w:ilvl w:val="1"/>
          <w:numId w:val="90"/>
        </w:numPr>
        <w:spacing w:after="60"/>
      </w:pPr>
      <w:r>
        <w:rPr/>
        <w:t>Once all necessary approvals are obtained, the service contracts will be formally signed and executed with the selected suppliers or service providers.</w:t>
      </w:r>
    </w:p>
    <w:p>
      <w:pPr>
        <w:tabs>
          <w:tab w:pos="425" w:val="left"/>
        </w:tabs>
        <w:spacing w:after="60"/>
        <w:ind w:left="425" w:hanging="425"/>
      </w:pPr>
      <w:r>
        <w:rPr>
          <w:b/>
        </w:rPr>
        <w:t>5.</w:t>
      </w:r>
      <w:r>
        <w:rPr/>
        <w:tab/>
      </w:r>
      <w:r>
        <w:rPr>
          <w:b/>
        </w:rPr>
        <w:t>Maintenance History:</w:t>
      </w:r>
    </w:p>
    <w:p>
      <w:pPr>
        <w:numPr>
          <w:ilvl w:val="1"/>
          <w:numId w:val="90"/>
        </w:numPr>
        <w:spacing w:after="60"/>
      </w:pPr>
      <w:r>
        <w:rPr/>
        <w:t>Every organizational unit responsible for capital equipment must maintain a service history for each piece of equipment under their possession.</w:t>
      </w:r>
    </w:p>
    <w:p>
      <w:pPr>
        <w:numPr>
          <w:ilvl w:val="1"/>
          <w:numId w:val="90"/>
        </w:numPr>
        <w:spacing w:after="60"/>
      </w:pPr>
      <w:r>
        <w:rPr/>
        <w:t>This service history should include details of all maintenance activities, repairs, and service visits made to the equipment, helping to ensure proper tracking of equipment usage and servicing.</w:t>
      </w:r>
    </w:p>
    <w:p>
      <w:pPr>
        <w:tabs>
          <w:tab w:pos="425" w:val="left"/>
        </w:tabs>
        <w:spacing w:after="60"/>
        <w:ind w:left="425" w:hanging="425"/>
      </w:pPr>
      <w:r>
        <w:rPr>
          <w:b/>
        </w:rPr>
        <w:t>6.</w:t>
      </w:r>
      <w:r>
        <w:rPr/>
        <w:tab/>
      </w:r>
      <w:r>
        <w:rPr>
          <w:b/>
        </w:rPr>
        <w:t>Record Keeping and Accounting:</w:t>
      </w:r>
    </w:p>
    <w:p>
      <w:pPr>
        <w:numPr>
          <w:ilvl w:val="1"/>
          <w:numId w:val="90"/>
        </w:numPr>
        <w:spacing w:after="60"/>
      </w:pPr>
      <w:r>
        <w:rPr/>
        <w:t>The Finance Officer will ensure that all expenditures related to maintenance and service contracts are recorded and properly accounted for in the financial system. This includes verifying that the spending aligns with the approved budget for each department.</w:t>
      </w:r>
    </w:p>
    <w:p>
      <w:pPr>
        <w:spacing w:after="0"/>
      </w:pPr>
      <w:r>
        <w:br w:type="page"/>
      </w:r>
    </w:p>
    <w:p>
      <w:pPr>
        <w:pStyle w:val="Heading1"/>
        <w:spacing w:before="0"/>
      </w:pPr>
      <w:r>
        <w:rPr/>
        <w:t>18. Financial Auditing Policies</w:t>
      </w:r>
    </w:p>
    <w:p>
      <w:pPr>
        <w:tabs>
          <w:tab w:pos="425" w:val="left"/>
        </w:tabs>
        <w:spacing w:after="60"/>
        <w:ind w:left="425" w:hanging="425"/>
      </w:pPr>
      <w:r>
        <w:rPr>
          <w:b/>
        </w:rPr>
        <w:t>1.</w:t>
      </w:r>
      <w:r>
        <w:rPr/>
        <w:tab/>
      </w:r>
      <w:r>
        <w:rPr>
          <w:b/>
        </w:rPr>
        <w:t>Internal Financial Auditing:</w:t>
      </w:r>
    </w:p>
    <w:p>
      <w:pPr>
        <w:numPr>
          <w:ilvl w:val="1"/>
          <w:numId w:val="90"/>
        </w:numPr>
        <w:spacing w:after="60"/>
      </w:pPr>
      <w:r>
        <w:rPr/>
        <w:t>The Finance Officer shall conduct an internal audit of the financial accounts once a quarter. This audit will include reviewing all financial transactions, records, and statements to ensure accuracy and compliance.</w:t>
      </w:r>
    </w:p>
    <w:p>
      <w:pPr>
        <w:numPr>
          <w:ilvl w:val="1"/>
          <w:numId w:val="90"/>
        </w:numPr>
        <w:spacing w:after="60"/>
      </w:pPr>
      <w:r>
        <w:rPr/>
        <w:t>If discrepancies or irregularities are found during the internal audit, the Finance Officer must immediately report them to the Finance Committee.</w:t>
      </w:r>
    </w:p>
    <w:p>
      <w:pPr>
        <w:numPr>
          <w:ilvl w:val="1"/>
          <w:numId w:val="90"/>
        </w:numPr>
        <w:spacing w:after="60"/>
      </w:pPr>
      <w:r>
        <w:rPr/>
        <w:t>The Finance Committee will review the audit findings, assess the impact of any discrepancies, and submit the report to the Chairman.</w:t>
      </w:r>
    </w:p>
    <w:p>
      <w:pPr>
        <w:numPr>
          <w:ilvl w:val="1"/>
          <w:numId w:val="90"/>
        </w:numPr>
        <w:spacing w:after="60"/>
      </w:pPr>
      <w:r>
        <w:rPr/>
        <w:t>Based on the review, corrective actions will be recommended and taken to rectify any discrepancies in the financial accounts.</w:t>
      </w:r>
    </w:p>
    <w:p>
      <w:pPr>
        <w:tabs>
          <w:tab w:pos="425" w:val="left"/>
        </w:tabs>
        <w:spacing w:after="60"/>
        <w:ind w:left="425" w:hanging="425"/>
      </w:pPr>
      <w:r>
        <w:rPr>
          <w:b/>
        </w:rPr>
        <w:t>2.</w:t>
      </w:r>
      <w:r>
        <w:rPr/>
        <w:tab/>
      </w:r>
      <w:r>
        <w:rPr>
          <w:b/>
        </w:rPr>
        <w:t>External Financial Auditing:</w:t>
      </w:r>
    </w:p>
    <w:p>
      <w:pPr>
        <w:numPr>
          <w:ilvl w:val="1"/>
          <w:numId w:val="90"/>
        </w:numPr>
        <w:spacing w:after="60"/>
      </w:pPr>
      <w:r>
        <w:rPr/>
        <w:t>An external audit shall be conducted once a year by independent external auditors to verify the financial accuracy and compliance with relevant financial regulations.</w:t>
      </w:r>
    </w:p>
    <w:p>
      <w:pPr>
        <w:numPr>
          <w:ilvl w:val="1"/>
          <w:numId w:val="90"/>
        </w:numPr>
        <w:spacing w:after="60"/>
      </w:pPr>
      <w:r>
        <w:rPr/>
        <w:t>Any discrepancies or concerns raised by the external auditors during the audit will be reported to the Finance Committee.</w:t>
      </w:r>
    </w:p>
    <w:p>
      <w:pPr>
        <w:numPr>
          <w:ilvl w:val="1"/>
          <w:numId w:val="90"/>
        </w:numPr>
        <w:spacing w:after="60"/>
      </w:pPr>
      <w:r>
        <w:rPr/>
        <w:t>The Finance Committee will review the external audit report, evaluate the discrepancies, and then submit the findings to the Chairman for further review.</w:t>
      </w:r>
    </w:p>
    <w:p>
      <w:pPr>
        <w:numPr>
          <w:ilvl w:val="1"/>
          <w:numId w:val="90"/>
        </w:numPr>
        <w:spacing w:after="60"/>
      </w:pPr>
      <w:r>
        <w:rPr/>
        <w:t>Corrective actions will be implemented to address the discrepancies, ensuring that future financial practices are in compliance with institutional policies and legal requirements.</w:t>
      </w:r>
    </w:p>
    <w:p>
      <w:pPr>
        <w:spacing w:after="0"/>
      </w:pPr>
      <w:r>
        <w:br w:type="page"/>
      </w:r>
    </w:p>
    <w:p>
      <w:pPr>
        <w:pStyle w:val="Heading1"/>
        <w:spacing w:before="0"/>
      </w:pPr>
      <w:r>
        <w:rPr/>
        <w:t>19. General Principles to Be Followed in the Finance and Accounts Section</w:t>
      </w:r>
    </w:p>
    <w:p>
      <w:pPr>
        <w:tabs>
          <w:tab w:pos="425" w:val="left"/>
        </w:tabs>
        <w:spacing w:after="60"/>
        <w:ind w:left="425" w:hanging="425"/>
      </w:pPr>
      <w:r>
        <w:rPr>
          <w:b/>
        </w:rPr>
        <w:t>1.</w:t>
      </w:r>
      <w:r>
        <w:rPr/>
        <w:tab/>
      </w:r>
      <w:r>
        <w:rPr>
          <w:b/>
        </w:rPr>
        <w:t>Maintenance of Accounts and Financial Records:</w:t>
      </w:r>
    </w:p>
    <w:p>
      <w:pPr>
        <w:numPr>
          <w:ilvl w:val="1"/>
          <w:numId w:val="90"/>
        </w:numPr>
        <w:spacing w:after="60"/>
      </w:pPr>
      <w:r>
        <w:rPr/>
        <w:t>The Accounts and financial records of the College shall be maintained in the prescribed forms and registers.</w:t>
      </w:r>
    </w:p>
    <w:p>
      <w:pPr>
        <w:numPr>
          <w:ilvl w:val="1"/>
          <w:numId w:val="90"/>
        </w:numPr>
        <w:spacing w:after="60"/>
      </w:pPr>
      <w:r>
        <w:rPr/>
        <w:t>It is the responsibility of the Head of the Branch concerned to ensure that these records are kept properly, accurately, and are kept up-to-date.</w:t>
      </w:r>
    </w:p>
    <w:p>
      <w:pPr>
        <w:tabs>
          <w:tab w:pos="425" w:val="left"/>
        </w:tabs>
        <w:spacing w:after="60"/>
        <w:ind w:left="425" w:hanging="425"/>
      </w:pPr>
      <w:r>
        <w:rPr>
          <w:b/>
        </w:rPr>
        <w:t>2.</w:t>
      </w:r>
      <w:r>
        <w:rPr/>
        <w:tab/>
      </w:r>
      <w:r>
        <w:rPr>
          <w:b/>
        </w:rPr>
        <w:t>Financial Year Accounts:</w:t>
      </w:r>
    </w:p>
    <w:p>
      <w:pPr>
        <w:numPr>
          <w:ilvl w:val="1"/>
          <w:numId w:val="90"/>
        </w:numPr>
        <w:spacing w:after="60"/>
      </w:pPr>
      <w:r>
        <w:rPr/>
        <w:t>The accounts of the College shall be maintained separately for each financial year.</w:t>
      </w:r>
    </w:p>
    <w:p>
      <w:pPr>
        <w:tabs>
          <w:tab w:pos="425" w:val="left"/>
        </w:tabs>
        <w:spacing w:after="60"/>
        <w:ind w:left="425" w:hanging="425"/>
      </w:pPr>
      <w:r>
        <w:rPr>
          <w:b/>
        </w:rPr>
        <w:t>3.</w:t>
      </w:r>
      <w:r>
        <w:rPr/>
        <w:tab/>
      </w:r>
      <w:r>
        <w:rPr>
          <w:b/>
        </w:rPr>
        <w:t>Changes in Forms or Registers:</w:t>
      </w:r>
    </w:p>
    <w:p>
      <w:pPr>
        <w:numPr>
          <w:ilvl w:val="1"/>
          <w:numId w:val="90"/>
        </w:numPr>
        <w:spacing w:after="60"/>
      </w:pPr>
      <w:r>
        <w:rPr/>
        <w:t>No alteration, addition, or modification in the prescribed forms, registers, or the introduction of new forms shall be made without prior approval from the Principal.</w:t>
      </w:r>
    </w:p>
    <w:p>
      <w:pPr>
        <w:numPr>
          <w:ilvl w:val="1"/>
          <w:numId w:val="90"/>
        </w:numPr>
        <w:spacing w:after="60"/>
      </w:pPr>
      <w:r>
        <w:rPr/>
        <w:t>However, subsidiary registers may be maintained for administrative convenience, provided they do not conflict with the prescribed account books.</w:t>
      </w:r>
    </w:p>
    <w:p>
      <w:pPr>
        <w:tabs>
          <w:tab w:pos="425" w:val="left"/>
        </w:tabs>
        <w:spacing w:after="60"/>
        <w:ind w:left="425" w:hanging="425"/>
      </w:pPr>
      <w:r>
        <w:rPr>
          <w:b/>
        </w:rPr>
        <w:t>4.</w:t>
      </w:r>
      <w:r>
        <w:rPr/>
        <w:tab/>
      </w:r>
      <w:r>
        <w:rPr>
          <w:b/>
        </w:rPr>
        <w:t>Binding of Account Books:</w:t>
      </w:r>
    </w:p>
    <w:p>
      <w:pPr>
        <w:numPr>
          <w:ilvl w:val="1"/>
          <w:numId w:val="90"/>
        </w:numPr>
        <w:spacing w:after="60"/>
      </w:pPr>
      <w:r>
        <w:rPr/>
        <w:t>All books of accounts and registers must be properly bound.</w:t>
      </w:r>
    </w:p>
    <w:p>
      <w:pPr>
        <w:numPr>
          <w:ilvl w:val="1"/>
          <w:numId w:val="90"/>
        </w:numPr>
        <w:spacing w:after="60"/>
      </w:pPr>
      <w:r>
        <w:rPr/>
        <w:t>Loose sheets or loosely bound volumes are not permissible for maintaining accounts.</w:t>
      </w:r>
    </w:p>
    <w:p>
      <w:pPr>
        <w:tabs>
          <w:tab w:pos="425" w:val="left"/>
        </w:tabs>
        <w:spacing w:after="60"/>
        <w:ind w:left="425" w:hanging="425"/>
      </w:pPr>
      <w:r>
        <w:rPr>
          <w:b/>
        </w:rPr>
        <w:t>5.</w:t>
      </w:r>
      <w:r>
        <w:rPr/>
        <w:tab/>
      </w:r>
      <w:r>
        <w:rPr>
          <w:b/>
        </w:rPr>
        <w:t>Serial Numbering of Pages:</w:t>
      </w:r>
    </w:p>
    <w:p>
      <w:pPr>
        <w:numPr>
          <w:ilvl w:val="1"/>
          <w:numId w:val="90"/>
        </w:numPr>
        <w:spacing w:after="60"/>
      </w:pPr>
      <w:r>
        <w:rPr/>
        <w:t>The pages of all account books must be serially numbered.</w:t>
      </w:r>
    </w:p>
    <w:p>
      <w:pPr>
        <w:numPr>
          <w:ilvl w:val="1"/>
          <w:numId w:val="90"/>
        </w:numPr>
        <w:spacing w:after="60"/>
      </w:pPr>
      <w:r>
        <w:rPr/>
        <w:t>Each page must bear the stamp of the College.</w:t>
      </w:r>
    </w:p>
    <w:p>
      <w:pPr>
        <w:numPr>
          <w:ilvl w:val="1"/>
          <w:numId w:val="90"/>
        </w:numPr>
        <w:spacing w:after="60"/>
      </w:pPr>
      <w:r>
        <w:rPr/>
        <w:t>Receipt books must also be stamped before they are issued.</w:t>
      </w:r>
    </w:p>
    <w:p>
      <w:pPr>
        <w:numPr>
          <w:ilvl w:val="1"/>
          <w:numId w:val="90"/>
        </w:numPr>
        <w:spacing w:after="60"/>
      </w:pPr>
      <w:r>
        <w:rPr/>
        <w:t>The Superintendent of the section will record the total number of pages in the book on the first page before issuing it.</w:t>
      </w:r>
    </w:p>
    <w:p>
      <w:pPr>
        <w:tabs>
          <w:tab w:pos="425" w:val="left"/>
        </w:tabs>
        <w:spacing w:after="60"/>
        <w:ind w:left="425" w:hanging="425"/>
      </w:pPr>
      <w:r>
        <w:rPr>
          <w:b/>
        </w:rPr>
        <w:t>6.</w:t>
      </w:r>
      <w:r>
        <w:rPr/>
        <w:tab/>
      </w:r>
      <w:r>
        <w:rPr>
          <w:b/>
        </w:rPr>
        <w:t>Corrections in Accounts:</w:t>
      </w:r>
    </w:p>
    <w:p>
      <w:pPr>
        <w:numPr>
          <w:ilvl w:val="1"/>
          <w:numId w:val="90"/>
        </w:numPr>
        <w:spacing w:after="60"/>
      </w:pPr>
      <w:r>
        <w:rPr/>
        <w:t>Corrections or alterations in accounts must be made neatly in red ink.</w:t>
      </w:r>
    </w:p>
    <w:p>
      <w:pPr>
        <w:numPr>
          <w:ilvl w:val="1"/>
          <w:numId w:val="90"/>
        </w:numPr>
        <w:spacing w:after="60"/>
      </w:pPr>
      <w:r>
        <w:rPr/>
        <w:t>The original entry must be crossed out with a simple line, and the correction must be attested by the dated initials of the Superintendent of the section.</w:t>
      </w:r>
    </w:p>
    <w:p>
      <w:pPr>
        <w:tabs>
          <w:tab w:pos="425" w:val="left"/>
        </w:tabs>
        <w:spacing w:after="60"/>
        <w:ind w:left="425" w:hanging="425"/>
      </w:pPr>
      <w:r>
        <w:rPr>
          <w:b/>
        </w:rPr>
        <w:t>7.</w:t>
      </w:r>
      <w:r>
        <w:rPr/>
        <w:tab/>
      </w:r>
      <w:r>
        <w:rPr>
          <w:b/>
        </w:rPr>
        <w:t>Corrections in Bills and Vouchers:</w:t>
      </w:r>
    </w:p>
    <w:p>
      <w:pPr>
        <w:numPr>
          <w:ilvl w:val="1"/>
          <w:numId w:val="90"/>
        </w:numPr>
        <w:spacing w:after="60"/>
      </w:pPr>
      <w:r>
        <w:rPr/>
        <w:t>Any corrections or alterations in bills or vouchers should be attested by:</w:t>
      </w:r>
    </w:p>
    <w:p>
      <w:pPr>
        <w:numPr>
          <w:ilvl w:val="2"/>
          <w:numId w:val="90"/>
        </w:numPr>
        <w:spacing w:after="60"/>
      </w:pPr>
      <w:r>
        <w:rPr/>
        <w:t>The Officer drawing the bill, or</w:t>
      </w:r>
    </w:p>
    <w:p>
      <w:pPr>
        <w:numPr>
          <w:ilvl w:val="2"/>
          <w:numId w:val="90"/>
        </w:numPr>
        <w:spacing w:after="60"/>
      </w:pPr>
      <w:r>
        <w:rPr/>
        <w:t>The person preferring the claim.</w:t>
      </w:r>
    </w:p>
    <w:p>
      <w:pPr>
        <w:numPr>
          <w:ilvl w:val="1"/>
          <w:numId w:val="90"/>
        </w:numPr>
        <w:spacing w:after="60"/>
      </w:pPr>
      <w:r>
        <w:rPr/>
        <w:t>Similarly, corrections in pay orders must be attested by the Officer signing the orders.</w:t>
      </w:r>
    </w:p>
    <w:p>
      <w:pPr>
        <w:tabs>
          <w:tab w:pos="425" w:val="left"/>
        </w:tabs>
        <w:spacing w:after="60"/>
        <w:ind w:left="425" w:hanging="425"/>
      </w:pPr>
      <w:r>
        <w:rPr>
          <w:b/>
        </w:rPr>
        <w:t>8.</w:t>
      </w:r>
      <w:r>
        <w:rPr/>
        <w:tab/>
      </w:r>
      <w:r>
        <w:rPr>
          <w:b/>
        </w:rPr>
        <w:t>No Erasures:</w:t>
      </w:r>
    </w:p>
    <w:p>
      <w:pPr>
        <w:numPr>
          <w:ilvl w:val="1"/>
          <w:numId w:val="90"/>
        </w:numPr>
        <w:spacing w:after="60"/>
      </w:pPr>
      <w:r>
        <w:rPr/>
        <w:t>Erasures and covering figures with fluids (e.g., white-out) are strictly prohibited.</w:t>
      </w:r>
    </w:p>
    <w:p>
      <w:pPr>
        <w:numPr>
          <w:ilvl w:val="1"/>
          <w:numId w:val="90"/>
        </w:numPr>
        <w:spacing w:after="60"/>
      </w:pPr>
      <w:r>
        <w:rPr/>
        <w:t>Any document that contains an eraser mark or fluid covering shall not be accepted.</w:t>
      </w:r>
    </w:p>
    <w:p>
      <w:pPr>
        <w:spacing w:after="0"/>
      </w:pPr>
      <w:r>
        <w:br w:type="page"/>
      </w:r>
    </w:p>
    <w:p>
      <w:pPr>
        <w:pStyle w:val="Heading1"/>
        <w:spacing w:before="0"/>
      </w:pPr>
      <w:r>
        <w:rPr/>
        <w:t>20. Receipt Books Management Guidelines</w:t>
      </w:r>
    </w:p>
    <w:p>
      <w:pPr>
        <w:tabs>
          <w:tab w:pos="425" w:val="left"/>
        </w:tabs>
        <w:spacing w:after="60"/>
        <w:ind w:left="425" w:hanging="425"/>
      </w:pPr>
      <w:r>
        <w:rPr>
          <w:b/>
        </w:rPr>
        <w:t>1.</w:t>
      </w:r>
      <w:r>
        <w:rPr/>
        <w:tab/>
      </w:r>
      <w:r>
        <w:rPr>
          <w:b/>
        </w:rPr>
        <w:t>Examination and Certification of Receipt Books:</w:t>
      </w:r>
    </w:p>
    <w:p>
      <w:pPr>
        <w:numPr>
          <w:ilvl w:val="1"/>
          <w:numId w:val="90"/>
        </w:numPr>
        <w:spacing w:after="60"/>
      </w:pPr>
      <w:r>
        <w:rPr/>
        <w:t>When the receipt books are received from the press or purchase section of the Head of the College, the total number of receipts in each book shall be examined and certified by the Accounts Officer (AO) or Co-coordinator on the last page of the book.</w:t>
      </w:r>
    </w:p>
    <w:p>
      <w:pPr>
        <w:numPr>
          <w:ilvl w:val="1"/>
          <w:numId w:val="90"/>
        </w:numPr>
        <w:spacing w:after="60"/>
      </w:pPr>
      <w:r>
        <w:rPr/>
        <w:t>The College stamp shall be affixed on each receipt at the time the books are issued.</w:t>
      </w:r>
    </w:p>
    <w:p>
      <w:pPr>
        <w:tabs>
          <w:tab w:pos="425" w:val="left"/>
        </w:tabs>
        <w:spacing w:after="60"/>
        <w:ind w:left="425" w:hanging="425"/>
      </w:pPr>
      <w:r>
        <w:rPr>
          <w:b/>
        </w:rPr>
        <w:t>2.</w:t>
      </w:r>
      <w:r>
        <w:rPr/>
        <w:tab/>
      </w:r>
      <w:r>
        <w:rPr>
          <w:b/>
        </w:rPr>
        <w:t>Serial Entry and Issuance of Receipt Books:</w:t>
      </w:r>
    </w:p>
    <w:p>
      <w:pPr>
        <w:numPr>
          <w:ilvl w:val="1"/>
          <w:numId w:val="90"/>
        </w:numPr>
        <w:spacing w:after="60"/>
      </w:pPr>
      <w:r>
        <w:rPr/>
        <w:t>All receipt books shall be entered serially in the register.</w:t>
      </w:r>
    </w:p>
    <w:p>
      <w:pPr>
        <w:numPr>
          <w:ilvl w:val="1"/>
          <w:numId w:val="90"/>
        </w:numPr>
        <w:spacing w:after="60"/>
      </w:pPr>
      <w:r>
        <w:rPr/>
        <w:t>Each book's machine number and the number of receipts it contains shall be noted in the respective columns (3) and (4) of the register.</w:t>
      </w:r>
    </w:p>
    <w:p>
      <w:pPr>
        <w:tabs>
          <w:tab w:pos="425" w:val="left"/>
        </w:tabs>
        <w:spacing w:after="60"/>
        <w:ind w:left="425" w:hanging="425"/>
      </w:pPr>
      <w:r>
        <w:rPr>
          <w:b/>
        </w:rPr>
        <w:t>3.</w:t>
      </w:r>
      <w:r>
        <w:rPr/>
        <w:tab/>
      </w:r>
      <w:r>
        <w:rPr>
          <w:b/>
        </w:rPr>
        <w:t>Issuance of Receipt Books:</w:t>
      </w:r>
    </w:p>
    <w:p>
      <w:pPr>
        <w:numPr>
          <w:ilvl w:val="1"/>
          <w:numId w:val="90"/>
        </w:numPr>
        <w:spacing w:after="60"/>
      </w:pPr>
      <w:r>
        <w:rPr/>
        <w:t>Only one receipt book shall be issued to the collection staff at a time unless there is an immediate need for more.</w:t>
      </w:r>
    </w:p>
    <w:p>
      <w:pPr>
        <w:numPr>
          <w:ilvl w:val="1"/>
          <w:numId w:val="90"/>
        </w:numPr>
        <w:spacing w:after="60"/>
      </w:pPr>
      <w:r>
        <w:rPr/>
        <w:t>Fresh issues of receipt books shall not be made until the completed books are returned.</w:t>
      </w:r>
    </w:p>
    <w:p>
      <w:pPr>
        <w:numPr>
          <w:ilvl w:val="1"/>
          <w:numId w:val="90"/>
        </w:numPr>
        <w:spacing w:after="60"/>
      </w:pPr>
      <w:r>
        <w:rPr/>
        <w:t>If immediate returns are not possible, the return of the receipt book after completion shall be closely monitored.</w:t>
      </w:r>
    </w:p>
    <w:p>
      <w:pPr>
        <w:tabs>
          <w:tab w:pos="425" w:val="left"/>
        </w:tabs>
        <w:spacing w:after="60"/>
        <w:ind w:left="425" w:hanging="425"/>
      </w:pPr>
      <w:r>
        <w:rPr>
          <w:b/>
        </w:rPr>
        <w:t>4.</w:t>
      </w:r>
      <w:r>
        <w:rPr/>
        <w:tab/>
      </w:r>
      <w:r>
        <w:rPr>
          <w:b/>
        </w:rPr>
        <w:t>Attestation of Receipt Book Issuances:</w:t>
      </w:r>
    </w:p>
    <w:p>
      <w:pPr>
        <w:numPr>
          <w:ilvl w:val="1"/>
          <w:numId w:val="90"/>
        </w:numPr>
        <w:spacing w:after="60"/>
      </w:pPr>
      <w:r>
        <w:rPr/>
        <w:t>Every issuance and return of a receipt book must be recorded in the register.</w:t>
      </w:r>
    </w:p>
    <w:p>
      <w:pPr>
        <w:numPr>
          <w:ilvl w:val="1"/>
          <w:numId w:val="90"/>
        </w:numPr>
        <w:spacing w:after="60"/>
      </w:pPr>
      <w:r>
        <w:rPr/>
        <w:t>The Assistant maintaining the accounts and the Superintendent of the Section shall attest the entries for both issuance and return.</w:t>
      </w:r>
    </w:p>
    <w:p>
      <w:pPr>
        <w:tabs>
          <w:tab w:pos="425" w:val="left"/>
        </w:tabs>
        <w:spacing w:after="60"/>
        <w:ind w:left="425" w:hanging="425"/>
      </w:pPr>
      <w:r>
        <w:rPr>
          <w:b/>
        </w:rPr>
        <w:t>5.</w:t>
      </w:r>
      <w:r>
        <w:rPr/>
        <w:tab/>
      </w:r>
      <w:r>
        <w:rPr>
          <w:b/>
        </w:rPr>
        <w:t>Handling Partly Used Receipt Books:</w:t>
      </w:r>
    </w:p>
    <w:p>
      <w:pPr>
        <w:numPr>
          <w:ilvl w:val="1"/>
          <w:numId w:val="90"/>
        </w:numPr>
        <w:spacing w:after="60"/>
      </w:pPr>
      <w:r>
        <w:rPr/>
        <w:t>Unused receipts in a partly used receipt book from the previous year must be cancelled at the close of the year.</w:t>
      </w:r>
    </w:p>
    <w:p>
      <w:pPr>
        <w:numPr>
          <w:ilvl w:val="1"/>
          <w:numId w:val="90"/>
        </w:numPr>
        <w:spacing w:after="60"/>
      </w:pPr>
      <w:r>
        <w:rPr/>
        <w:t>The Accounts Officer (AO) or Head of the Branch shall make an endorsement on the book to indicate the cancellation of unused receipts.</w:t>
      </w:r>
    </w:p>
    <w:p>
      <w:pPr>
        <w:tabs>
          <w:tab w:pos="425" w:val="left"/>
        </w:tabs>
        <w:spacing w:after="60"/>
        <w:ind w:left="425" w:hanging="425"/>
      </w:pPr>
      <w:r>
        <w:rPr>
          <w:b/>
        </w:rPr>
        <w:t>6.</w:t>
      </w:r>
      <w:r>
        <w:rPr/>
        <w:tab/>
      </w:r>
      <w:r>
        <w:rPr>
          <w:b/>
        </w:rPr>
        <w:t>Inspection and Verification of Completed Books:</w:t>
      </w:r>
    </w:p>
    <w:p>
      <w:pPr>
        <w:numPr>
          <w:ilvl w:val="1"/>
          <w:numId w:val="90"/>
        </w:numPr>
        <w:spacing w:after="60"/>
      </w:pPr>
      <w:r>
        <w:rPr/>
        <w:t>Upon receipt of completed receipt books or during inspection, the Head of the Branch or an authorized officer shall carefully scrutinize the entries.</w:t>
      </w:r>
    </w:p>
    <w:p>
      <w:pPr>
        <w:numPr>
          <w:ilvl w:val="1"/>
          <w:numId w:val="90"/>
        </w:numPr>
        <w:spacing w:after="60"/>
      </w:pPr>
      <w:r>
        <w:rPr/>
        <w:t>The receipts in the book shall be counted to ensure that none have been removed or misused.</w:t>
      </w:r>
    </w:p>
    <w:p>
      <w:pPr>
        <w:numPr>
          <w:ilvl w:val="1"/>
          <w:numId w:val="90"/>
        </w:numPr>
        <w:spacing w:after="60"/>
      </w:pPr>
      <w:r>
        <w:rPr/>
        <w:t>A certificate confirming this verification shall be recorded on the reverse of the last receipt.</w:t>
      </w:r>
    </w:p>
    <w:p>
      <w:pPr>
        <w:tabs>
          <w:tab w:pos="425" w:val="left"/>
        </w:tabs>
        <w:spacing w:after="60"/>
        <w:ind w:left="425" w:hanging="425"/>
      </w:pPr>
      <w:r>
        <w:rPr>
          <w:b/>
        </w:rPr>
        <w:t>7.</w:t>
      </w:r>
      <w:r>
        <w:rPr/>
        <w:tab/>
      </w:r>
      <w:r>
        <w:rPr>
          <w:b/>
        </w:rPr>
        <w:t>Handling of Erasures and Corrections:</w:t>
      </w:r>
    </w:p>
    <w:p>
      <w:pPr>
        <w:numPr>
          <w:ilvl w:val="1"/>
          <w:numId w:val="90"/>
        </w:numPr>
        <w:spacing w:after="60"/>
      </w:pPr>
      <w:r>
        <w:rPr/>
        <w:t>Erasures and corrections in receipt books must be critically examined.</w:t>
      </w:r>
    </w:p>
    <w:p>
      <w:pPr>
        <w:numPr>
          <w:ilvl w:val="1"/>
          <w:numId w:val="90"/>
        </w:numPr>
        <w:spacing w:after="60"/>
      </w:pPr>
      <w:r>
        <w:rPr/>
        <w:t>A report shall be made for any discrepancies.</w:t>
      </w:r>
    </w:p>
    <w:p>
      <w:pPr>
        <w:numPr>
          <w:ilvl w:val="1"/>
          <w:numId w:val="90"/>
        </w:numPr>
        <w:spacing w:after="60"/>
      </w:pPr>
      <w:r>
        <w:rPr/>
        <w:t>Used receipt books shall be kept in the custody of the Head of the Section for safekeeping and proper record.</w:t>
      </w:r>
    </w:p>
    <w:p>
      <w:pPr>
        <w:spacing w:after="0"/>
      </w:pPr>
      <w:r>
        <w:br w:type="page"/>
      </w:r>
    </w:p>
    <w:p>
      <w:pPr>
        <w:pStyle w:val="Heading1"/>
        <w:spacing w:before="0"/>
      </w:pPr>
      <w:r>
        <w:rPr/>
        <w:t>21. Issue of Duplicate Receipts Guidelines</w:t>
      </w:r>
    </w:p>
    <w:p>
      <w:pPr>
        <w:tabs>
          <w:tab w:pos="425" w:val="left"/>
        </w:tabs>
        <w:spacing w:after="60"/>
        <w:ind w:left="425" w:hanging="425"/>
      </w:pPr>
      <w:r>
        <w:rPr>
          <w:b/>
        </w:rPr>
        <w:t>1.</w:t>
      </w:r>
      <w:r>
        <w:rPr/>
        <w:tab/>
      </w:r>
      <w:r>
        <w:rPr>
          <w:b/>
        </w:rPr>
        <w:t>No Duplicate Receipts:</w:t>
      </w:r>
    </w:p>
    <w:p>
      <w:pPr>
        <w:numPr>
          <w:ilvl w:val="1"/>
          <w:numId w:val="90"/>
        </w:numPr>
        <w:spacing w:after="60"/>
      </w:pPr>
      <w:r>
        <w:rPr/>
        <w:t>No duplicate copy of a receipt shall be issued if the original receipt is lost. This policy ensures that no unauthorized or fraudulent duplicate receipts are generated.</w:t>
      </w:r>
    </w:p>
    <w:p>
      <w:pPr>
        <w:tabs>
          <w:tab w:pos="425" w:val="left"/>
        </w:tabs>
        <w:spacing w:after="60"/>
        <w:ind w:left="425" w:hanging="425"/>
      </w:pPr>
      <w:r>
        <w:rPr>
          <w:b/>
        </w:rPr>
        <w:t>2.</w:t>
      </w:r>
      <w:r>
        <w:rPr/>
        <w:tab/>
      </w:r>
      <w:r>
        <w:rPr>
          <w:b/>
        </w:rPr>
        <w:t>Alternative Documentation:</w:t>
      </w:r>
    </w:p>
    <w:p>
      <w:pPr>
        <w:numPr>
          <w:ilvl w:val="1"/>
          <w:numId w:val="90"/>
        </w:numPr>
        <w:spacing w:after="60"/>
      </w:pPr>
      <w:r>
        <w:rPr/>
        <w:t>If there is a necessity for documenting the lost receipt, a certificate may be issued stating:</w:t>
      </w:r>
    </w:p>
    <w:p>
      <w:pPr>
        <w:numPr>
          <w:ilvl w:val="2"/>
          <w:numId w:val="90"/>
        </w:numPr>
        <w:spacing w:after="60"/>
      </w:pPr>
      <w:r>
        <w:rPr/>
        <w:t>The date when the payment was received,</w:t>
      </w:r>
    </w:p>
    <w:p>
      <w:pPr>
        <w:numPr>
          <w:ilvl w:val="2"/>
          <w:numId w:val="90"/>
        </w:numPr>
        <w:spacing w:after="60"/>
      </w:pPr>
      <w:r>
        <w:rPr/>
        <w:t>The amount received,</w:t>
      </w:r>
    </w:p>
    <w:p>
      <w:pPr>
        <w:numPr>
          <w:ilvl w:val="2"/>
          <w:numId w:val="90"/>
        </w:numPr>
        <w:spacing w:after="60"/>
      </w:pPr>
      <w:r>
        <w:rPr/>
        <w:t>The account to which the money was credited,</w:t>
      </w:r>
    </w:p>
    <w:p>
      <w:pPr>
        <w:numPr>
          <w:ilvl w:val="2"/>
          <w:numId w:val="90"/>
        </w:numPr>
        <w:spacing w:after="60"/>
      </w:pPr>
      <w:r>
        <w:rPr/>
        <w:t>The person from whom the payment was received.</w:t>
      </w:r>
    </w:p>
    <w:p>
      <w:pPr>
        <w:numPr>
          <w:ilvl w:val="1"/>
          <w:numId w:val="90"/>
        </w:numPr>
        <w:spacing w:after="60"/>
      </w:pPr>
      <w:r>
        <w:rPr/>
        <w:t>This certificate shall serve as an official confirmation of the payment received on that specified day.</w:t>
      </w:r>
    </w:p>
    <w:p>
      <w:pPr>
        <w:tabs>
          <w:tab w:pos="425" w:val="left"/>
        </w:tabs>
        <w:spacing w:after="60"/>
        <w:ind w:left="425" w:hanging="425"/>
      </w:pPr>
      <w:r>
        <w:rPr>
          <w:b/>
        </w:rPr>
        <w:t>3.</w:t>
      </w:r>
      <w:r>
        <w:rPr/>
        <w:tab/>
      </w:r>
      <w:r>
        <w:rPr>
          <w:b/>
        </w:rPr>
        <w:t>Verification and Inquiry:</w:t>
      </w:r>
    </w:p>
    <w:p>
      <w:pPr>
        <w:numPr>
          <w:ilvl w:val="1"/>
          <w:numId w:val="90"/>
        </w:numPr>
        <w:spacing w:after="60"/>
      </w:pPr>
      <w:r>
        <w:rPr/>
        <w:t>Before issuing such a certificate, the Officer who is responsible for signing or countersigning the certificate must conduct a reasonable inquiry to confirm the correctness of the facts stated in the certificate.</w:t>
      </w:r>
    </w:p>
    <w:p>
      <w:pPr>
        <w:numPr>
          <w:ilvl w:val="1"/>
          <w:numId w:val="90"/>
        </w:numPr>
        <w:spacing w:after="60"/>
      </w:pPr>
      <w:r>
        <w:rPr/>
        <w:t>The Officer must ensure that the payment was genuinely received and that the information provided is accurate.</w:t>
      </w:r>
    </w:p>
    <w:p>
      <w:pPr>
        <w:spacing w:after="0"/>
      </w:pPr>
      <w:r>
        <w:br w:type="page"/>
      </w:r>
    </w:p>
    <w:p>
      <w:pPr>
        <w:pStyle w:val="Heading1"/>
        <w:spacing w:before="0"/>
      </w:pPr>
      <w:r>
        <w:rPr/>
        <w:t>22. General Principles Regarding Expenditure</w:t>
      </w:r>
    </w:p>
    <w:p>
      <w:pPr>
        <w:tabs>
          <w:tab w:pos="425" w:val="left"/>
        </w:tabs>
        <w:spacing w:after="60"/>
        <w:ind w:left="425" w:hanging="425"/>
      </w:pPr>
      <w:r>
        <w:rPr>
          <w:b/>
        </w:rPr>
        <w:t>1.</w:t>
      </w:r>
      <w:r>
        <w:rPr/>
        <w:tab/>
      </w:r>
      <w:r>
        <w:rPr>
          <w:b/>
        </w:rPr>
        <w:t>Budget Provision:</w:t>
      </w:r>
    </w:p>
    <w:p>
      <w:pPr>
        <w:numPr>
          <w:ilvl w:val="1"/>
          <w:numId w:val="90"/>
        </w:numPr>
        <w:spacing w:after="60"/>
      </w:pPr>
      <w:r>
        <w:rPr/>
        <w:t>All expenditures must be within the limits set by the sanctioned budget, ensuring that no expenses exceed the allocated amount under the respective budget heads.</w:t>
      </w:r>
    </w:p>
    <w:p>
      <w:pPr>
        <w:tabs>
          <w:tab w:pos="425" w:val="left"/>
        </w:tabs>
        <w:spacing w:after="60"/>
        <w:ind w:left="425" w:hanging="425"/>
      </w:pPr>
      <w:r>
        <w:rPr>
          <w:b/>
        </w:rPr>
        <w:t>2.</w:t>
      </w:r>
      <w:r>
        <w:rPr/>
        <w:tab/>
      </w:r>
      <w:r>
        <w:rPr>
          <w:b/>
        </w:rPr>
        <w:t>Approval and Sanctioning:</w:t>
      </w:r>
    </w:p>
    <w:p>
      <w:pPr>
        <w:numPr>
          <w:ilvl w:val="1"/>
          <w:numId w:val="90"/>
        </w:numPr>
        <w:spacing w:after="60"/>
      </w:pPr>
      <w:r>
        <w:rPr/>
        <w:t>No expenditure should be incurred that exceeds the provision under the relevant budget head unless prior approval is obtained from the Board or Governing Body for fresh items of expenditure.</w:t>
      </w:r>
    </w:p>
    <w:p>
      <w:pPr>
        <w:numPr>
          <w:ilvl w:val="1"/>
          <w:numId w:val="90"/>
        </w:numPr>
        <w:spacing w:after="60"/>
      </w:pPr>
      <w:r>
        <w:rPr/>
        <w:t>Expenditures must conform to the relevant College Rules.</w:t>
      </w:r>
    </w:p>
    <w:p>
      <w:pPr>
        <w:tabs>
          <w:tab w:pos="425" w:val="left"/>
        </w:tabs>
        <w:spacing w:after="60"/>
        <w:ind w:left="425" w:hanging="425"/>
      </w:pPr>
      <w:r>
        <w:rPr>
          <w:b/>
        </w:rPr>
        <w:t>3.</w:t>
      </w:r>
      <w:r>
        <w:rPr/>
        <w:tab/>
      </w:r>
      <w:r>
        <w:rPr>
          <w:b/>
        </w:rPr>
        <w:t>Authority and Vigilance:</w:t>
      </w:r>
    </w:p>
    <w:p>
      <w:pPr>
        <w:numPr>
          <w:ilvl w:val="1"/>
          <w:numId w:val="90"/>
        </w:numPr>
        <w:spacing w:after="60"/>
      </w:pPr>
      <w:r>
        <w:rPr/>
        <w:t>Every officer must exercise vigilance similar to that of a prudent individual in managing the College funds.</w:t>
      </w:r>
    </w:p>
    <w:p>
      <w:pPr>
        <w:numPr>
          <w:ilvl w:val="1"/>
          <w:numId w:val="90"/>
        </w:numPr>
        <w:spacing w:after="60"/>
      </w:pPr>
      <w:r>
        <w:rPr/>
        <w:t>No officer shall approve or sanction an expenditure that directly or indirectly benefits their personal interests.</w:t>
      </w:r>
    </w:p>
    <w:p>
      <w:pPr>
        <w:numPr>
          <w:ilvl w:val="1"/>
          <w:numId w:val="90"/>
        </w:numPr>
        <w:spacing w:after="60"/>
      </w:pPr>
      <w:r>
        <w:rPr/>
        <w:t>Officers must avoid approving travel or other allowances in such a way that recipients derive personal profit from them.</w:t>
      </w:r>
    </w:p>
    <w:p>
      <w:pPr>
        <w:tabs>
          <w:tab w:pos="425" w:val="left"/>
        </w:tabs>
        <w:spacing w:after="60"/>
        <w:ind w:left="425" w:hanging="425"/>
      </w:pPr>
      <w:r>
        <w:rPr>
          <w:b/>
        </w:rPr>
        <w:t>4.</w:t>
      </w:r>
      <w:r>
        <w:rPr/>
        <w:tab/>
      </w:r>
      <w:r>
        <w:rPr>
          <w:b/>
        </w:rPr>
        <w:t>Liability Beyond Sanction:</w:t>
      </w:r>
    </w:p>
    <w:p>
      <w:pPr>
        <w:numPr>
          <w:ilvl w:val="1"/>
          <w:numId w:val="90"/>
        </w:numPr>
        <w:spacing w:after="60"/>
      </w:pPr>
      <w:r>
        <w:rPr/>
        <w:t>Any officer with financial delegation should not incur expenditure likely to exceed their powers of sanction.</w:t>
      </w:r>
    </w:p>
    <w:p>
      <w:pPr>
        <w:numPr>
          <w:ilvl w:val="1"/>
          <w:numId w:val="90"/>
        </w:numPr>
        <w:spacing w:after="60"/>
      </w:pPr>
      <w:r>
        <w:rPr/>
        <w:t>The principal is the only officer allowed to incur liabilities beyond the sanctioned budget with prior approval for additional funds. Officers exceeding the authorized budget will be held personally responsible.</w:t>
      </w:r>
    </w:p>
    <w:p>
      <w:pPr>
        <w:tabs>
          <w:tab w:pos="425" w:val="left"/>
        </w:tabs>
        <w:spacing w:after="60"/>
        <w:ind w:left="425" w:hanging="425"/>
      </w:pPr>
      <w:r>
        <w:rPr>
          <w:b/>
        </w:rPr>
        <w:t>5.</w:t>
      </w:r>
      <w:r>
        <w:rPr/>
        <w:tab/>
      </w:r>
      <w:r>
        <w:rPr>
          <w:b/>
        </w:rPr>
        <w:t>Funds Management:</w:t>
      </w:r>
    </w:p>
    <w:p>
      <w:pPr>
        <w:numPr>
          <w:ilvl w:val="1"/>
          <w:numId w:val="90"/>
        </w:numPr>
        <w:spacing w:after="60"/>
      </w:pPr>
      <w:r>
        <w:rPr/>
        <w:t>Money should only be drawn from the bank when necessary for immediate disbursement. Drawing money unnecessarily and keeping it in the chest to avoid lapse of funds is not allowed.</w:t>
      </w:r>
    </w:p>
    <w:p>
      <w:pPr>
        <w:numPr>
          <w:ilvl w:val="1"/>
          <w:numId w:val="90"/>
        </w:numPr>
        <w:spacing w:after="60"/>
      </w:pPr>
      <w:r>
        <w:rPr/>
        <w:t>All sums received should be paid immediately into the bank and not used directly for departmental expenses.</w:t>
      </w:r>
    </w:p>
    <w:p>
      <w:pPr>
        <w:numPr>
          <w:ilvl w:val="1"/>
          <w:numId w:val="90"/>
        </w:numPr>
        <w:spacing w:after="60"/>
      </w:pPr>
      <w:r>
        <w:rPr/>
        <w:t>Any indisputable payable amount should never be left unpaid and should be processed promptly.</w:t>
      </w:r>
    </w:p>
    <w:p>
      <w:pPr>
        <w:tabs>
          <w:tab w:pos="425" w:val="left"/>
        </w:tabs>
        <w:spacing w:after="60"/>
        <w:ind w:left="425" w:hanging="425"/>
      </w:pPr>
      <w:r>
        <w:rPr>
          <w:b/>
        </w:rPr>
        <w:t>6.</w:t>
      </w:r>
      <w:r>
        <w:rPr/>
        <w:tab/>
      </w:r>
      <w:r>
        <w:rPr>
          <w:b/>
        </w:rPr>
        <w:t>Record Keeping and Documentation:</w:t>
      </w:r>
    </w:p>
    <w:p>
      <w:pPr>
        <w:numPr>
          <w:ilvl w:val="1"/>
          <w:numId w:val="90"/>
        </w:numPr>
        <w:spacing w:after="60"/>
      </w:pPr>
      <w:r>
        <w:rPr/>
        <w:t>Bills, vouchers, and receipts must include full details such as the amount, the payee’s name, and the nature of the claim.</w:t>
      </w:r>
    </w:p>
    <w:p>
      <w:pPr>
        <w:numPr>
          <w:ilvl w:val="1"/>
          <w:numId w:val="90"/>
        </w:numPr>
        <w:spacing w:after="60"/>
      </w:pPr>
      <w:r>
        <w:rPr/>
        <w:t>Bills should be written clearly, with amounts in both figures and words. For amounts in rupees, ensure the term "only" is added if there are no paise.</w:t>
      </w:r>
    </w:p>
    <w:p>
      <w:pPr>
        <w:numPr>
          <w:ilvl w:val="1"/>
          <w:numId w:val="90"/>
        </w:numPr>
        <w:spacing w:after="60"/>
      </w:pPr>
      <w:r>
        <w:rPr/>
        <w:t>Corrections to amounts in bills should be made in red ink and attested by the relevant officer.</w:t>
      </w:r>
    </w:p>
    <w:p>
      <w:pPr>
        <w:numPr>
          <w:ilvl w:val="1"/>
          <w:numId w:val="90"/>
        </w:numPr>
        <w:spacing w:after="60"/>
      </w:pPr>
      <w:r>
        <w:rPr/>
        <w:t>Special orders must be quoted in the bill if they pertain to the charges incurred, and supporting sanction orders must be attached and certified.</w:t>
      </w:r>
    </w:p>
    <w:p>
      <w:pPr>
        <w:tabs>
          <w:tab w:pos="425" w:val="left"/>
        </w:tabs>
        <w:spacing w:after="60"/>
        <w:ind w:left="425" w:hanging="425"/>
      </w:pPr>
      <w:r>
        <w:rPr>
          <w:b/>
        </w:rPr>
        <w:t>7.</w:t>
      </w:r>
      <w:r>
        <w:rPr/>
        <w:tab/>
      </w:r>
      <w:r>
        <w:rPr>
          <w:b/>
        </w:rPr>
        <w:t>Voucher and Receipt Management:</w:t>
      </w:r>
    </w:p>
    <w:p>
      <w:pPr>
        <w:numPr>
          <w:ilvl w:val="1"/>
          <w:numId w:val="90"/>
        </w:numPr>
        <w:spacing w:after="60"/>
      </w:pPr>
      <w:r>
        <w:rPr/>
        <w:t>Each voucher should include an acknowledgment of payment signed by the payee. No payment should be made without this acknowledgment.</w:t>
      </w:r>
    </w:p>
    <w:p>
      <w:pPr>
        <w:numPr>
          <w:ilvl w:val="1"/>
          <w:numId w:val="90"/>
        </w:numPr>
        <w:spacing w:after="60"/>
      </w:pPr>
      <w:r>
        <w:rPr/>
        <w:t>Rubber stamps or facsimile signatures are not acceptable for signing payments; manual signatures are required.</w:t>
      </w:r>
    </w:p>
    <w:p>
      <w:pPr>
        <w:numPr>
          <w:ilvl w:val="1"/>
          <w:numId w:val="90"/>
        </w:numPr>
        <w:spacing w:after="60"/>
      </w:pPr>
      <w:r>
        <w:rPr/>
        <w:t>In cases where vouchers are lost, a certificate of payment should be prepared and signed by the disbursing officer, with full details of the claim provided.</w:t>
      </w:r>
    </w:p>
    <w:p>
      <w:pPr>
        <w:tabs>
          <w:tab w:pos="425" w:val="left"/>
        </w:tabs>
        <w:spacing w:after="60"/>
        <w:ind w:left="425" w:hanging="425"/>
      </w:pPr>
      <w:r>
        <w:rPr>
          <w:b/>
        </w:rPr>
        <w:t>8.</w:t>
      </w:r>
      <w:r>
        <w:rPr/>
        <w:tab/>
      </w:r>
      <w:r>
        <w:rPr>
          <w:b/>
        </w:rPr>
        <w:t>Handling Lost Documents:</w:t>
      </w:r>
    </w:p>
    <w:p>
      <w:pPr>
        <w:numPr>
          <w:ilvl w:val="1"/>
          <w:numId w:val="90"/>
        </w:numPr>
        <w:spacing w:after="60"/>
      </w:pPr>
      <w:r>
        <w:rPr/>
        <w:t>No duplicate receipts will be issued for lost documents. A certificate of payment can be issued after reasonable inquiry to verify the facts, specifying the date and amount paid.</w:t>
      </w:r>
    </w:p>
    <w:p>
      <w:pPr>
        <w:spacing w:after="0"/>
      </w:pPr>
      <w:r>
        <w:br w:type="page"/>
      </w:r>
    </w:p>
    <w:p>
      <w:pPr>
        <w:pStyle w:val="Heading1"/>
        <w:spacing w:before="0"/>
      </w:pPr>
      <w:r>
        <w:rPr/>
        <w:t>23. Presentation of Bills</w:t>
      </w:r>
    </w:p>
    <w:p>
      <w:pPr>
        <w:tabs>
          <w:tab w:pos="425" w:val="left"/>
        </w:tabs>
        <w:spacing w:after="60"/>
        <w:ind w:left="425" w:hanging="425"/>
      </w:pPr>
      <w:r>
        <w:rPr>
          <w:b/>
        </w:rPr>
        <w:t>1.</w:t>
      </w:r>
      <w:r>
        <w:rPr/>
        <w:tab/>
      </w:r>
      <w:r>
        <w:rPr>
          <w:b/>
        </w:rPr>
        <w:t>Examination and Verification:</w:t>
      </w:r>
    </w:p>
    <w:p>
      <w:pPr>
        <w:numPr>
          <w:ilvl w:val="1"/>
          <w:numId w:val="90"/>
        </w:numPr>
        <w:spacing w:after="60"/>
      </w:pPr>
      <w:r>
        <w:rPr/>
        <w:t>All bills must be submitted to the Accounts Branch for verification and payment.</w:t>
      </w:r>
    </w:p>
    <w:p>
      <w:pPr>
        <w:numPr>
          <w:ilvl w:val="1"/>
          <w:numId w:val="90"/>
        </w:numPr>
        <w:spacing w:after="60"/>
      </w:pPr>
      <w:r>
        <w:rPr/>
        <w:t>The bills will be reviewed by an officer in charge of the pre-check process to ensure:</w:t>
      </w:r>
    </w:p>
    <w:p>
      <w:pPr>
        <w:numPr>
          <w:ilvl w:val="2"/>
          <w:numId w:val="90"/>
        </w:numPr>
        <w:spacing w:after="60"/>
      </w:pPr>
      <w:r>
        <w:rPr/>
        <w:t>The claim is admissible under College rules and budgetary provisions.</w:t>
      </w:r>
    </w:p>
    <w:p>
      <w:pPr>
        <w:numPr>
          <w:ilvl w:val="2"/>
          <w:numId w:val="90"/>
        </w:numPr>
        <w:spacing w:after="60"/>
      </w:pPr>
      <w:r>
        <w:rPr/>
        <w:t>The authority for the claim is proper (e.g., approval from the relevant authority).</w:t>
      </w:r>
    </w:p>
    <w:p>
      <w:pPr>
        <w:numPr>
          <w:ilvl w:val="2"/>
          <w:numId w:val="90"/>
        </w:numPr>
        <w:spacing w:after="60"/>
      </w:pPr>
      <w:r>
        <w:rPr/>
        <w:t>The signature on the bill is authentic and in proper order.</w:t>
      </w:r>
    </w:p>
    <w:p>
      <w:pPr>
        <w:numPr>
          <w:ilvl w:val="2"/>
          <w:numId w:val="90"/>
        </w:numPr>
        <w:spacing w:after="60"/>
      </w:pPr>
      <w:r>
        <w:rPr/>
        <w:t>The receipt is a valid legal acquittance confirming the transaction.</w:t>
      </w:r>
    </w:p>
    <w:p>
      <w:pPr>
        <w:numPr>
          <w:ilvl w:val="1"/>
          <w:numId w:val="90"/>
        </w:numPr>
        <w:spacing w:after="60"/>
      </w:pPr>
      <w:r>
        <w:rPr/>
        <w:t>Once verified, an order to pay shall be issued for the bill. The order should specify the amount payable in both words and figures.</w:t>
      </w:r>
    </w:p>
    <w:p>
      <w:pPr>
        <w:tabs>
          <w:tab w:pos="425" w:val="left"/>
        </w:tabs>
        <w:spacing w:after="60"/>
        <w:ind w:left="425" w:hanging="425"/>
      </w:pPr>
      <w:r>
        <w:rPr>
          <w:b/>
        </w:rPr>
        <w:t>2.</w:t>
      </w:r>
      <w:r>
        <w:rPr/>
        <w:tab/>
      </w:r>
      <w:r>
        <w:rPr>
          <w:b/>
        </w:rPr>
        <w:t>Voucher Number and Cash Book Entry:</w:t>
      </w:r>
    </w:p>
    <w:p>
      <w:pPr>
        <w:numPr>
          <w:ilvl w:val="1"/>
          <w:numId w:val="90"/>
        </w:numPr>
        <w:spacing w:after="60"/>
      </w:pPr>
      <w:r>
        <w:rPr/>
        <w:t>After the bill is passed for payment, it shall be assigned a voucher number.</w:t>
      </w:r>
    </w:p>
    <w:p>
      <w:pPr>
        <w:numPr>
          <w:ilvl w:val="1"/>
          <w:numId w:val="90"/>
        </w:numPr>
        <w:spacing w:after="60"/>
      </w:pPr>
      <w:r>
        <w:rPr/>
        <w:t>The bill, along with its voucher number, shall be entered into the cash book before preparing the cheque for payment. This ensures proper documentation and tracking of the payment.</w:t>
      </w:r>
    </w:p>
    <w:p>
      <w:pPr>
        <w:spacing w:after="0"/>
      </w:pPr>
      <w:r>
        <w:br w:type="page"/>
      </w:r>
    </w:p>
    <w:p>
      <w:pPr>
        <w:pStyle w:val="Heading1"/>
        <w:spacing w:before="0"/>
      </w:pPr>
      <w:r>
        <w:rPr/>
        <w:t>24. Draw of Cheques</w:t>
      </w:r>
    </w:p>
    <w:p>
      <w:pPr>
        <w:tabs>
          <w:tab w:pos="425" w:val="left"/>
        </w:tabs>
        <w:spacing w:after="60"/>
        <w:ind w:left="425" w:hanging="425"/>
      </w:pPr>
      <w:r>
        <w:rPr>
          <w:b/>
        </w:rPr>
        <w:t>1.</w:t>
      </w:r>
      <w:r>
        <w:rPr/>
        <w:tab/>
      </w:r>
      <w:r>
        <w:rPr>
          <w:b/>
        </w:rPr>
        <w:t>Cheque Signing and Bill Endorsement:</w:t>
      </w:r>
    </w:p>
    <w:p>
      <w:pPr>
        <w:numPr>
          <w:ilvl w:val="1"/>
          <w:numId w:val="90"/>
        </w:numPr>
        <w:spacing w:after="60"/>
      </w:pPr>
      <w:r>
        <w:rPr/>
        <w:t>A Cheque will be signed by the Finance Officer in favor of the party to whom the payment is due.</w:t>
      </w:r>
    </w:p>
    <w:p>
      <w:pPr>
        <w:numPr>
          <w:ilvl w:val="1"/>
          <w:numId w:val="90"/>
        </w:numPr>
        <w:spacing w:after="60"/>
      </w:pPr>
      <w:r>
        <w:rPr/>
        <w:t>After signing, an endorsement of payment will be written on the bill, indicating the cheque number and date on which the claim is paid.</w:t>
      </w:r>
    </w:p>
    <w:p>
      <w:pPr>
        <w:tabs>
          <w:tab w:pos="425" w:val="left"/>
        </w:tabs>
        <w:spacing w:after="60"/>
        <w:ind w:left="425" w:hanging="425"/>
      </w:pPr>
      <w:r>
        <w:rPr>
          <w:b/>
        </w:rPr>
        <w:t>2.</w:t>
      </w:r>
      <w:r>
        <w:rPr/>
        <w:tab/>
      </w:r>
      <w:r>
        <w:rPr>
          <w:b/>
        </w:rPr>
        <w:t>Cheque Crossing and Payee Specifications:</w:t>
      </w:r>
    </w:p>
    <w:p>
      <w:pPr>
        <w:numPr>
          <w:ilvl w:val="1"/>
          <w:numId w:val="90"/>
        </w:numPr>
        <w:spacing w:after="60"/>
      </w:pPr>
      <w:r>
        <w:rPr/>
        <w:t>All cheques shall ordinarily be crossed, making them payable to order only.</w:t>
      </w:r>
    </w:p>
    <w:p>
      <w:pPr>
        <w:numPr>
          <w:ilvl w:val="1"/>
          <w:numId w:val="90"/>
        </w:numPr>
        <w:spacing w:after="60"/>
      </w:pPr>
      <w:r>
        <w:rPr/>
        <w:t>Each cheque shall have the notation "Under Rupees only" across it, showing the next higher amount in rupees that the cheque is made payable for.</w:t>
      </w:r>
    </w:p>
    <w:p>
      <w:pPr>
        <w:tabs>
          <w:tab w:pos="425" w:val="left"/>
        </w:tabs>
        <w:spacing w:after="60"/>
        <w:ind w:left="425" w:hanging="425"/>
      </w:pPr>
      <w:r>
        <w:rPr>
          <w:b/>
        </w:rPr>
        <w:t>3.</w:t>
      </w:r>
      <w:r>
        <w:rPr/>
        <w:tab/>
      </w:r>
      <w:r>
        <w:rPr>
          <w:b/>
        </w:rPr>
        <w:t>Cheque Signing Restrictions:</w:t>
      </w:r>
    </w:p>
    <w:p>
      <w:pPr>
        <w:numPr>
          <w:ilvl w:val="1"/>
          <w:numId w:val="90"/>
        </w:numPr>
        <w:spacing w:after="60"/>
      </w:pPr>
      <w:r>
        <w:rPr/>
        <w:t>No cheque shall be signed unless it is required for immediate delivery to the payee or drawn in favor of a person other than the actual payee.</w:t>
      </w:r>
    </w:p>
    <w:p>
      <w:pPr>
        <w:tabs>
          <w:tab w:pos="425" w:val="left"/>
        </w:tabs>
        <w:spacing w:after="60"/>
        <w:ind w:left="425" w:hanging="425"/>
      </w:pPr>
      <w:r>
        <w:rPr>
          <w:b/>
        </w:rPr>
        <w:t>4.</w:t>
      </w:r>
      <w:r>
        <w:rPr/>
        <w:tab/>
      </w:r>
      <w:r>
        <w:rPr>
          <w:b/>
        </w:rPr>
        <w:t>Corrections and Alterations:</w:t>
      </w:r>
    </w:p>
    <w:p>
      <w:pPr>
        <w:numPr>
          <w:ilvl w:val="1"/>
          <w:numId w:val="90"/>
        </w:numPr>
        <w:spacing w:after="60"/>
      </w:pPr>
      <w:r>
        <w:rPr/>
        <w:t>Any corrections or alterations made on cheques must be attested by the drawing officer with their full signature.</w:t>
      </w:r>
    </w:p>
    <w:p>
      <w:pPr>
        <w:tabs>
          <w:tab w:pos="425" w:val="left"/>
        </w:tabs>
        <w:spacing w:after="60"/>
        <w:ind w:left="425" w:hanging="425"/>
      </w:pPr>
      <w:r>
        <w:rPr>
          <w:b/>
        </w:rPr>
        <w:t>5.</w:t>
      </w:r>
      <w:r>
        <w:rPr/>
        <w:tab/>
      </w:r>
      <w:r>
        <w:rPr>
          <w:b/>
        </w:rPr>
        <w:t>Cash Payments via Cheques:</w:t>
      </w:r>
    </w:p>
    <w:p>
      <w:pPr>
        <w:numPr>
          <w:ilvl w:val="1"/>
          <w:numId w:val="90"/>
        </w:numPr>
        <w:spacing w:after="60"/>
      </w:pPr>
      <w:r>
        <w:rPr/>
        <w:t>Payments will generally be made by cheques. However, in cases where claims are required to be paid in cash, a cheque may be issued in favor of the Drawing Officer to facilitate the payment.</w:t>
      </w:r>
    </w:p>
    <w:p>
      <w:pPr>
        <w:numPr>
          <w:ilvl w:val="1"/>
          <w:numId w:val="90"/>
        </w:numPr>
        <w:spacing w:after="60"/>
      </w:pPr>
      <w:r>
        <w:rPr/>
        <w:t>Any amounts drawn via cheques and the subsequent cash payments must be recorded properly in Petty Cash Books and Acquittance Registers.</w:t>
      </w:r>
    </w:p>
    <w:p>
      <w:pPr>
        <w:tabs>
          <w:tab w:pos="425" w:val="left"/>
        </w:tabs>
        <w:spacing w:after="60"/>
        <w:ind w:left="425" w:hanging="425"/>
      </w:pPr>
      <w:r>
        <w:rPr>
          <w:b/>
        </w:rPr>
        <w:t>6.</w:t>
      </w:r>
      <w:r>
        <w:rPr/>
        <w:tab/>
      </w:r>
      <w:r>
        <w:rPr>
          <w:b/>
        </w:rPr>
        <w:t>Imprest/Advance Payments:</w:t>
      </w:r>
    </w:p>
    <w:p>
      <w:pPr>
        <w:numPr>
          <w:ilvl w:val="1"/>
          <w:numId w:val="90"/>
        </w:numPr>
        <w:spacing w:after="60"/>
      </w:pPr>
      <w:r>
        <w:rPr/>
        <w:t>For payments made from imprest/advances taken by Drawing Officers, the relevant vouchers will be examined by the Assistant Registrar in the concerned branch and admitted for payment from the imprest/advance.</w:t>
      </w:r>
    </w:p>
    <w:p>
      <w:pPr>
        <w:spacing w:after="0"/>
      </w:pPr>
      <w:r>
        <w:br w:type="page"/>
      </w:r>
    </w:p>
    <w:p>
      <w:pPr>
        <w:pStyle w:val="Heading1"/>
        <w:spacing w:before="0"/>
      </w:pPr>
      <w:r>
        <w:rPr/>
        <w:t>25. Cheque Books Management</w:t>
      </w:r>
    </w:p>
    <w:p>
      <w:pPr>
        <w:tabs>
          <w:tab w:pos="425" w:val="left"/>
        </w:tabs>
        <w:spacing w:after="60"/>
        <w:ind w:left="425" w:hanging="425"/>
      </w:pPr>
      <w:r>
        <w:rPr>
          <w:b/>
        </w:rPr>
        <w:t>1.</w:t>
      </w:r>
      <w:r>
        <w:rPr/>
        <w:tab/>
      </w:r>
      <w:r>
        <w:rPr>
          <w:b/>
        </w:rPr>
        <w:t>Custody of Cheque Books:</w:t>
      </w:r>
    </w:p>
    <w:p>
      <w:pPr>
        <w:numPr>
          <w:ilvl w:val="1"/>
          <w:numId w:val="90"/>
        </w:numPr>
        <w:spacing w:after="60"/>
      </w:pPr>
      <w:r>
        <w:rPr/>
        <w:t>Cheque books shall be kept under lock and key in the personal custody of the cheque-drawing Officer, Accounts Officer (AO), or a staff member entrusted with writing cheques.</w:t>
      </w:r>
    </w:p>
    <w:p>
      <w:pPr>
        <w:tabs>
          <w:tab w:pos="425" w:val="left"/>
        </w:tabs>
        <w:spacing w:after="60"/>
        <w:ind w:left="425" w:hanging="425"/>
      </w:pPr>
      <w:r>
        <w:rPr>
          <w:b/>
        </w:rPr>
        <w:t>2.</w:t>
      </w:r>
      <w:r>
        <w:rPr/>
        <w:tab/>
      </w:r>
      <w:r>
        <w:rPr>
          <w:b/>
        </w:rPr>
        <w:t>Stock Account Maintenance:</w:t>
      </w:r>
    </w:p>
    <w:p>
      <w:pPr>
        <w:numPr>
          <w:ilvl w:val="1"/>
          <w:numId w:val="90"/>
        </w:numPr>
        <w:spacing w:after="60"/>
      </w:pPr>
      <w:r>
        <w:rPr/>
        <w:t>The designated officer must maintain a Stock Account for all cheque books to ensure proper tracking and accountability.</w:t>
      </w:r>
    </w:p>
    <w:p>
      <w:pPr>
        <w:tabs>
          <w:tab w:pos="425" w:val="left"/>
        </w:tabs>
        <w:spacing w:after="60"/>
        <w:ind w:left="425" w:hanging="425"/>
      </w:pPr>
      <w:r>
        <w:rPr>
          <w:b/>
        </w:rPr>
        <w:t>3.</w:t>
      </w:r>
      <w:r>
        <w:rPr/>
        <w:tab/>
      </w:r>
      <w:r>
        <w:rPr>
          <w:b/>
        </w:rPr>
        <w:t>Receipt of Cheque Books:</w:t>
      </w:r>
    </w:p>
    <w:p>
      <w:pPr>
        <w:numPr>
          <w:ilvl w:val="1"/>
          <w:numId w:val="90"/>
        </w:numPr>
        <w:spacing w:after="60"/>
      </w:pPr>
      <w:r>
        <w:rPr/>
        <w:t>Upon receiving cheque books from the bank, the receipt must be recorded in the Stock Account.</w:t>
      </w:r>
    </w:p>
    <w:p>
      <w:pPr>
        <w:numPr>
          <w:ilvl w:val="1"/>
          <w:numId w:val="90"/>
        </w:numPr>
        <w:spacing w:after="60"/>
      </w:pPr>
      <w:r>
        <w:rPr/>
        <w:t>The cheque forms should be carefully counted, and a certificate of count must be recorded on the fly leaf of the cheque book by the drawing officer. The certificate should read:</w:t>
      </w:r>
    </w:p>
    <w:p>
      <w:pPr>
        <w:numPr>
          <w:ilvl w:val="1"/>
          <w:numId w:val="90"/>
        </w:numPr>
        <w:spacing w:after="60"/>
      </w:pPr>
      <w:r>
        <w:rPr/>
        <w:t>"Certified that I have personally counted the cheque forms, and the book contains [Number] Forms Nos."</w:t>
      </w:r>
    </w:p>
    <w:p>
      <w:pPr>
        <w:tabs>
          <w:tab w:pos="425" w:val="left"/>
        </w:tabs>
        <w:spacing w:after="60"/>
        <w:ind w:left="425" w:hanging="425"/>
      </w:pPr>
      <w:r>
        <w:rPr>
          <w:b/>
        </w:rPr>
        <w:t>4.</w:t>
      </w:r>
      <w:r>
        <w:rPr/>
        <w:tab/>
      </w:r>
      <w:r>
        <w:rPr>
          <w:b/>
        </w:rPr>
        <w:t>Use of Cheque Books:</w:t>
      </w:r>
    </w:p>
    <w:p>
      <w:pPr>
        <w:numPr>
          <w:ilvl w:val="1"/>
          <w:numId w:val="90"/>
        </w:numPr>
        <w:spacing w:after="60"/>
      </w:pPr>
      <w:r>
        <w:rPr/>
        <w:t>No more than one cheque book should be brought into use at the same time unless the situation demands the issuance of cheques in excess of what a single book can accommodate.</w:t>
      </w:r>
    </w:p>
    <w:p>
      <w:pPr>
        <w:spacing w:after="0"/>
      </w:pPr>
      <w:r>
        <w:br w:type="page"/>
      </w:r>
    </w:p>
    <w:p>
      <w:pPr>
        <w:pStyle w:val="Heading1"/>
        <w:spacing w:before="0"/>
      </w:pPr>
      <w:r>
        <w:rPr/>
        <w:t>26. Currency of Cheques</w:t>
      </w:r>
    </w:p>
    <w:p>
      <w:pPr>
        <w:tabs>
          <w:tab w:pos="425" w:val="left"/>
        </w:tabs>
        <w:spacing w:after="60"/>
        <w:ind w:left="425" w:hanging="425"/>
      </w:pPr>
      <w:r>
        <w:rPr>
          <w:b/>
        </w:rPr>
        <w:t>1.</w:t>
      </w:r>
      <w:r>
        <w:rPr/>
        <w:tab/>
      </w:r>
      <w:r>
        <w:rPr>
          <w:b/>
        </w:rPr>
        <w:t>Expired Cheques:</w:t>
      </w:r>
    </w:p>
    <w:p>
      <w:pPr>
        <w:numPr>
          <w:ilvl w:val="1"/>
          <w:numId w:val="90"/>
        </w:numPr>
        <w:spacing w:after="60"/>
      </w:pPr>
      <w:r>
        <w:rPr/>
        <w:t>If the currency of a cheque expires due to it not being presented within the prescribed time, the cheque may still be re-dated upon presentation by the payee.</w:t>
      </w:r>
    </w:p>
    <w:p>
      <w:pPr>
        <w:tabs>
          <w:tab w:pos="425" w:val="left"/>
        </w:tabs>
        <w:spacing w:after="60"/>
        <w:ind w:left="425" w:hanging="425"/>
      </w:pPr>
      <w:r>
        <w:rPr>
          <w:b/>
        </w:rPr>
        <w:t>2.</w:t>
      </w:r>
      <w:r>
        <w:rPr/>
        <w:tab/>
      </w:r>
      <w:r>
        <w:rPr>
          <w:b/>
        </w:rPr>
        <w:t>Re-dating Process:</w:t>
      </w:r>
    </w:p>
    <w:p>
      <w:pPr>
        <w:numPr>
          <w:ilvl w:val="1"/>
          <w:numId w:val="90"/>
        </w:numPr>
        <w:spacing w:after="60"/>
      </w:pPr>
      <w:r>
        <w:rPr/>
        <w:t>The cheque must be found to be in order in all other respects (e.g., proper signatures, amounts, etc.).</w:t>
      </w:r>
    </w:p>
    <w:p>
      <w:pPr>
        <w:numPr>
          <w:ilvl w:val="1"/>
          <w:numId w:val="90"/>
        </w:numPr>
        <w:spacing w:after="60"/>
      </w:pPr>
      <w:r>
        <w:rPr/>
        <w:t>The corrections in dates shall be attested by the full dated signature of the issuing authority.</w:t>
      </w:r>
    </w:p>
    <w:p>
      <w:pPr>
        <w:tabs>
          <w:tab w:pos="425" w:val="left"/>
        </w:tabs>
        <w:spacing w:after="60"/>
        <w:ind w:left="425" w:hanging="425"/>
      </w:pPr>
      <w:r>
        <w:rPr>
          <w:b/>
        </w:rPr>
        <w:t>3.</w:t>
      </w:r>
      <w:r>
        <w:rPr/>
        <w:tab/>
      </w:r>
      <w:r>
        <w:rPr>
          <w:b/>
        </w:rPr>
        <w:t>Record of Changes:</w:t>
      </w:r>
    </w:p>
    <w:p>
      <w:pPr>
        <w:numPr>
          <w:ilvl w:val="1"/>
          <w:numId w:val="90"/>
        </w:numPr>
        <w:spacing w:after="60"/>
      </w:pPr>
      <w:r>
        <w:rPr/>
        <w:t>A note stating that the date was corrected should be recorded against the original entry in the Cash Book, ensuring proper tracking and documentation of the adjustment.</w:t>
      </w:r>
    </w:p>
    <w:p>
      <w:pPr>
        <w:spacing w:after="0"/>
      </w:pPr>
      <w:r>
        <w:br w:type="page"/>
      </w:r>
    </w:p>
    <w:p>
      <w:pPr>
        <w:pStyle w:val="Heading1"/>
        <w:spacing w:before="0"/>
      </w:pPr>
      <w:r>
        <w:rPr/>
        <w:t>27. Cancelled Cheques</w:t>
      </w:r>
    </w:p>
    <w:p>
      <w:pPr>
        <w:tabs>
          <w:tab w:pos="425" w:val="left"/>
        </w:tabs>
        <w:spacing w:after="60"/>
        <w:ind w:left="425" w:hanging="425"/>
      </w:pPr>
      <w:r>
        <w:rPr>
          <w:b/>
        </w:rPr>
        <w:t>1.</w:t>
      </w:r>
      <w:r>
        <w:rPr/>
        <w:tab/>
      </w:r>
      <w:r>
        <w:rPr>
          <w:b/>
        </w:rPr>
        <w:t>Recording of Cancellation:</w:t>
      </w:r>
    </w:p>
    <w:p>
      <w:pPr>
        <w:numPr>
          <w:ilvl w:val="1"/>
          <w:numId w:val="90"/>
        </w:numPr>
        <w:spacing w:after="60"/>
      </w:pPr>
      <w:r>
        <w:rPr/>
        <w:t>When a cheque is cancelled, the fact of cancellation, along with the number and date of the new cheque, should be recorded on the counter-foil of the cancelled cheque.</w:t>
      </w:r>
    </w:p>
    <w:p>
      <w:pPr>
        <w:numPr>
          <w:ilvl w:val="1"/>
          <w:numId w:val="90"/>
        </w:numPr>
        <w:spacing w:after="60"/>
      </w:pPr>
      <w:r>
        <w:rPr/>
        <w:t>Conversely, the number and date of the cancelled cheque should be noted on the counter-foil of the new cheque.</w:t>
      </w:r>
    </w:p>
    <w:p>
      <w:pPr>
        <w:tabs>
          <w:tab w:pos="425" w:val="left"/>
        </w:tabs>
        <w:spacing w:after="60"/>
        <w:ind w:left="425" w:hanging="425"/>
      </w:pPr>
      <w:r>
        <w:rPr>
          <w:b/>
        </w:rPr>
        <w:t>2.</w:t>
      </w:r>
      <w:r>
        <w:rPr/>
        <w:tab/>
      </w:r>
      <w:r>
        <w:rPr>
          <w:b/>
        </w:rPr>
        <w:t>Retention and Destruction:</w:t>
      </w:r>
    </w:p>
    <w:p>
      <w:pPr>
        <w:numPr>
          <w:ilvl w:val="1"/>
          <w:numId w:val="90"/>
        </w:numPr>
        <w:spacing w:after="60"/>
      </w:pPr>
      <w:r>
        <w:rPr/>
        <w:t>The cancelled cheque should be carefully retained and attached to its counter-foil until the accounts for the relevant period have been audited.</w:t>
      </w:r>
    </w:p>
    <w:p>
      <w:pPr>
        <w:numPr>
          <w:ilvl w:val="1"/>
          <w:numId w:val="90"/>
        </w:numPr>
        <w:spacing w:after="60"/>
      </w:pPr>
      <w:r>
        <w:rPr/>
        <w:t>After the audit, the cancelled cheque can be destroyed to ensure it is not misused.</w:t>
      </w:r>
    </w:p>
    <w:p>
      <w:pPr>
        <w:tabs>
          <w:tab w:pos="425" w:val="left"/>
        </w:tabs>
        <w:spacing w:after="60"/>
        <w:ind w:left="425" w:hanging="425"/>
      </w:pPr>
      <w:r>
        <w:rPr>
          <w:b/>
        </w:rPr>
        <w:t>3.</w:t>
      </w:r>
      <w:r>
        <w:rPr/>
        <w:tab/>
      </w:r>
      <w:r>
        <w:rPr>
          <w:b/>
        </w:rPr>
        <w:t>Handling Entries in Cash Book and Registers:</w:t>
      </w:r>
    </w:p>
    <w:p>
      <w:pPr>
        <w:numPr>
          <w:ilvl w:val="1"/>
          <w:numId w:val="90"/>
        </w:numPr>
        <w:spacing w:after="60"/>
      </w:pPr>
      <w:r>
        <w:rPr>
          <w:b/>
        </w:rPr>
        <w:t>Before the Cash Book is Closed:</w:t>
      </w:r>
    </w:p>
    <w:p>
      <w:pPr>
        <w:numPr>
          <w:ilvl w:val="2"/>
          <w:numId w:val="90"/>
        </w:numPr>
        <w:spacing w:after="60"/>
      </w:pPr>
      <w:r>
        <w:rPr/>
        <w:t>If a cheque is cancelled before the Cash Book is closed, the entries in the Cash Book or any related registers must be struck off in red ink, and the action must be initialed by the issuing authority.</w:t>
      </w:r>
    </w:p>
    <w:p>
      <w:pPr>
        <w:numPr>
          <w:ilvl w:val="1"/>
          <w:numId w:val="90"/>
        </w:numPr>
        <w:spacing w:after="60"/>
      </w:pPr>
      <w:r>
        <w:rPr>
          <w:b/>
        </w:rPr>
        <w:t>After the Cash Book is Closed:</w:t>
      </w:r>
    </w:p>
    <w:p>
      <w:pPr>
        <w:numPr>
          <w:ilvl w:val="2"/>
          <w:numId w:val="90"/>
        </w:numPr>
        <w:spacing w:after="60"/>
      </w:pPr>
      <w:r>
        <w:rPr/>
        <w:t>If the cheque is cancelled after the Cash Book has been closed, the amount should be adjusted with a minus entry under the corresponding expenditure head in both the Expenditure Registers and Cash Book. A note explaining this cancellation should be made in the registers where the transaction was initially recorded.</w:t>
      </w:r>
    </w:p>
    <w:p>
      <w:pPr>
        <w:spacing w:after="0"/>
      </w:pPr>
      <w:r>
        <w:br w:type="page"/>
      </w:r>
    </w:p>
    <w:p>
      <w:pPr>
        <w:pStyle w:val="Heading1"/>
        <w:spacing w:before="0"/>
      </w:pPr>
      <w:r>
        <w:rPr/>
        <w:t>28. Cheques Lost/Destroyed</w:t>
      </w:r>
    </w:p>
    <w:p>
      <w:pPr>
        <w:tabs>
          <w:tab w:pos="425" w:val="left"/>
        </w:tabs>
        <w:spacing w:after="60"/>
        <w:ind w:left="425" w:hanging="425"/>
      </w:pPr>
      <w:r>
        <w:rPr>
          <w:b/>
        </w:rPr>
        <w:t>1.</w:t>
      </w:r>
      <w:r>
        <w:rPr/>
        <w:tab/>
      </w:r>
      <w:r>
        <w:rPr>
          <w:b/>
        </w:rPr>
        <w:t>Action by the Cheque Drawing Officer:</w:t>
      </w:r>
    </w:p>
    <w:p>
      <w:pPr>
        <w:numPr>
          <w:ilvl w:val="1"/>
          <w:numId w:val="90"/>
        </w:numPr>
        <w:spacing w:after="60"/>
      </w:pPr>
      <w:r>
        <w:rPr/>
        <w:t>If a cheque is reported as lost or destroyed, the Cheque Drawing Officer must immediately contact the bank.</w:t>
      </w:r>
    </w:p>
    <w:p>
      <w:pPr>
        <w:numPr>
          <w:ilvl w:val="1"/>
          <w:numId w:val="90"/>
        </w:numPr>
        <w:spacing w:after="60"/>
      </w:pPr>
      <w:r>
        <w:rPr/>
        <w:t>The officer will request a non-payment certificate from the bank, confirming that payment will be stopped if the lost cheque is presented for payment.</w:t>
      </w:r>
    </w:p>
    <w:p>
      <w:pPr>
        <w:tabs>
          <w:tab w:pos="425" w:val="left"/>
        </w:tabs>
        <w:spacing w:after="60"/>
        <w:ind w:left="425" w:hanging="425"/>
      </w:pPr>
      <w:r>
        <w:rPr>
          <w:b/>
        </w:rPr>
        <w:t>2.</w:t>
      </w:r>
      <w:r>
        <w:rPr/>
        <w:tab/>
      </w:r>
      <w:r>
        <w:rPr>
          <w:b/>
        </w:rPr>
        <w:t>Record in the Account:</w:t>
      </w:r>
    </w:p>
    <w:p>
      <w:pPr>
        <w:numPr>
          <w:ilvl w:val="1"/>
          <w:numId w:val="90"/>
        </w:numPr>
        <w:spacing w:after="60"/>
      </w:pPr>
      <w:r>
        <w:rPr/>
        <w:t>Once the necessary safeguards with the bank are in place, the officer shall:</w:t>
      </w:r>
    </w:p>
    <w:p>
      <w:pPr>
        <w:numPr>
          <w:ilvl w:val="2"/>
          <w:numId w:val="90"/>
        </w:numPr>
        <w:spacing w:after="60"/>
      </w:pPr>
      <w:r>
        <w:rPr/>
        <w:t>Enter the original cheque as cancelled in the account.</w:t>
      </w:r>
    </w:p>
    <w:p>
      <w:pPr>
        <w:numPr>
          <w:ilvl w:val="2"/>
          <w:numId w:val="90"/>
        </w:numPr>
        <w:spacing w:after="60"/>
      </w:pPr>
      <w:r>
        <w:rPr/>
        <w:t>Issue a new cheque against the original cheque in the Cash Book.</w:t>
      </w:r>
    </w:p>
    <w:p>
      <w:pPr>
        <w:numPr>
          <w:ilvl w:val="2"/>
          <w:numId w:val="90"/>
        </w:numPr>
        <w:spacing w:after="60"/>
      </w:pPr>
      <w:r>
        <w:rPr/>
        <w:t>In the Cash Book, the entry should be marked with the remark: "Original cheque lost or destroyed".</w:t>
      </w:r>
    </w:p>
    <w:p>
      <w:pPr>
        <w:tabs>
          <w:tab w:pos="425" w:val="left"/>
        </w:tabs>
        <w:spacing w:after="60"/>
        <w:ind w:left="425" w:hanging="425"/>
      </w:pPr>
      <w:r>
        <w:rPr>
          <w:b/>
        </w:rPr>
        <w:t>3.</w:t>
      </w:r>
      <w:r>
        <w:rPr/>
        <w:tab/>
      </w:r>
      <w:r>
        <w:rPr>
          <w:b/>
        </w:rPr>
        <w:t>Note on the Counterfoil of the New Cheque:</w:t>
      </w:r>
    </w:p>
    <w:p>
      <w:pPr>
        <w:numPr>
          <w:ilvl w:val="1"/>
          <w:numId w:val="90"/>
        </w:numPr>
        <w:spacing w:after="60"/>
      </w:pPr>
      <w:r>
        <w:rPr/>
        <w:t>A note should be made on the counterfoil of the new cheque stating: "Issued in lieu of Cheque No. [Original Cheque Number] Dated [Date] lost/destroyed."</w:t>
      </w:r>
    </w:p>
    <w:p>
      <w:pPr>
        <w:spacing w:after="0"/>
      </w:pPr>
      <w:r>
        <w:br w:type="page"/>
      </w:r>
    </w:p>
    <w:p>
      <w:pPr>
        <w:pStyle w:val="Heading1"/>
        <w:spacing w:before="0"/>
      </w:pPr>
      <w:r>
        <w:rPr/>
        <w:t>29. Unpaid Cheques</w:t>
      </w:r>
    </w:p>
    <w:p>
      <w:pPr>
        <w:tabs>
          <w:tab w:pos="425" w:val="left"/>
        </w:tabs>
        <w:spacing w:after="60"/>
        <w:ind w:left="425" w:hanging="425"/>
      </w:pPr>
      <w:r>
        <w:rPr>
          <w:b/>
        </w:rPr>
        <w:t>1.</w:t>
      </w:r>
      <w:r>
        <w:rPr/>
        <w:tab/>
      </w:r>
      <w:r>
        <w:rPr>
          <w:b/>
        </w:rPr>
        <w:t>Cancellation of Unpaid Cheques:</w:t>
      </w:r>
    </w:p>
    <w:p>
      <w:pPr>
        <w:numPr>
          <w:ilvl w:val="1"/>
          <w:numId w:val="90"/>
        </w:numPr>
        <w:spacing w:after="60"/>
      </w:pPr>
      <w:r>
        <w:rPr/>
        <w:t>A cheque that remains unpaid for 6 months or more from the date of issue shall be cancelled.</w:t>
      </w:r>
    </w:p>
    <w:p>
      <w:pPr>
        <w:tabs>
          <w:tab w:pos="425" w:val="left"/>
        </w:tabs>
        <w:spacing w:after="60"/>
        <w:ind w:left="425" w:hanging="425"/>
      </w:pPr>
      <w:r>
        <w:rPr>
          <w:b/>
        </w:rPr>
        <w:t>2.</w:t>
      </w:r>
      <w:r>
        <w:rPr/>
        <w:tab/>
      </w:r>
      <w:r>
        <w:rPr>
          <w:b/>
        </w:rPr>
        <w:t>Treatment of Cancelled Cheques:</w:t>
      </w:r>
    </w:p>
    <w:p>
      <w:pPr>
        <w:numPr>
          <w:ilvl w:val="1"/>
          <w:numId w:val="90"/>
        </w:numPr>
        <w:spacing w:after="60"/>
      </w:pPr>
      <w:r>
        <w:rPr/>
        <w:t>For cheques related to the previous accounting year:</w:t>
      </w:r>
    </w:p>
    <w:p>
      <w:pPr>
        <w:numPr>
          <w:ilvl w:val="2"/>
          <w:numId w:val="90"/>
        </w:numPr>
        <w:spacing w:after="60"/>
      </w:pPr>
      <w:r>
        <w:rPr/>
        <w:t>The amount of the cancelled cheque shall be classified under "Other Miscellaneous Receipts".</w:t>
      </w:r>
    </w:p>
    <w:p>
      <w:pPr>
        <w:numPr>
          <w:ilvl w:val="1"/>
          <w:numId w:val="90"/>
        </w:numPr>
        <w:spacing w:after="60"/>
      </w:pPr>
      <w:r>
        <w:rPr/>
        <w:t>For cheques related to the current accounting year:</w:t>
      </w:r>
    </w:p>
    <w:p>
      <w:pPr>
        <w:numPr>
          <w:ilvl w:val="2"/>
          <w:numId w:val="90"/>
        </w:numPr>
        <w:spacing w:after="60"/>
      </w:pPr>
      <w:r>
        <w:rPr/>
        <w:t>The amount of the cancelled cheque shall be shown as a deduct entry under the concerned head of account.</w:t>
      </w:r>
    </w:p>
    <w:p>
      <w:pPr>
        <w:spacing w:after="0"/>
      </w:pPr>
      <w:r>
        <w:br w:type="page"/>
      </w:r>
    </w:p>
    <w:p>
      <w:pPr>
        <w:pStyle w:val="Heading1"/>
        <w:spacing w:before="0"/>
      </w:pPr>
      <w:r>
        <w:rPr/>
        <w:t>30. Rounding Off of Amounts</w:t>
      </w:r>
    </w:p>
    <w:p>
      <w:pPr>
        <w:tabs>
          <w:tab w:pos="425" w:val="left"/>
        </w:tabs>
        <w:spacing w:after="60"/>
        <w:ind w:left="425" w:hanging="425"/>
      </w:pPr>
      <w:r>
        <w:rPr>
          <w:b/>
        </w:rPr>
        <w:t>1.</w:t>
      </w:r>
      <w:r>
        <w:rPr/>
        <w:tab/>
      </w:r>
      <w:r>
        <w:rPr>
          <w:b/>
        </w:rPr>
        <w:t>General Rule for Rounding Off:</w:t>
      </w:r>
    </w:p>
    <w:p>
      <w:pPr>
        <w:numPr>
          <w:ilvl w:val="1"/>
          <w:numId w:val="90"/>
        </w:numPr>
        <w:spacing w:after="60"/>
      </w:pPr>
      <w:r>
        <w:rPr/>
        <w:t>Transactions involving fractions of a rupee shall be rounded off to the nearest rupee:</w:t>
      </w:r>
    </w:p>
    <w:p>
      <w:pPr>
        <w:numPr>
          <w:ilvl w:val="2"/>
          <w:numId w:val="90"/>
        </w:numPr>
        <w:spacing w:after="60"/>
      </w:pPr>
      <w:r>
        <w:rPr/>
        <w:t>Amounts 50 paisa and above but less than one rupee should be rounded up to the next rupee.</w:t>
      </w:r>
    </w:p>
    <w:p>
      <w:pPr>
        <w:numPr>
          <w:ilvl w:val="2"/>
          <w:numId w:val="90"/>
        </w:numPr>
        <w:spacing w:after="60"/>
      </w:pPr>
      <w:r>
        <w:rPr/>
        <w:t>Amounts below 50 paisa should be ignored and omitted from the accounts.</w:t>
      </w:r>
    </w:p>
    <w:p>
      <w:pPr>
        <w:tabs>
          <w:tab w:pos="425" w:val="left"/>
        </w:tabs>
        <w:spacing w:after="60"/>
        <w:ind w:left="425" w:hanging="425"/>
      </w:pPr>
      <w:r>
        <w:rPr>
          <w:b/>
        </w:rPr>
        <w:t>2.</w:t>
      </w:r>
      <w:r>
        <w:rPr/>
        <w:tab/>
      </w:r>
      <w:r>
        <w:rPr>
          <w:b/>
        </w:rPr>
        <w:t>Specific Applications:</w:t>
      </w:r>
    </w:p>
    <w:p>
      <w:pPr>
        <w:numPr>
          <w:ilvl w:val="1"/>
          <w:numId w:val="90"/>
        </w:numPr>
        <w:spacing w:after="60"/>
      </w:pPr>
      <w:r>
        <w:rPr>
          <w:b/>
        </w:rPr>
        <w:t>Pay and Allowances:</w:t>
      </w:r>
    </w:p>
    <w:p>
      <w:pPr>
        <w:numPr>
          <w:ilvl w:val="2"/>
          <w:numId w:val="90"/>
        </w:numPr>
        <w:spacing w:after="60"/>
      </w:pPr>
      <w:r>
        <w:rPr/>
        <w:t xml:space="preserve">Pay and allowances, including entitlements like HRA, DA, CCA, and deductions like house rent or loan recoveries, should be rounded off for each item of earning. Amounts 50 paisa and above should be rounded </w:t>
      </w:r>
      <w:r>
        <w:rPr>
          <w:b/>
        </w:rPr>
        <w:t>up</w:t>
      </w:r>
      <w:r>
        <w:rPr/>
        <w:t xml:space="preserve"> to the next rupee, and amounts below 50 paisa should be omitted.</w:t>
      </w:r>
    </w:p>
    <w:p>
      <w:pPr>
        <w:numPr>
          <w:ilvl w:val="1"/>
          <w:numId w:val="90"/>
        </w:numPr>
        <w:spacing w:after="60"/>
      </w:pPr>
      <w:r>
        <w:rPr>
          <w:b/>
        </w:rPr>
        <w:t>Recovery of Interest:</w:t>
      </w:r>
    </w:p>
    <w:p>
      <w:pPr>
        <w:numPr>
          <w:ilvl w:val="2"/>
          <w:numId w:val="90"/>
        </w:numPr>
        <w:spacing w:after="60"/>
      </w:pPr>
      <w:r>
        <w:rPr/>
        <w:t>Recovery of interest on loans and advances should be rounded off to whole rupees regardless of the percentage-based calculations.</w:t>
      </w:r>
    </w:p>
    <w:p>
      <w:pPr>
        <w:numPr>
          <w:ilvl w:val="1"/>
          <w:numId w:val="90"/>
        </w:numPr>
        <w:spacing w:after="60"/>
      </w:pPr>
      <w:r>
        <w:rPr>
          <w:b/>
        </w:rPr>
        <w:t>Travelling Allowance Bills:</w:t>
      </w:r>
    </w:p>
    <w:p>
      <w:pPr>
        <w:numPr>
          <w:ilvl w:val="2"/>
          <w:numId w:val="90"/>
        </w:numPr>
        <w:spacing w:after="60"/>
      </w:pPr>
      <w:r>
        <w:rPr/>
        <w:t>Rounding off should be done at the last stage (after all items like railway fare, mileage, and daily allowance have been tallied) rather than for each individual item.</w:t>
      </w:r>
    </w:p>
    <w:p>
      <w:pPr>
        <w:numPr>
          <w:ilvl w:val="1"/>
          <w:numId w:val="90"/>
        </w:numPr>
        <w:spacing w:after="60"/>
      </w:pPr>
      <w:r>
        <w:rPr>
          <w:b/>
        </w:rPr>
        <w:t>Transactions between College and Government/Other Organizations:</w:t>
      </w:r>
    </w:p>
    <w:p>
      <w:pPr>
        <w:numPr>
          <w:ilvl w:val="2"/>
          <w:numId w:val="90"/>
        </w:numPr>
        <w:spacing w:after="60"/>
      </w:pPr>
      <w:r>
        <w:rPr/>
        <w:t>All transactions between the College and other entities should be rounded off to the nearest rupee.</w:t>
      </w:r>
    </w:p>
    <w:p>
      <w:pPr>
        <w:numPr>
          <w:ilvl w:val="1"/>
          <w:numId w:val="90"/>
        </w:numPr>
        <w:spacing w:after="60"/>
      </w:pPr>
      <w:r>
        <w:rPr>
          <w:b/>
        </w:rPr>
        <w:t>Bills for Recoupment of Permanent Advance/Imprest:</w:t>
      </w:r>
    </w:p>
    <w:p>
      <w:pPr>
        <w:numPr>
          <w:ilvl w:val="2"/>
          <w:numId w:val="90"/>
        </w:numPr>
        <w:spacing w:after="60"/>
      </w:pPr>
      <w:r>
        <w:rPr/>
        <w:t>The bill for recoupment of permanent imprest should be rounded off to the whole rupee on each occasion.</w:t>
      </w:r>
    </w:p>
    <w:p>
      <w:pPr>
        <w:spacing w:after="0"/>
      </w:pPr>
      <w:r>
        <w:br w:type="page"/>
      </w:r>
    </w:p>
    <w:p>
      <w:pPr>
        <w:pStyle w:val="Heading1"/>
        <w:spacing w:before="0"/>
      </w:pPr>
      <w:r>
        <w:rPr/>
        <w:t>31. Excess and Over Payments</w:t>
      </w:r>
    </w:p>
    <w:p>
      <w:pPr>
        <w:tabs>
          <w:tab w:pos="425" w:val="left"/>
        </w:tabs>
        <w:spacing w:after="60"/>
        <w:ind w:left="425" w:hanging="425"/>
      </w:pPr>
      <w:r>
        <w:rPr>
          <w:b/>
        </w:rPr>
        <w:t>1.</w:t>
      </w:r>
      <w:r>
        <w:rPr/>
        <w:tab/>
      </w:r>
      <w:r>
        <w:rPr>
          <w:b/>
        </w:rPr>
        <w:t>Recovery of Excess Payments:</w:t>
      </w:r>
    </w:p>
    <w:p>
      <w:pPr>
        <w:numPr>
          <w:ilvl w:val="1"/>
          <w:numId w:val="90"/>
        </w:numPr>
        <w:spacing w:after="60"/>
      </w:pPr>
      <w:r>
        <w:rPr/>
        <w:t>Any excess payments made in a bill shall be recovered either:</w:t>
      </w:r>
    </w:p>
    <w:p>
      <w:pPr>
        <w:numPr>
          <w:ilvl w:val="2"/>
          <w:numId w:val="90"/>
        </w:numPr>
        <w:spacing w:after="60"/>
      </w:pPr>
      <w:r>
        <w:rPr/>
        <w:t>In cash, or</w:t>
      </w:r>
    </w:p>
    <w:p>
      <w:pPr>
        <w:numPr>
          <w:ilvl w:val="2"/>
          <w:numId w:val="90"/>
        </w:numPr>
        <w:spacing w:after="60"/>
      </w:pPr>
      <w:r>
        <w:rPr/>
        <w:t>By short payment from the subsequent bill of the payee.</w:t>
      </w:r>
    </w:p>
    <w:p>
      <w:pPr>
        <w:tabs>
          <w:tab w:pos="425" w:val="left"/>
        </w:tabs>
        <w:spacing w:after="60"/>
        <w:ind w:left="425" w:hanging="425"/>
      </w:pPr>
      <w:r>
        <w:rPr>
          <w:b/>
        </w:rPr>
        <w:t>2.</w:t>
      </w:r>
      <w:r>
        <w:rPr/>
        <w:tab/>
      </w:r>
      <w:r>
        <w:rPr>
          <w:b/>
        </w:rPr>
        <w:t>Adjustment of Overpayments:</w:t>
      </w:r>
    </w:p>
    <w:p>
      <w:pPr>
        <w:numPr>
          <w:ilvl w:val="1"/>
          <w:numId w:val="90"/>
        </w:numPr>
        <w:spacing w:after="60"/>
      </w:pPr>
      <w:r>
        <w:rPr/>
        <w:t>If the recovery is made in the same accounting year:</w:t>
      </w:r>
    </w:p>
    <w:p>
      <w:pPr>
        <w:numPr>
          <w:ilvl w:val="2"/>
          <w:numId w:val="90"/>
        </w:numPr>
        <w:spacing w:after="60"/>
      </w:pPr>
      <w:r>
        <w:rPr>
          <w:b/>
        </w:rPr>
        <w:t>Ordinary Adjustment:</w:t>
      </w:r>
    </w:p>
    <w:p>
      <w:pPr>
        <w:numPr>
          <w:ilvl w:val="2"/>
          <w:numId w:val="90"/>
        </w:numPr>
        <w:spacing w:after="60"/>
      </w:pPr>
      <w:r>
        <w:rPr/>
        <w:t>The recovery will generally be adjusted by deducting the excess from the current year's charge under the same detailed head where the overpayment occurred.</w:t>
      </w:r>
    </w:p>
    <w:p>
      <w:pPr>
        <w:numPr>
          <w:ilvl w:val="2"/>
          <w:numId w:val="90"/>
        </w:numPr>
        <w:spacing w:after="60"/>
      </w:pPr>
      <w:r>
        <w:rPr>
          <w:b/>
        </w:rPr>
        <w:t>Short Payment Adjustment:</w:t>
      </w:r>
    </w:p>
    <w:p>
      <w:pPr>
        <w:numPr>
          <w:ilvl w:val="2"/>
          <w:numId w:val="90"/>
        </w:numPr>
        <w:spacing w:after="60"/>
      </w:pPr>
      <w:r>
        <w:rPr/>
        <w:t>If the recovery is made through short payment of an item under the same detailed head as the previous overpayment, no further adjustment is needed, as the short payment will automatically offset the excess payment.</w:t>
      </w:r>
    </w:p>
    <w:p>
      <w:pPr>
        <w:numPr>
          <w:ilvl w:val="2"/>
          <w:numId w:val="90"/>
        </w:numPr>
        <w:spacing w:after="60"/>
      </w:pPr>
      <w:r>
        <w:rPr>
          <w:b/>
        </w:rPr>
        <w:t>Cash Recovery Adjustment:</w:t>
      </w:r>
    </w:p>
    <w:p>
      <w:pPr>
        <w:numPr>
          <w:ilvl w:val="2"/>
          <w:numId w:val="90"/>
        </w:numPr>
        <w:spacing w:after="60"/>
      </w:pPr>
      <w:r>
        <w:rPr/>
        <w:t>If the recovery is made in cash, the amount shall be recorded as a minus debit in the concerned expenditure head.</w:t>
      </w:r>
    </w:p>
    <w:p>
      <w:pPr>
        <w:numPr>
          <w:ilvl w:val="2"/>
          <w:numId w:val="90"/>
        </w:numPr>
        <w:spacing w:after="60"/>
      </w:pPr>
      <w:r>
        <w:rPr>
          <w:b/>
        </w:rPr>
        <w:t>Recovery under Different Heads:</w:t>
      </w:r>
    </w:p>
    <w:p>
      <w:pPr>
        <w:numPr>
          <w:ilvl w:val="2"/>
          <w:numId w:val="90"/>
        </w:numPr>
        <w:spacing w:after="60"/>
      </w:pPr>
      <w:r>
        <w:rPr/>
        <w:t>If the recovery is made via short payment of an item that is chargeable to a different detailed head than the one where the overpayment occurred:</w:t>
      </w:r>
    </w:p>
    <w:p>
      <w:pPr>
        <w:numPr>
          <w:ilvl w:val="2"/>
          <w:numId w:val="90"/>
        </w:numPr>
        <w:spacing w:after="60"/>
      </w:pPr>
      <w:r>
        <w:rPr/>
        <w:t>The amount payable before deduction should be entered under the detailed head to which the item belongs.</w:t>
      </w:r>
    </w:p>
    <w:p>
      <w:pPr>
        <w:numPr>
          <w:ilvl w:val="2"/>
          <w:numId w:val="90"/>
        </w:numPr>
        <w:spacing w:after="60"/>
      </w:pPr>
      <w:r>
        <w:rPr/>
        <w:t>The amount recovered should be entered as a credit under the expenditure head where the recovery relates.</w:t>
      </w:r>
    </w:p>
    <w:p>
      <w:pPr>
        <w:numPr>
          <w:ilvl w:val="1"/>
          <w:numId w:val="90"/>
        </w:numPr>
        <w:spacing w:after="60"/>
      </w:pPr>
      <w:r>
        <w:rPr/>
        <w:t>If the recovery is made in subsequent years:</w:t>
      </w:r>
    </w:p>
    <w:p>
      <w:pPr>
        <w:numPr>
          <w:ilvl w:val="2"/>
          <w:numId w:val="90"/>
        </w:numPr>
        <w:spacing w:after="60"/>
      </w:pPr>
      <w:r>
        <w:rPr/>
        <w:t>Recoveries of overpayments, except in cases of works in progress, shall be accounted for under:</w:t>
      </w:r>
    </w:p>
    <w:p>
      <w:pPr>
        <w:numPr>
          <w:ilvl w:val="2"/>
          <w:numId w:val="90"/>
        </w:numPr>
        <w:spacing w:after="60"/>
      </w:pPr>
      <w:r>
        <w:rPr/>
        <w:t>The relevant receipt major head, or</w:t>
      </w:r>
    </w:p>
    <w:p>
      <w:pPr>
        <w:numPr>
          <w:ilvl w:val="2"/>
          <w:numId w:val="90"/>
        </w:numPr>
        <w:spacing w:after="60"/>
      </w:pPr>
      <w:r>
        <w:rPr/>
        <w:t>The head "Other Miscellaneous Receipts".</w:t>
      </w:r>
    </w:p>
    <w:p>
      <w:pPr>
        <w:numPr>
          <w:ilvl w:val="2"/>
          <w:numId w:val="90"/>
        </w:numPr>
        <w:spacing w:after="60"/>
      </w:pPr>
      <w:r>
        <w:rPr/>
        <w:t>For works in progress, the recovery can be taken by reducing the expenditure under the relevant head.</w:t>
      </w:r>
    </w:p>
    <w:p>
      <w:pPr>
        <w:spacing w:after="0"/>
      </w:pPr>
      <w:r>
        <w:br w:type="page"/>
      </w:r>
    </w:p>
    <w:p>
      <w:pPr>
        <w:pStyle w:val="Heading1"/>
        <w:spacing w:before="0"/>
      </w:pPr>
      <w:r>
        <w:rPr/>
        <w:t>32. Arrear Claims</w:t>
      </w:r>
    </w:p>
    <w:p>
      <w:r>
        <w:rPr/>
        <w:t>The following time limits have been prescribed for presenting claims against the College, after which they will not be entertained:</w:t>
      </w:r>
    </w:p>
    <w:p>
      <w:pPr>
        <w:tabs>
          <w:tab w:pos="425" w:val="left"/>
        </w:tabs>
        <w:spacing w:after="60"/>
        <w:ind w:left="425" w:hanging="425"/>
      </w:pPr>
      <w:r>
        <w:rPr>
          <w:b/>
        </w:rPr>
        <w:t>1.</w:t>
      </w:r>
      <w:r>
        <w:rPr/>
        <w:tab/>
      </w:r>
      <w:r>
        <w:rPr>
          <w:b/>
        </w:rPr>
        <w:t>Travelling and Halting Allowance Claims:</w:t>
      </w:r>
    </w:p>
    <w:p>
      <w:pPr>
        <w:numPr>
          <w:ilvl w:val="1"/>
          <w:numId w:val="90"/>
        </w:numPr>
        <w:spacing w:after="60"/>
      </w:pPr>
      <w:r>
        <w:rPr/>
        <w:t>Claims for travelling and halting allowances must be submitted within three months from the date on which the payment was due. Any claims presented after this period will not be entertained.</w:t>
      </w:r>
    </w:p>
    <w:p>
      <w:pPr>
        <w:tabs>
          <w:tab w:pos="425" w:val="left"/>
        </w:tabs>
        <w:spacing w:after="60"/>
        <w:ind w:left="425" w:hanging="425"/>
      </w:pPr>
      <w:r>
        <w:rPr>
          <w:b/>
        </w:rPr>
        <w:t>2.</w:t>
      </w:r>
      <w:r>
        <w:rPr/>
        <w:tab/>
      </w:r>
      <w:r>
        <w:rPr>
          <w:b/>
        </w:rPr>
        <w:t>Examination Remuneration Claims:</w:t>
      </w:r>
    </w:p>
    <w:p>
      <w:pPr>
        <w:numPr>
          <w:ilvl w:val="1"/>
          <w:numId w:val="90"/>
        </w:numPr>
        <w:spacing w:after="60"/>
      </w:pPr>
      <w:r>
        <w:rPr/>
        <w:t>Claims for remuneration for examination must be submitted within one year from the date of publication of the examination results. Any claims presented after one year will be considered as lapsed.</w:t>
      </w:r>
    </w:p>
    <w:p>
      <w:pPr>
        <w:tabs>
          <w:tab w:pos="425" w:val="left"/>
        </w:tabs>
        <w:spacing w:after="60"/>
        <w:ind w:left="425" w:hanging="425"/>
      </w:pPr>
      <w:r>
        <w:rPr>
          <w:b/>
        </w:rPr>
        <w:t>3.</w:t>
      </w:r>
      <w:r>
        <w:rPr/>
        <w:tab/>
      </w:r>
      <w:r>
        <w:rPr>
          <w:b/>
        </w:rPr>
        <w:t>Caution Deposit Money:</w:t>
      </w:r>
    </w:p>
    <w:p>
      <w:pPr>
        <w:numPr>
          <w:ilvl w:val="1"/>
          <w:numId w:val="90"/>
        </w:numPr>
        <w:spacing w:after="60"/>
      </w:pPr>
      <w:r>
        <w:rPr/>
        <w:t>Caution deposit money that remains unclaimed for a period of three years will be deemed to have lapsed and will no longer be available for claim.</w:t>
      </w:r>
    </w:p>
    <w:p>
      <w:pPr>
        <w:spacing w:after="0"/>
      </w:pPr>
      <w:r>
        <w:br w:type="page"/>
      </w:r>
    </w:p>
    <w:p>
      <w:pPr>
        <w:pStyle w:val="Heading1"/>
        <w:spacing w:before="0"/>
      </w:pPr>
      <w:r>
        <w:rPr/>
        <w:t>33. Losses</w:t>
      </w:r>
    </w:p>
    <w:p>
      <w:pPr>
        <w:tabs>
          <w:tab w:pos="425" w:val="left"/>
        </w:tabs>
        <w:spacing w:after="60"/>
        <w:ind w:left="425" w:hanging="425"/>
      </w:pPr>
      <w:r>
        <w:rPr>
          <w:b/>
        </w:rPr>
        <w:t>1.</w:t>
      </w:r>
      <w:r>
        <w:rPr/>
        <w:tab/>
      </w:r>
      <w:r>
        <w:rPr>
          <w:b/>
        </w:rPr>
        <w:t>Discovery of Embezzlement or Misappropriation:</w:t>
      </w:r>
    </w:p>
    <w:p>
      <w:pPr>
        <w:numPr>
          <w:ilvl w:val="1"/>
          <w:numId w:val="90"/>
        </w:numPr>
        <w:spacing w:after="60"/>
      </w:pPr>
      <w:r>
        <w:rPr/>
        <w:t>In case of any embezzlement, misappropriation of college funds, loss of money, stores, or other valuables by theft, negligence, or otherwise, an immediate enquiry shall be conducted by the Accounts Officer (AO) or any other duly authorized officer.</w:t>
      </w:r>
    </w:p>
    <w:p>
      <w:pPr>
        <w:numPr>
          <w:ilvl w:val="1"/>
          <w:numId w:val="90"/>
        </w:numPr>
        <w:spacing w:after="60"/>
      </w:pPr>
      <w:r>
        <w:rPr/>
        <w:t>The officer conducting the enquiry must immediately report the matter to the principal.</w:t>
      </w:r>
    </w:p>
    <w:p>
      <w:pPr>
        <w:tabs>
          <w:tab w:pos="425" w:val="left"/>
        </w:tabs>
        <w:spacing w:after="60"/>
        <w:ind w:left="425" w:hanging="425"/>
      </w:pPr>
      <w:r>
        <w:rPr>
          <w:b/>
        </w:rPr>
        <w:t>2.</w:t>
      </w:r>
      <w:r>
        <w:rPr/>
        <w:tab/>
      </w:r>
      <w:r>
        <w:rPr>
          <w:b/>
        </w:rPr>
        <w:t>Reporting of Loss or Embezzlement:</w:t>
      </w:r>
    </w:p>
    <w:p>
      <w:pPr>
        <w:numPr>
          <w:ilvl w:val="1"/>
          <w:numId w:val="90"/>
        </w:numPr>
        <w:spacing w:after="60"/>
      </w:pPr>
      <w:r>
        <w:rPr/>
        <w:t>After completing the enquiry, the AO shall submit a detailed report to the principal. This report should include:</w:t>
      </w:r>
    </w:p>
    <w:p>
      <w:pPr>
        <w:numPr>
          <w:ilvl w:val="2"/>
          <w:numId w:val="90"/>
        </w:numPr>
        <w:spacing w:after="60"/>
      </w:pPr>
      <w:r>
        <w:rPr/>
        <w:t>The total amount of money or the value of the stores or other valuables misappropriated or lost.</w:t>
      </w:r>
    </w:p>
    <w:p>
      <w:pPr>
        <w:numPr>
          <w:ilvl w:val="2"/>
          <w:numId w:val="90"/>
        </w:numPr>
        <w:spacing w:after="60"/>
      </w:pPr>
      <w:r>
        <w:rPr/>
        <w:t>The manner in which the misappropriation or loss occurred.</w:t>
      </w:r>
    </w:p>
    <w:p>
      <w:pPr>
        <w:numPr>
          <w:ilvl w:val="2"/>
          <w:numId w:val="90"/>
        </w:numPr>
        <w:spacing w:after="60"/>
      </w:pPr>
      <w:r>
        <w:rPr/>
        <w:t>The steps taken to recover the lost money or items and the actions to punish the offenders.</w:t>
      </w:r>
    </w:p>
    <w:p>
      <w:pPr>
        <w:numPr>
          <w:ilvl w:val="2"/>
          <w:numId w:val="90"/>
        </w:numPr>
        <w:spacing w:after="60"/>
      </w:pPr>
      <w:r>
        <w:rPr/>
        <w:t>The measures implemented to prevent recurrence of similar losses or embezzlements in the future.</w:t>
      </w:r>
    </w:p>
    <w:p>
      <w:pPr>
        <w:spacing w:after="0"/>
      </w:pPr>
      <w:r>
        <w:br w:type="page"/>
      </w:r>
    </w:p>
    <w:p>
      <w:pPr>
        <w:pStyle w:val="Heading1"/>
        <w:spacing w:before="0"/>
      </w:pPr>
      <w:r>
        <w:rPr/>
        <w:t>34. Endowments for Medals and Prizes</w:t>
      </w:r>
    </w:p>
    <w:p>
      <w:pPr>
        <w:tabs>
          <w:tab w:pos="425" w:val="left"/>
        </w:tabs>
        <w:spacing w:after="60"/>
        <w:ind w:left="425" w:hanging="425"/>
      </w:pPr>
      <w:r>
        <w:rPr>
          <w:b/>
        </w:rPr>
        <w:t>1.</w:t>
      </w:r>
      <w:r>
        <w:rPr/>
        <w:tab/>
      </w:r>
      <w:r>
        <w:rPr>
          <w:b/>
        </w:rPr>
        <w:t>Acceptance of Endowments:</w:t>
      </w:r>
    </w:p>
    <w:p>
      <w:pPr>
        <w:numPr>
          <w:ilvl w:val="1"/>
          <w:numId w:val="90"/>
        </w:numPr>
        <w:spacing w:after="60"/>
      </w:pPr>
      <w:r>
        <w:rPr/>
        <w:t>The College accepts offers of endowments for establishing Gold Medals and Book Prizes to reward meritorious students.</w:t>
      </w:r>
    </w:p>
    <w:p>
      <w:pPr>
        <w:tabs>
          <w:tab w:pos="425" w:val="left"/>
        </w:tabs>
        <w:spacing w:after="60"/>
        <w:ind w:left="425" w:hanging="425"/>
      </w:pPr>
      <w:r>
        <w:rPr>
          <w:b/>
        </w:rPr>
        <w:t>2.</w:t>
      </w:r>
      <w:r>
        <w:rPr/>
        <w:tab/>
      </w:r>
      <w:r>
        <w:rPr>
          <w:b/>
        </w:rPr>
        <w:t>Investment and Utilization of Endowment Funds:</w:t>
      </w:r>
    </w:p>
    <w:p>
      <w:pPr>
        <w:numPr>
          <w:ilvl w:val="1"/>
          <w:numId w:val="90"/>
        </w:numPr>
        <w:spacing w:after="60"/>
      </w:pPr>
      <w:r>
        <w:rPr/>
        <w:t>The amounts received from donors are invested in Fixed Deposits in nationalized banks.</w:t>
      </w:r>
    </w:p>
    <w:p>
      <w:pPr>
        <w:numPr>
          <w:ilvl w:val="1"/>
          <w:numId w:val="90"/>
        </w:numPr>
        <w:spacing w:after="60"/>
      </w:pPr>
      <w:r>
        <w:rPr/>
        <w:t>The annual interest generated from these Fixed Deposits is drawn and made available to the Controller of Examinations upon request.</w:t>
      </w:r>
    </w:p>
    <w:p>
      <w:pPr>
        <w:numPr>
          <w:ilvl w:val="1"/>
          <w:numId w:val="90"/>
        </w:numPr>
        <w:spacing w:after="60"/>
      </w:pPr>
      <w:r>
        <w:rPr/>
        <w:t>The Controller of Examinations receives the interest along with details of the gold medals already in possession and the advance required for purchasing additional medals for presentation at the Convocation to the awardees approved by the Governing Body.</w:t>
      </w:r>
    </w:p>
    <w:p>
      <w:pPr>
        <w:tabs>
          <w:tab w:pos="425" w:val="left"/>
        </w:tabs>
        <w:spacing w:after="60"/>
        <w:ind w:left="425" w:hanging="425"/>
      </w:pPr>
      <w:r>
        <w:rPr>
          <w:b/>
        </w:rPr>
        <w:t>3.</w:t>
      </w:r>
      <w:r>
        <w:rPr/>
        <w:tab/>
      </w:r>
      <w:r>
        <w:rPr>
          <w:b/>
        </w:rPr>
        <w:t>Account Submission and Adjustment of Advance:</w:t>
      </w:r>
    </w:p>
    <w:p>
      <w:pPr>
        <w:numPr>
          <w:ilvl w:val="1"/>
          <w:numId w:val="90"/>
        </w:numPr>
        <w:spacing w:after="60"/>
      </w:pPr>
      <w:r>
        <w:rPr/>
        <w:t xml:space="preserve">The Controller of Examinations is required to submit an account to the Accounts Branch within one month of the Convocation. This submission must include </w:t>
      </w:r>
      <w:r>
        <w:rPr>
          <w:b/>
        </w:rPr>
        <w:t>vouchers</w:t>
      </w:r>
      <w:r>
        <w:rPr/>
        <w:t xml:space="preserve"> for any expenditure incurred from the advance provided, in order to adjust the advance amount.</w:t>
      </w:r>
    </w:p>
    <w:p>
      <w:pPr>
        <w:spacing w:after="0"/>
      </w:pPr>
      <w:r>
        <w:br w:type="page"/>
      </w:r>
    </w:p>
    <w:p>
      <w:pPr>
        <w:pStyle w:val="Heading1"/>
        <w:spacing w:before="0"/>
      </w:pPr>
      <w:r>
        <w:rPr/>
        <w:t>35. Earnest Money Deposits (EMD)</w:t>
      </w:r>
    </w:p>
    <w:p>
      <w:pPr>
        <w:tabs>
          <w:tab w:pos="425" w:val="left"/>
        </w:tabs>
        <w:spacing w:after="60"/>
        <w:ind w:left="425" w:hanging="425"/>
      </w:pPr>
      <w:r>
        <w:rPr>
          <w:b/>
        </w:rPr>
        <w:t>1.</w:t>
      </w:r>
      <w:r>
        <w:rPr/>
        <w:tab/>
      </w:r>
      <w:r>
        <w:rPr>
          <w:b/>
        </w:rPr>
        <w:t>Receipt of Earnest Money/Security Deposits:</w:t>
      </w:r>
    </w:p>
    <w:p>
      <w:pPr>
        <w:numPr>
          <w:ilvl w:val="1"/>
          <w:numId w:val="90"/>
        </w:numPr>
        <w:spacing w:after="60"/>
      </w:pPr>
      <w:r>
        <w:rPr/>
        <w:t>Earnest Money/Security Deposits are received from contractors for various purposes such as:</w:t>
      </w:r>
    </w:p>
    <w:p>
      <w:pPr>
        <w:numPr>
          <w:ilvl w:val="2"/>
          <w:numId w:val="90"/>
        </w:numPr>
        <w:spacing w:after="60"/>
      </w:pPr>
      <w:r>
        <w:rPr/>
        <w:t>Supply of paper and stationery.</w:t>
      </w:r>
    </w:p>
    <w:p>
      <w:pPr>
        <w:numPr>
          <w:ilvl w:val="2"/>
          <w:numId w:val="90"/>
        </w:numPr>
        <w:spacing w:after="60"/>
      </w:pPr>
      <w:r>
        <w:rPr/>
        <w:t>Execution of works.</w:t>
      </w:r>
    </w:p>
    <w:p>
      <w:pPr>
        <w:numPr>
          <w:ilvl w:val="2"/>
          <w:numId w:val="90"/>
        </w:numPr>
        <w:spacing w:after="60"/>
      </w:pPr>
      <w:r>
        <w:rPr/>
        <w:t>Approved printers for printing course material, etc.</w:t>
      </w:r>
    </w:p>
    <w:p>
      <w:pPr>
        <w:numPr>
          <w:ilvl w:val="1"/>
          <w:numId w:val="90"/>
        </w:numPr>
        <w:spacing w:after="60"/>
      </w:pPr>
      <w:r>
        <w:rPr/>
        <w:t>These deposits are typically furnished in the form of Demand Drafts (DDs), which are received by the concerned branches of the College and subsequently forwarded to the Accounts Branch.</w:t>
      </w:r>
    </w:p>
    <w:p>
      <w:pPr>
        <w:tabs>
          <w:tab w:pos="425" w:val="left"/>
        </w:tabs>
        <w:spacing w:after="60"/>
        <w:ind w:left="425" w:hanging="425"/>
      </w:pPr>
      <w:r>
        <w:rPr>
          <w:b/>
        </w:rPr>
        <w:t>2.</w:t>
      </w:r>
      <w:r>
        <w:rPr/>
        <w:tab/>
      </w:r>
      <w:r>
        <w:rPr>
          <w:b/>
        </w:rPr>
        <w:t>Depositing Earnest Money:</w:t>
      </w:r>
    </w:p>
    <w:p>
      <w:pPr>
        <w:numPr>
          <w:ilvl w:val="1"/>
          <w:numId w:val="90"/>
        </w:numPr>
        <w:spacing w:after="60"/>
      </w:pPr>
      <w:r>
        <w:rPr/>
        <w:t>The amounts received are deposited into a separate account in the Bank, specifically the 'Earnest Money Deposit Account'.</w:t>
      </w:r>
    </w:p>
    <w:p>
      <w:pPr>
        <w:numPr>
          <w:ilvl w:val="1"/>
          <w:numId w:val="90"/>
        </w:numPr>
        <w:spacing w:after="60"/>
      </w:pPr>
      <w:r>
        <w:rPr/>
        <w:t>Refunds of the Earnest Money Deposits (EMD) are made by issuing a cheque from that account.</w:t>
      </w:r>
    </w:p>
    <w:p>
      <w:pPr>
        <w:tabs>
          <w:tab w:pos="425" w:val="left"/>
        </w:tabs>
        <w:spacing w:after="60"/>
        <w:ind w:left="425" w:hanging="425"/>
      </w:pPr>
      <w:r>
        <w:rPr>
          <w:b/>
        </w:rPr>
        <w:t>3.</w:t>
      </w:r>
      <w:r>
        <w:rPr/>
        <w:tab/>
      </w:r>
      <w:r>
        <w:rPr>
          <w:b/>
        </w:rPr>
        <w:t>Recording Transactions:</w:t>
      </w:r>
    </w:p>
    <w:p>
      <w:pPr>
        <w:numPr>
          <w:ilvl w:val="1"/>
          <w:numId w:val="90"/>
        </w:numPr>
        <w:spacing w:after="60"/>
      </w:pPr>
      <w:r>
        <w:rPr/>
        <w:t>All transactions relating to the receipt and refund of EMD are recorded in the EMD Cash Book maintained for this purpose.</w:t>
      </w:r>
    </w:p>
    <w:p>
      <w:pPr>
        <w:tabs>
          <w:tab w:pos="425" w:val="left"/>
        </w:tabs>
        <w:spacing w:after="60"/>
        <w:ind w:left="425" w:hanging="425"/>
      </w:pPr>
      <w:r>
        <w:rPr>
          <w:b/>
        </w:rPr>
        <w:t>4.</w:t>
      </w:r>
      <w:r>
        <w:rPr/>
        <w:tab/>
      </w:r>
      <w:r>
        <w:rPr>
          <w:b/>
        </w:rPr>
        <w:t>Cash Book Closure and Carry Forward:</w:t>
      </w:r>
    </w:p>
    <w:p>
      <w:pPr>
        <w:numPr>
          <w:ilvl w:val="1"/>
          <w:numId w:val="90"/>
        </w:numPr>
        <w:spacing w:after="60"/>
      </w:pPr>
      <w:r>
        <w:rPr/>
        <w:t xml:space="preserve">The EMD Cash Book </w:t>
      </w:r>
      <w:r>
        <w:rPr>
          <w:b/>
        </w:rPr>
        <w:t>is</w:t>
      </w:r>
      <w:r>
        <w:rPr/>
        <w:t xml:space="preserve"> closed monthly.</w:t>
      </w:r>
    </w:p>
    <w:p>
      <w:pPr>
        <w:numPr>
          <w:ilvl w:val="1"/>
          <w:numId w:val="90"/>
        </w:numPr>
        <w:spacing w:after="60"/>
      </w:pPr>
      <w:r>
        <w:rPr/>
        <w:t>Any pending EMD refunds at the end of the financial year are carried forward to the subsequent year.</w:t>
      </w:r>
    </w:p>
    <w:p>
      <w:pPr>
        <w:spacing w:after="0"/>
      </w:pPr>
      <w:r>
        <w:br w:type="page"/>
      </w:r>
    </w:p>
    <w:p>
      <w:pPr>
        <w:pStyle w:val="Heading1"/>
        <w:spacing w:before="0"/>
      </w:pPr>
      <w:r>
        <w:rPr/>
        <w:t>36. Establishment Procedures and Pay Bills</w:t>
      </w:r>
    </w:p>
    <w:p>
      <w:pPr>
        <w:tabs>
          <w:tab w:pos="425" w:val="left"/>
        </w:tabs>
        <w:spacing w:after="60"/>
        <w:ind w:left="425" w:hanging="425"/>
      </w:pPr>
      <w:r>
        <w:rPr>
          <w:b/>
        </w:rPr>
        <w:t>1.</w:t>
      </w:r>
      <w:r>
        <w:rPr/>
        <w:tab/>
      </w:r>
      <w:r>
        <w:rPr>
          <w:b/>
        </w:rPr>
        <w:t>Establishment Section Maintenance:</w:t>
      </w:r>
    </w:p>
    <w:p>
      <w:pPr>
        <w:numPr>
          <w:ilvl w:val="1"/>
          <w:numId w:val="90"/>
        </w:numPr>
        <w:spacing w:after="60"/>
      </w:pPr>
      <w:r>
        <w:rPr/>
        <w:t>The Establishment Section of the College Office is responsible for maintaining an Authorized Officer (AO) Register showing the sanctioned strength of each category of posts and appointments made against such sanction.</w:t>
      </w:r>
    </w:p>
    <w:p>
      <w:pPr>
        <w:numPr>
          <w:ilvl w:val="1"/>
          <w:numId w:val="90"/>
        </w:numPr>
        <w:spacing w:after="60"/>
      </w:pPr>
      <w:r>
        <w:rPr/>
        <w:t>This register is updated with the Resolutions of the Board of Management and College Orders issued from time to time.</w:t>
      </w:r>
    </w:p>
    <w:p>
      <w:pPr>
        <w:tabs>
          <w:tab w:pos="425" w:val="left"/>
        </w:tabs>
        <w:spacing w:after="60"/>
        <w:ind w:left="425" w:hanging="425"/>
      </w:pPr>
      <w:r>
        <w:rPr>
          <w:b/>
        </w:rPr>
        <w:t>2.</w:t>
      </w:r>
      <w:r>
        <w:rPr/>
        <w:tab/>
      </w:r>
      <w:r>
        <w:rPr>
          <w:b/>
        </w:rPr>
        <w:t>Proposals for Change in Establishment:</w:t>
      </w:r>
    </w:p>
    <w:p>
      <w:pPr>
        <w:numPr>
          <w:ilvl w:val="1"/>
          <w:numId w:val="90"/>
        </w:numPr>
        <w:spacing w:after="60"/>
      </w:pPr>
      <w:r>
        <w:rPr/>
        <w:t>Any proposed changes to the establishment must be submitted by the AO to the Principal for approval.</w:t>
      </w:r>
    </w:p>
    <w:p>
      <w:pPr>
        <w:numPr>
          <w:ilvl w:val="1"/>
          <w:numId w:val="90"/>
        </w:numPr>
        <w:spacing w:after="60"/>
      </w:pPr>
      <w:r>
        <w:rPr/>
        <w:t>The proposal should include:</w:t>
      </w:r>
    </w:p>
    <w:p>
      <w:pPr>
        <w:numPr>
          <w:ilvl w:val="2"/>
          <w:numId w:val="90"/>
        </w:numPr>
        <w:spacing w:after="60"/>
      </w:pPr>
      <w:r>
        <w:rPr/>
        <w:t>Existing strength and cost of the affected sections.</w:t>
      </w:r>
    </w:p>
    <w:p>
      <w:pPr>
        <w:numPr>
          <w:ilvl w:val="2"/>
          <w:numId w:val="90"/>
        </w:numPr>
        <w:spacing w:after="60"/>
      </w:pPr>
      <w:r>
        <w:rPr/>
        <w:t>Proposed changes in strength and cost.</w:t>
      </w:r>
    </w:p>
    <w:p>
      <w:pPr>
        <w:numPr>
          <w:ilvl w:val="2"/>
          <w:numId w:val="90"/>
        </w:numPr>
        <w:spacing w:after="60"/>
      </w:pPr>
      <w:r>
        <w:rPr/>
        <w:t>Effective dates for the proposed changes.</w:t>
      </w:r>
    </w:p>
    <w:p>
      <w:pPr>
        <w:numPr>
          <w:ilvl w:val="2"/>
          <w:numId w:val="90"/>
        </w:numPr>
        <w:spacing w:after="60"/>
      </w:pPr>
      <w:r>
        <w:rPr/>
        <w:t>Details of the post to be added or modified, including pay and other details.</w:t>
      </w:r>
    </w:p>
    <w:p>
      <w:pPr>
        <w:numPr>
          <w:ilvl w:val="2"/>
          <w:numId w:val="90"/>
        </w:numPr>
        <w:spacing w:after="60"/>
      </w:pPr>
      <w:r>
        <w:rPr/>
        <w:t>Ability of the College to meet the additional expenditure from its normal income.</w:t>
      </w:r>
    </w:p>
    <w:p>
      <w:pPr>
        <w:numPr>
          <w:ilvl w:val="2"/>
          <w:numId w:val="90"/>
        </w:numPr>
        <w:spacing w:after="60"/>
      </w:pPr>
      <w:r>
        <w:rPr/>
        <w:t>A financial statement showing the impact of the proposed changes.</w:t>
      </w:r>
    </w:p>
    <w:p>
      <w:pPr>
        <w:tabs>
          <w:tab w:pos="425" w:val="left"/>
        </w:tabs>
        <w:spacing w:after="60"/>
        <w:ind w:left="425" w:hanging="425"/>
      </w:pPr>
      <w:r>
        <w:rPr>
          <w:b/>
        </w:rPr>
        <w:t>3.</w:t>
      </w:r>
      <w:r>
        <w:rPr/>
        <w:tab/>
      </w:r>
      <w:r>
        <w:rPr>
          <w:b/>
        </w:rPr>
        <w:t>Pay Bills for Establishments:</w:t>
      </w:r>
    </w:p>
    <w:p>
      <w:pPr>
        <w:numPr>
          <w:ilvl w:val="1"/>
          <w:numId w:val="90"/>
        </w:numPr>
        <w:spacing w:after="60"/>
      </w:pPr>
      <w:r>
        <w:rPr/>
        <w:t>Pay bills for establishments that are either sanctioned without a time limit or for specific periods (temporary establishments) are prepared separately.</w:t>
      </w:r>
    </w:p>
    <w:p>
      <w:pPr>
        <w:numPr>
          <w:ilvl w:val="1"/>
          <w:numId w:val="90"/>
        </w:numPr>
        <w:spacing w:after="60"/>
      </w:pPr>
      <w:r>
        <w:rPr>
          <w:b/>
        </w:rPr>
        <w:t>Temporary establishments:</w:t>
      </w:r>
      <w:r>
        <w:rPr/>
        <w:t xml:space="preserve"> Pay bills must specify the head of account and the order sanctioning the establishment.</w:t>
      </w:r>
    </w:p>
    <w:p>
      <w:pPr>
        <w:numPr>
          <w:ilvl w:val="1"/>
          <w:numId w:val="90"/>
        </w:numPr>
        <w:spacing w:after="60"/>
      </w:pPr>
      <w:r>
        <w:rPr>
          <w:b/>
        </w:rPr>
        <w:t>Officiating appointments:</w:t>
      </w:r>
      <w:r>
        <w:rPr/>
        <w:t xml:space="preserve"> These should be shown under the permanent establishment in the pay bills.</w:t>
      </w:r>
    </w:p>
    <w:p>
      <w:pPr>
        <w:tabs>
          <w:tab w:pos="425" w:val="left"/>
        </w:tabs>
        <w:spacing w:after="60"/>
        <w:ind w:left="425" w:hanging="425"/>
      </w:pPr>
      <w:r>
        <w:rPr>
          <w:b/>
        </w:rPr>
        <w:t>4.</w:t>
      </w:r>
      <w:r>
        <w:rPr/>
        <w:tab/>
      </w:r>
      <w:r>
        <w:rPr>
          <w:b/>
        </w:rPr>
        <w:t>Timing of Salary Disbursement:</w:t>
      </w:r>
    </w:p>
    <w:p>
      <w:pPr>
        <w:numPr>
          <w:ilvl w:val="1"/>
          <w:numId w:val="90"/>
        </w:numPr>
        <w:spacing w:after="60"/>
      </w:pPr>
      <w:r>
        <w:rPr/>
        <w:t>No salary shall be disbursed before the first working day of the succeeding month unless in extraordinary cases.</w:t>
      </w:r>
    </w:p>
    <w:p>
      <w:pPr>
        <w:numPr>
          <w:ilvl w:val="1"/>
          <w:numId w:val="90"/>
        </w:numPr>
        <w:spacing w:after="60"/>
      </w:pPr>
      <w:r>
        <w:rPr/>
        <w:t>Salary bills for part-months can be paid before the month ends in certain cases:</w:t>
      </w:r>
    </w:p>
    <w:p>
      <w:pPr>
        <w:numPr>
          <w:ilvl w:val="2"/>
          <w:numId w:val="90"/>
        </w:numPr>
        <w:spacing w:after="60"/>
      </w:pPr>
      <w:r>
        <w:rPr/>
        <w:t>If the employee quits service (due to dismissal, resignation, death, etc.).</w:t>
      </w:r>
    </w:p>
    <w:p>
      <w:pPr>
        <w:numPr>
          <w:ilvl w:val="2"/>
          <w:numId w:val="90"/>
        </w:numPr>
        <w:spacing w:after="60"/>
      </w:pPr>
      <w:r>
        <w:rPr/>
        <w:t>If a temporary appointment ceases before the end of the month and there is no permanent position for the employee.</w:t>
      </w:r>
    </w:p>
    <w:p>
      <w:pPr>
        <w:tabs>
          <w:tab w:pos="425" w:val="left"/>
        </w:tabs>
        <w:spacing w:after="60"/>
        <w:ind w:left="425" w:hanging="425"/>
      </w:pPr>
      <w:r>
        <w:rPr>
          <w:b/>
        </w:rPr>
        <w:t>5.</w:t>
      </w:r>
      <w:r>
        <w:rPr/>
        <w:tab/>
      </w:r>
      <w:r>
        <w:rPr>
          <w:b/>
        </w:rPr>
        <w:t>Public Holidays and Salary Disbursement:</w:t>
      </w:r>
    </w:p>
    <w:p>
      <w:pPr>
        <w:numPr>
          <w:ilvl w:val="1"/>
          <w:numId w:val="90"/>
        </w:numPr>
        <w:spacing w:after="60"/>
      </w:pPr>
      <w:r>
        <w:rPr/>
        <w:t>If the first two days of the month are public holidays, salaries (except for March) may be paid on the last working day before the holidays with the principal’s prior approval.</w:t>
      </w:r>
    </w:p>
    <w:p>
      <w:pPr>
        <w:tabs>
          <w:tab w:pos="425" w:val="left"/>
        </w:tabs>
        <w:spacing w:after="60"/>
        <w:ind w:left="425" w:hanging="425"/>
      </w:pPr>
      <w:r>
        <w:rPr>
          <w:b/>
        </w:rPr>
        <w:t>6.</w:t>
      </w:r>
      <w:r>
        <w:rPr/>
        <w:tab/>
      </w:r>
      <w:r>
        <w:rPr>
          <w:b/>
        </w:rPr>
        <w:t>Instructions for Salary Bills:</w:t>
      </w:r>
    </w:p>
    <w:p>
      <w:pPr>
        <w:numPr>
          <w:ilvl w:val="1"/>
          <w:numId w:val="90"/>
        </w:numPr>
        <w:spacing w:after="60"/>
      </w:pPr>
      <w:r>
        <w:rPr>
          <w:b/>
        </w:rPr>
        <w:t>Deductions:</w:t>
      </w:r>
      <w:r>
        <w:rPr/>
        <w:t xml:space="preserve"> All deductions (e.g., Provident Fund, Income Tax, House Rent) should be specified clearly.</w:t>
      </w:r>
    </w:p>
    <w:p>
      <w:pPr>
        <w:numPr>
          <w:ilvl w:val="1"/>
          <w:numId w:val="90"/>
        </w:numPr>
        <w:spacing w:after="60"/>
      </w:pPr>
      <w:r>
        <w:rPr>
          <w:b/>
        </w:rPr>
        <w:t>Broken period salaries:</w:t>
      </w:r>
      <w:r>
        <w:rPr/>
        <w:t xml:space="preserve"> For salary claims based on a broken period, the period and reason must be noted.</w:t>
      </w:r>
    </w:p>
    <w:p>
      <w:pPr>
        <w:numPr>
          <w:ilvl w:val="1"/>
          <w:numId w:val="90"/>
        </w:numPr>
        <w:spacing w:after="60"/>
      </w:pPr>
      <w:r>
        <w:rPr>
          <w:b/>
        </w:rPr>
        <w:t>First salary payment:</w:t>
      </w:r>
      <w:r>
        <w:rPr/>
        <w:t xml:space="preserve"> Made only after submission of a Health Certificate from a Medical Officer.</w:t>
      </w:r>
    </w:p>
    <w:p>
      <w:pPr>
        <w:numPr>
          <w:ilvl w:val="1"/>
          <w:numId w:val="90"/>
        </w:numPr>
        <w:spacing w:after="60"/>
      </w:pPr>
      <w:r>
        <w:rPr>
          <w:b/>
        </w:rPr>
        <w:t>Leave/Deputation:</w:t>
      </w:r>
      <w:r>
        <w:rPr/>
        <w:t xml:space="preserve"> Employees absent on leave or deputation should be marked in the bill.</w:t>
      </w:r>
    </w:p>
    <w:p>
      <w:pPr>
        <w:numPr>
          <w:ilvl w:val="1"/>
          <w:numId w:val="90"/>
        </w:numPr>
        <w:spacing w:after="60"/>
      </w:pPr>
      <w:r>
        <w:rPr>
          <w:b/>
        </w:rPr>
        <w:t>Salary withholding:</w:t>
      </w:r>
      <w:r>
        <w:rPr/>
        <w:t xml:space="preserve"> Reasons for withholding salary should be mentioned, and when paid later, cross-references to supplementary bills should be noted.</w:t>
      </w:r>
    </w:p>
    <w:p>
      <w:pPr>
        <w:numPr>
          <w:ilvl w:val="1"/>
          <w:numId w:val="90"/>
        </w:numPr>
        <w:spacing w:after="60"/>
      </w:pPr>
      <w:r>
        <w:rPr>
          <w:b/>
        </w:rPr>
        <w:t>Supplementary bills:</w:t>
      </w:r>
      <w:r>
        <w:rPr/>
        <w:t xml:space="preserve"> For arrears, supplementary claims should be made through separate bills, clearly showing the month and reason for omission or delay.</w:t>
      </w:r>
    </w:p>
    <w:p>
      <w:pPr>
        <w:numPr>
          <w:ilvl w:val="1"/>
          <w:numId w:val="90"/>
        </w:numPr>
        <w:spacing w:after="60"/>
      </w:pPr>
      <w:r>
        <w:rPr>
          <w:b/>
        </w:rPr>
        <w:t>Temporary establishment:</w:t>
      </w:r>
      <w:r>
        <w:rPr/>
        <w:t xml:space="preserve"> For temporary staff, the sanctioning orders should be quoted in the bill.</w:t>
      </w:r>
    </w:p>
    <w:p>
      <w:pPr>
        <w:tabs>
          <w:tab w:pos="425" w:val="left"/>
        </w:tabs>
        <w:spacing w:after="60"/>
        <w:ind w:left="425" w:hanging="425"/>
      </w:pPr>
      <w:r>
        <w:rPr>
          <w:b/>
        </w:rPr>
        <w:t>7.</w:t>
      </w:r>
      <w:r>
        <w:rPr/>
        <w:tab/>
      </w:r>
      <w:r>
        <w:rPr>
          <w:b/>
        </w:rPr>
        <w:t>Other Salary Bill Considerations:</w:t>
      </w:r>
    </w:p>
    <w:p>
      <w:pPr>
        <w:numPr>
          <w:ilvl w:val="1"/>
          <w:numId w:val="90"/>
        </w:numPr>
        <w:spacing w:after="60"/>
      </w:pPr>
      <w:r>
        <w:rPr/>
        <w:t>Fixed monthly charges (like House Rent Allowance) should be included in the pay bill.</w:t>
      </w:r>
    </w:p>
    <w:p>
      <w:pPr>
        <w:numPr>
          <w:ilvl w:val="1"/>
          <w:numId w:val="90"/>
        </w:numPr>
        <w:spacing w:after="60"/>
      </w:pPr>
      <w:r>
        <w:rPr>
          <w:b/>
        </w:rPr>
        <w:t>Drawing Officer's responsibility:</w:t>
      </w:r>
      <w:r>
        <w:rPr/>
        <w:t xml:space="preserve"> The person signing the bill is responsible for ensuring the accuracy of the amounts drawn.</w:t>
      </w:r>
    </w:p>
    <w:p>
      <w:pPr>
        <w:numPr>
          <w:ilvl w:val="1"/>
          <w:numId w:val="90"/>
        </w:numPr>
        <w:spacing w:after="60"/>
      </w:pPr>
      <w:r>
        <w:rPr>
          <w:b/>
        </w:rPr>
        <w:t>Increments and adjustments:</w:t>
      </w:r>
      <w:r>
        <w:rPr/>
        <w:t xml:space="preserve"> Any increments or adjustments should be noted in red ink in the bill.</w:t>
      </w:r>
    </w:p>
    <w:p>
      <w:pPr>
        <w:numPr>
          <w:ilvl w:val="1"/>
          <w:numId w:val="90"/>
        </w:numPr>
        <w:spacing w:after="60"/>
      </w:pPr>
      <w:r>
        <w:rPr>
          <w:b/>
        </w:rPr>
        <w:t>Daily wage earners:</w:t>
      </w:r>
      <w:r>
        <w:rPr/>
        <w:t xml:space="preserve"> Their wages should be drawn from supplementary bills and supported by attendance statements.</w:t>
      </w:r>
    </w:p>
    <w:p>
      <w:pPr>
        <w:numPr>
          <w:ilvl w:val="1"/>
          <w:numId w:val="90"/>
        </w:numPr>
        <w:spacing w:after="60"/>
      </w:pPr>
      <w:r>
        <w:rPr>
          <w:b/>
        </w:rPr>
        <w:t>Recovery deductions:</w:t>
      </w:r>
      <w:r>
        <w:rPr/>
        <w:t xml:space="preserve"> Various recoveries (e.g., security deposits, loans, Provident Fund, taxes) should be deducted and documented in the salary bill.</w:t>
      </w:r>
    </w:p>
    <w:p>
      <w:pPr>
        <w:tabs>
          <w:tab w:pos="425" w:val="left"/>
        </w:tabs>
        <w:spacing w:after="60"/>
        <w:ind w:left="425" w:hanging="425"/>
      </w:pPr>
      <w:r>
        <w:rPr>
          <w:b/>
        </w:rPr>
        <w:t>8.</w:t>
      </w:r>
      <w:r>
        <w:rPr/>
        <w:tab/>
      </w:r>
      <w:r>
        <w:rPr>
          <w:b/>
        </w:rPr>
        <w:t>Recovery and Deductions Procedures:</w:t>
      </w:r>
    </w:p>
    <w:p>
      <w:pPr>
        <w:numPr>
          <w:ilvl w:val="1"/>
          <w:numId w:val="90"/>
        </w:numPr>
        <w:spacing w:after="60"/>
      </w:pPr>
      <w:r>
        <w:rPr/>
        <w:t>Deductions for Co-operative Credit Society, Provident Fund, Income Tax, Insurance, Water and Electricity bills, and other charges should be handled carefully and entered in the relevant columns.</w:t>
      </w:r>
    </w:p>
    <w:p>
      <w:pPr>
        <w:numPr>
          <w:ilvl w:val="1"/>
          <w:numId w:val="90"/>
        </w:numPr>
        <w:spacing w:after="60"/>
      </w:pPr>
      <w:r>
        <w:rPr>
          <w:b/>
        </w:rPr>
        <w:t>Late deductions:</w:t>
      </w:r>
      <w:r>
        <w:rPr/>
        <w:t xml:space="preserve"> If deductions are missed in one month, they should be deducted from the following month's bill.</w:t>
      </w:r>
    </w:p>
    <w:p>
      <w:pPr>
        <w:numPr>
          <w:ilvl w:val="1"/>
          <w:numId w:val="90"/>
        </w:numPr>
        <w:spacing w:after="60"/>
      </w:pPr>
      <w:r>
        <w:rPr/>
        <w:t>No advances should be sanctioned after the 30th of any month, unless in special cases, in which case, arrangements must be made for recovery from the salary.</w:t>
      </w:r>
    </w:p>
    <w:p>
      <w:pPr>
        <w:spacing w:after="0"/>
      </w:pPr>
      <w:r>
        <w:br w:type="page"/>
      </w:r>
    </w:p>
    <w:p>
      <w:pPr>
        <w:pStyle w:val="Heading1"/>
        <w:spacing w:before="0"/>
      </w:pPr>
      <w:r>
        <w:rPr/>
        <w:t>37. Accounts and Bill Passing Procedures</w:t>
      </w:r>
    </w:p>
    <w:p>
      <w:pPr>
        <w:pStyle w:val="Heading3"/>
      </w:pPr>
      <w:r>
        <w:rPr/>
        <w:t>1. Required Documents for Bill Submission:</w:t>
      </w:r>
    </w:p>
    <w:p>
      <w:pPr>
        <w:numPr>
          <w:ilvl w:val="1"/>
          <w:numId w:val="90"/>
        </w:numPr>
        <w:spacing w:after="60"/>
      </w:pPr>
      <w:r>
        <w:rPr/>
        <w:t>Bills must be submitted along with the following supporting documents</w:t>
      </w:r>
      <w:r>
        <w:rPr>
          <w:b/>
        </w:rPr>
        <w:t>:</w:t>
      </w:r>
    </w:p>
    <w:p>
      <w:pPr>
        <w:tabs>
          <w:tab w:pos="1361" w:val="left"/>
        </w:tabs>
        <w:spacing w:after="60"/>
        <w:ind w:left="1361" w:hanging="425"/>
      </w:pPr>
      <w:r>
        <w:rPr/>
        <w:t>1.</w:t>
        <w:tab/>
        <w:t>Invoices and delivery challans.</w:t>
      </w:r>
    </w:p>
    <w:p>
      <w:pPr>
        <w:tabs>
          <w:tab w:pos="1361" w:val="left"/>
        </w:tabs>
        <w:spacing w:after="60"/>
        <w:ind w:left="1361" w:hanging="425"/>
      </w:pPr>
      <w:r>
        <w:rPr/>
        <w:t>2.</w:t>
        <w:tab/>
        <w:t>Certificates confirming receipt of goods in good condition.</w:t>
      </w:r>
    </w:p>
    <w:p>
      <w:pPr>
        <w:tabs>
          <w:tab w:pos="1361" w:val="left"/>
        </w:tabs>
        <w:spacing w:after="60"/>
        <w:ind w:left="1361" w:hanging="425"/>
      </w:pPr>
      <w:r>
        <w:rPr/>
        <w:t>3.</w:t>
        <w:tab/>
        <w:t>Installation reports (if applicable).</w:t>
      </w:r>
    </w:p>
    <w:p>
      <w:pPr>
        <w:tabs>
          <w:tab w:pos="1361" w:val="left"/>
        </w:tabs>
        <w:spacing w:after="60"/>
        <w:ind w:left="1361" w:hanging="425"/>
      </w:pPr>
      <w:r>
        <w:rPr/>
        <w:t>4.</w:t>
        <w:tab/>
        <w:t>Stock ledger entry details (if applicable).</w:t>
      </w:r>
    </w:p>
    <w:p>
      <w:pPr>
        <w:tabs>
          <w:tab w:pos="1361" w:val="left"/>
        </w:tabs>
        <w:spacing w:after="60"/>
        <w:ind w:left="1361" w:hanging="425"/>
      </w:pPr>
      <w:r>
        <w:rPr/>
        <w:t>5.</w:t>
        <w:tab/>
        <w:t>Travel proofs (e.g., railway tickets, bus tickets) accompanied by a tour report</w:t>
      </w:r>
      <w:r>
        <w:rPr>
          <w:b/>
        </w:rPr>
        <w:t>.</w:t>
      </w:r>
    </w:p>
    <w:p>
      <w:pPr>
        <w:numPr>
          <w:ilvl w:val="1"/>
          <w:numId w:val="90"/>
        </w:numPr>
        <w:spacing w:after="60"/>
      </w:pPr>
      <w:r>
        <w:rPr/>
        <w:t>The forwarding authority (e.g., department head) must certify that the tour report has been submitted when applicable.</w:t>
      </w:r>
    </w:p>
    <w:p>
      <w:pPr>
        <w:pStyle w:val="Heading3"/>
      </w:pPr>
      <w:r>
        <w:rPr/>
        <w:t>2. HOD/Principal Responsibility:</w:t>
      </w:r>
    </w:p>
    <w:p>
      <w:pPr>
        <w:numPr>
          <w:ilvl w:val="1"/>
          <w:numId w:val="90"/>
        </w:numPr>
        <w:spacing w:after="60"/>
      </w:pPr>
      <w:r>
        <w:rPr/>
        <w:t>HODs and the Principal must ensure that the above documents are submitted before the bill is forwarded to the accounts for processing.</w:t>
      </w:r>
    </w:p>
    <w:p>
      <w:pPr>
        <w:numPr>
          <w:ilvl w:val="1"/>
          <w:numId w:val="90"/>
        </w:numPr>
        <w:spacing w:after="60"/>
      </w:pPr>
      <w:r>
        <w:rPr/>
        <w:t>They must also ensure that the documents are complete and in order to avoid delays.</w:t>
      </w:r>
    </w:p>
    <w:p>
      <w:pPr>
        <w:pStyle w:val="Heading3"/>
      </w:pPr>
      <w:r>
        <w:rPr/>
        <w:t>3. Processing of Bills by Accounts:</w:t>
      </w:r>
    </w:p>
    <w:p>
      <w:pPr>
        <w:numPr>
          <w:ilvl w:val="1"/>
          <w:numId w:val="90"/>
        </w:numPr>
        <w:spacing w:after="60"/>
      </w:pPr>
      <w:r>
        <w:rPr/>
        <w:t>The Accounts Department will not process any bill unless all the required supporting documents and proper stock ledger entries are attached.</w:t>
      </w:r>
    </w:p>
    <w:p>
      <w:pPr>
        <w:numPr>
          <w:ilvl w:val="1"/>
          <w:numId w:val="90"/>
        </w:numPr>
        <w:spacing w:after="60"/>
      </w:pPr>
      <w:r>
        <w:rPr/>
        <w:t>If any necessary documentation is missing or incomplete, the bill may be returned to the respective department for correction.</w:t>
      </w:r>
    </w:p>
    <w:p>
      <w:pPr>
        <w:pStyle w:val="Heading3"/>
      </w:pPr>
      <w:r>
        <w:rPr/>
        <w:t>4. Approval Numbers for Verification:</w:t>
      </w:r>
    </w:p>
    <w:p>
      <w:pPr>
        <w:numPr>
          <w:ilvl w:val="1"/>
          <w:numId w:val="90"/>
        </w:numPr>
        <w:spacing w:after="60"/>
      </w:pPr>
      <w:r>
        <w:rPr/>
        <w:t>For each item in the invoice or bill, approval numbers must be clearly mentioned.</w:t>
      </w:r>
    </w:p>
    <w:p>
      <w:pPr>
        <w:numPr>
          <w:ilvl w:val="1"/>
          <w:numId w:val="90"/>
        </w:numPr>
        <w:spacing w:after="60"/>
      </w:pPr>
      <w:r>
        <w:rPr/>
        <w:t>These approval numbers will be used by the accounts department for verification and to ensure that the expenses are in line with approved budgets</w:t>
      </w:r>
      <w:r>
        <w:rPr>
          <w:b/>
        </w:rPr>
        <w:t>.</w:t>
      </w:r>
    </w:p>
    <w:p>
      <w:pPr>
        <w:spacing w:after="0"/>
      </w:pPr>
      <w:r>
        <w:br w:type="page"/>
      </w:r>
    </w:p>
    <w:p>
      <w:pPr>
        <w:pStyle w:val="Heading1"/>
        <w:spacing w:before="0"/>
      </w:pPr>
      <w:r>
        <w:rPr/>
        <w:t>38. Unserviceable Articles Disposal Procedure</w:t>
      </w:r>
    </w:p>
    <w:p>
      <w:pPr>
        <w:pStyle w:val="Heading3"/>
      </w:pPr>
      <w:r>
        <w:rPr/>
        <w:t>1. Handing Over Unserviceable Articles:</w:t>
      </w:r>
    </w:p>
    <w:p>
      <w:pPr>
        <w:numPr>
          <w:ilvl w:val="1"/>
          <w:numId w:val="90"/>
        </w:numPr>
        <w:spacing w:after="60"/>
      </w:pPr>
      <w:r>
        <w:rPr/>
        <w:t>All unserviceable articles, which are to be removed from the balance shown in the stock register, shall be handed over to the Purchase Section for further disposal.</w:t>
      </w:r>
    </w:p>
    <w:p>
      <w:pPr>
        <w:pStyle w:val="Heading3"/>
      </w:pPr>
      <w:r>
        <w:rPr/>
        <w:t>2. Preparation of List:</w:t>
      </w:r>
    </w:p>
    <w:p>
      <w:pPr>
        <w:numPr>
          <w:ilvl w:val="1"/>
          <w:numId w:val="90"/>
        </w:numPr>
        <w:spacing w:after="60"/>
      </w:pPr>
      <w:r>
        <w:rPr/>
        <w:t xml:space="preserve">A list of unserviceable articles shall be prepared in </w:t>
      </w:r>
      <w:r>
        <w:rPr>
          <w:b/>
        </w:rPr>
        <w:t>triplicate</w:t>
      </w:r>
      <w:r>
        <w:rPr/>
        <w:t>:</w:t>
      </w:r>
    </w:p>
    <w:p>
      <w:pPr>
        <w:numPr>
          <w:ilvl w:val="2"/>
          <w:numId w:val="90"/>
        </w:numPr>
        <w:spacing w:after="60"/>
      </w:pPr>
      <w:r>
        <w:rPr/>
        <w:t>The first copy is sent to the Director of Material Production, along with the articles.</w:t>
      </w:r>
    </w:p>
    <w:p>
      <w:pPr>
        <w:numPr>
          <w:ilvl w:val="2"/>
          <w:numId w:val="90"/>
        </w:numPr>
        <w:spacing w:after="60"/>
      </w:pPr>
      <w:r>
        <w:rPr/>
        <w:t>The second copy is sent to the Accounts Branch.</w:t>
      </w:r>
    </w:p>
    <w:p>
      <w:pPr>
        <w:numPr>
          <w:ilvl w:val="2"/>
          <w:numId w:val="90"/>
        </w:numPr>
        <w:spacing w:after="60"/>
      </w:pPr>
      <w:r>
        <w:rPr/>
        <w:t>The third copy is retained for office records.</w:t>
      </w:r>
    </w:p>
    <w:p>
      <w:pPr>
        <w:pStyle w:val="Heading3"/>
      </w:pPr>
      <w:r>
        <w:rPr/>
        <w:t>3. Disposal and Documentation:</w:t>
      </w:r>
    </w:p>
    <w:p>
      <w:pPr>
        <w:numPr>
          <w:ilvl w:val="1"/>
          <w:numId w:val="90"/>
        </w:numPr>
        <w:spacing w:after="60"/>
      </w:pPr>
      <w:r>
        <w:rPr/>
        <w:t>When any item is disposed of (whether by sale or otherwise), the particulars of disposal (including details of how the item was disposed) must be entered in the stock register</w:t>
      </w:r>
      <w:r>
        <w:rPr>
          <w:b/>
        </w:rPr>
        <w:t>.</w:t>
      </w:r>
    </w:p>
    <w:p>
      <w:pPr>
        <w:numPr>
          <w:ilvl w:val="1"/>
          <w:numId w:val="90"/>
        </w:numPr>
        <w:spacing w:after="60"/>
      </w:pPr>
      <w:r>
        <w:rPr/>
        <w:t xml:space="preserve">The Head of the Branch/Department shall </w:t>
      </w:r>
      <w:r>
        <w:rPr>
          <w:b/>
        </w:rPr>
        <w:t>initial</w:t>
      </w:r>
      <w:r>
        <w:rPr/>
        <w:t xml:space="preserve"> the stock register entry to confirm the disposal.</w:t>
      </w:r>
    </w:p>
    <w:p>
      <w:pPr>
        <w:pStyle w:val="Heading3"/>
      </w:pPr>
      <w:r>
        <w:rPr/>
        <w:t>4. Disposal of Scientific Equipment or Furniture:</w:t>
      </w:r>
    </w:p>
    <w:p>
      <w:pPr>
        <w:numPr>
          <w:ilvl w:val="1"/>
          <w:numId w:val="90"/>
        </w:numPr>
        <w:spacing w:after="60"/>
      </w:pPr>
      <w:r>
        <w:rPr/>
        <w:t>If scientific equipment or articles of furniture are written off with the sanction of the competent authority, the disposal particulars shall be entered in the Register of Tools and Plant.</w:t>
      </w:r>
    </w:p>
    <w:p>
      <w:pPr>
        <w:numPr>
          <w:ilvl w:val="1"/>
          <w:numId w:val="90"/>
        </w:numPr>
        <w:spacing w:after="60"/>
      </w:pPr>
      <w:r>
        <w:rPr/>
        <w:t>The Head of the Branch will again initial this entry.</w:t>
      </w:r>
    </w:p>
    <w:p>
      <w:pPr>
        <w:spacing w:after="0"/>
      </w:pPr>
      <w:r>
        <w:br w:type="page"/>
      </w:r>
    </w:p>
    <w:p>
      <w:pPr>
        <w:pStyle w:val="Heading1"/>
        <w:spacing w:before="0"/>
      </w:pPr>
      <w:r>
        <w:rPr/>
        <w:t>39. Scrutiny of Bills for Purchase</w:t>
      </w:r>
    </w:p>
    <w:p>
      <w:r>
        <w:rPr/>
        <w:t>Before submitting any bill for the purchase of stores, furniture, or tools and plant for sanction and payment, the following steps must be followed:</w:t>
      </w:r>
    </w:p>
    <w:p>
      <w:pPr>
        <w:pStyle w:val="Heading3"/>
      </w:pPr>
      <w:r>
        <w:rPr/>
        <w:t>1. Reference to Stock Register:</w:t>
      </w:r>
    </w:p>
    <w:p>
      <w:pPr>
        <w:numPr>
          <w:ilvl w:val="1"/>
          <w:numId w:val="90"/>
        </w:numPr>
        <w:spacing w:after="60"/>
      </w:pPr>
      <w:r>
        <w:rPr/>
        <w:t>The Head of the Branch/Department or the Officer concerned is responsible for ensuring that a reference to the entry in the Stock Register is quoted in the bill.</w:t>
      </w:r>
    </w:p>
    <w:p>
      <w:pPr>
        <w:pStyle w:val="Heading3"/>
      </w:pPr>
      <w:r>
        <w:rPr/>
        <w:t>2. Personal Responsibility:</w:t>
      </w:r>
    </w:p>
    <w:p>
      <w:pPr>
        <w:numPr>
          <w:ilvl w:val="1"/>
          <w:numId w:val="90"/>
        </w:numPr>
        <w:spacing w:after="60"/>
      </w:pPr>
      <w:r>
        <w:rPr/>
        <w:t>The officer submitting the bill shall be personally responsible for ensuring that this reference to the stock register entry is included in the bill.</w:t>
      </w:r>
    </w:p>
    <w:p>
      <w:pPr>
        <w:spacing w:after="0"/>
      </w:pPr>
      <w:r>
        <w:br w:type="page"/>
      </w:r>
    </w:p>
    <w:p>
      <w:pPr>
        <w:pStyle w:val="Heading1"/>
        <w:spacing w:before="0"/>
      </w:pPr>
      <w:r>
        <w:rPr/>
        <w:t>40. Payroll-Salaries Policy</w:t>
      </w:r>
    </w:p>
    <w:p>
      <w:pPr>
        <w:pStyle w:val="Heading2"/>
      </w:pPr>
      <w:r>
        <w:rPr/>
        <w:t>Payroll Management</w:t>
      </w:r>
    </w:p>
    <w:p>
      <w:r>
        <w:rPr/>
        <w:t>The Organisation recognizes payroll as one of the most critical financial functions, directly impacting employee welfare, institutional credibility, and compliance with statutory regulations. It is therefore essential to establish stringent controls to govern all payroll-related transactions and ensure transparency, accuracy, and accountability in the process.</w:t>
      </w:r>
    </w:p>
    <w:p>
      <w:r>
        <w:rPr/>
        <w:t>The policy mandates that all payroll transactions and movements that may affect payroll data must be properly authorized, documented, and monitored. This includes new appointments, promotions, increments, leave adjustments, overtime, deductions, and terminations. Such controls are designed to safeguard against errors, fraud, and mismanagement while ensuring employees receive fair and timely compensation.</w:t>
      </w:r>
    </w:p>
    <w:p>
      <w:r>
        <w:rPr/>
        <w:t>It is the policy of HEIs to provide appropriate remuneration strictly for time worked and services rendered, in line with employment contracts, institutional rules, and relevant labor laws. All statutory deductions—such as income tax, provident fund, professional tax, gratuity, and other regulatory contributions—will be accurately calculated and remitted within prescribed timelines to comply with national legislation and avoid penalties.</w:t>
      </w:r>
    </w:p>
    <w:p>
      <w:r>
        <w:rPr/>
        <w:t>Furthermore, the organisation ensures that net pay due to employees will be directly credited into their designated bank accounts to promote efficiency, security, and financial transparency. This eliminates the risks associated with cash handling and aligns payroll practices with modern banking and governance standards.</w:t>
      </w:r>
    </w:p>
    <w:p>
      <w:r>
        <w:rPr/>
        <w:t>Through this policy, the Organisation reinforces its commitment to financial discipline, regulatory compliance, and employee trust, while embedding payroll management within the larger framework of effective financial governance.</w:t>
      </w:r>
    </w:p>
    <w:p>
      <w:pPr>
        <w:pStyle w:val="Heading2"/>
      </w:pPr>
      <w:r>
        <w:rPr/>
        <w:t>Payroll Controls &amp; Procedures</w:t>
      </w:r>
    </w:p>
    <w:p>
      <w:r>
        <w:rPr/>
        <w:t>To ensure accuracy, compliance, and transparency in payroll management, the following controls and procedures shall apply:</w:t>
      </w:r>
    </w:p>
    <w:p>
      <w:pPr>
        <w:numPr>
          <w:ilvl w:val="0"/>
          <w:numId w:val="90"/>
        </w:numPr>
        <w:spacing w:after="60"/>
      </w:pPr>
      <w:r>
        <w:rPr/>
        <w:t>1. Authorization and Approvals</w:t>
      </w:r>
    </w:p>
    <w:p>
      <w:pPr>
        <w:numPr>
          <w:ilvl w:val="1"/>
          <w:numId w:val="90"/>
        </w:numPr>
        <w:spacing w:after="60"/>
      </w:pPr>
      <w:r>
        <w:rPr/>
        <w:t>All payroll-related transactions (appointments, salary revisions, overtime, deductions, resignations, terminations) must be approved in writing by the competent authority (Registrar/Principal/HR Head).</w:t>
      </w:r>
    </w:p>
    <w:p>
      <w:pPr>
        <w:numPr>
          <w:ilvl w:val="1"/>
          <w:numId w:val="90"/>
        </w:numPr>
        <w:spacing w:after="60"/>
      </w:pPr>
      <w:r>
        <w:rPr/>
        <w:t>No changes to payroll data shall be processed without documented approval.</w:t>
      </w:r>
    </w:p>
    <w:p>
      <w:pPr>
        <w:numPr>
          <w:ilvl w:val="0"/>
          <w:numId w:val="90"/>
        </w:numPr>
        <w:spacing w:after="60"/>
      </w:pPr>
      <w:r>
        <w:rPr/>
        <w:t>2. Employee Records Management</w:t>
      </w:r>
    </w:p>
    <w:p>
      <w:pPr>
        <w:numPr>
          <w:ilvl w:val="1"/>
          <w:numId w:val="90"/>
        </w:numPr>
        <w:spacing w:after="60"/>
      </w:pPr>
      <w:r>
        <w:rPr/>
        <w:t>A comprehensive employee database shall be maintained, including appointment letters, grade details, leave balances, tax declarations, and statutory compliance information.</w:t>
      </w:r>
    </w:p>
    <w:p>
      <w:pPr>
        <w:numPr>
          <w:ilvl w:val="1"/>
          <w:numId w:val="90"/>
        </w:numPr>
        <w:spacing w:after="60"/>
      </w:pPr>
      <w:r>
        <w:rPr/>
        <w:t>HR and Accounts departments must coordinate to ensure records are accurate and updated regularly.</w:t>
      </w:r>
    </w:p>
    <w:p>
      <w:pPr>
        <w:numPr>
          <w:ilvl w:val="0"/>
          <w:numId w:val="90"/>
        </w:numPr>
        <w:spacing w:after="60"/>
      </w:pPr>
      <w:r>
        <w:rPr/>
        <w:t>3. Payroll Preparation</w:t>
      </w:r>
    </w:p>
    <w:p>
      <w:pPr>
        <w:numPr>
          <w:ilvl w:val="1"/>
          <w:numId w:val="90"/>
        </w:numPr>
        <w:spacing w:after="60"/>
      </w:pPr>
      <w:r>
        <w:rPr/>
        <w:t>Payroll shall be prepared monthly by the Finance/Accounts Department using approved payroll software or ERP systems.</w:t>
      </w:r>
    </w:p>
    <w:p>
      <w:pPr>
        <w:numPr>
          <w:ilvl w:val="1"/>
          <w:numId w:val="90"/>
        </w:numPr>
        <w:spacing w:after="60"/>
      </w:pPr>
      <w:r>
        <w:rPr/>
        <w:t>All additions (increments, allowances) and deductions (PF, TDS, loans, insurance) must be cross-checked with supporting documentation before processing.</w:t>
      </w:r>
    </w:p>
    <w:p>
      <w:pPr>
        <w:numPr>
          <w:ilvl w:val="1"/>
          <w:numId w:val="90"/>
        </w:numPr>
        <w:spacing w:after="60"/>
      </w:pPr>
      <w:r>
        <w:rPr/>
        <w:t>Trial payroll reports shall be reviewed by the Finance Officer before finalization.</w:t>
      </w:r>
    </w:p>
    <w:p>
      <w:pPr>
        <w:numPr>
          <w:ilvl w:val="0"/>
          <w:numId w:val="90"/>
        </w:numPr>
        <w:spacing w:after="60"/>
      </w:pPr>
      <w:r>
        <w:rPr/>
        <w:t>4. Statutory Deductions &amp; Compliance</w:t>
      </w:r>
    </w:p>
    <w:p>
      <w:pPr>
        <w:numPr>
          <w:ilvl w:val="1"/>
          <w:numId w:val="90"/>
        </w:numPr>
        <w:spacing w:after="60"/>
      </w:pPr>
      <w:r>
        <w:rPr/>
        <w:t>Deductions such as Provident Fund (PF), Professional Tax, Income Tax (TDS), Gratuity, ESI, and any other statutory requirements must be computed accurately.</w:t>
      </w:r>
    </w:p>
    <w:p>
      <w:pPr>
        <w:numPr>
          <w:ilvl w:val="1"/>
          <w:numId w:val="90"/>
        </w:numPr>
        <w:spacing w:after="60"/>
      </w:pPr>
      <w:r>
        <w:rPr/>
        <w:t>Compliance deadlines must be strictly adhered to for timely remittance to statutory authorities.</w:t>
      </w:r>
    </w:p>
    <w:p>
      <w:pPr>
        <w:numPr>
          <w:ilvl w:val="1"/>
          <w:numId w:val="90"/>
        </w:numPr>
        <w:spacing w:after="60"/>
      </w:pPr>
      <w:r>
        <w:rPr/>
        <w:t>Records of remittances must be retained for audit and regulatory inspections.</w:t>
      </w:r>
    </w:p>
    <w:p>
      <w:pPr>
        <w:numPr>
          <w:ilvl w:val="0"/>
          <w:numId w:val="90"/>
        </w:numPr>
        <w:spacing w:after="60"/>
      </w:pPr>
      <w:r>
        <w:rPr/>
        <w:t>5. Payment of Salaries</w:t>
      </w:r>
    </w:p>
    <w:p>
      <w:pPr>
        <w:numPr>
          <w:ilvl w:val="1"/>
          <w:numId w:val="90"/>
        </w:numPr>
        <w:spacing w:after="60"/>
      </w:pPr>
      <w:r>
        <w:rPr/>
        <w:t>Net salaries shall be disbursed directly to employees’ registered bank accounts via Electronic Funds Transfer (EFT/NEFT/RTGS).</w:t>
      </w:r>
    </w:p>
    <w:p>
      <w:pPr>
        <w:numPr>
          <w:ilvl w:val="1"/>
          <w:numId w:val="90"/>
        </w:numPr>
        <w:spacing w:after="60"/>
      </w:pPr>
      <w:r>
        <w:rPr/>
        <w:t>Salary slips shall be generated and shared electronically with employees for transparency.</w:t>
      </w:r>
    </w:p>
    <w:p>
      <w:pPr>
        <w:numPr>
          <w:ilvl w:val="1"/>
          <w:numId w:val="90"/>
        </w:numPr>
        <w:spacing w:after="60"/>
      </w:pPr>
      <w:r>
        <w:rPr/>
        <w:t>No cash payments shall be permitted except under exceptional circumstances authorized by the Governing Body.</w:t>
      </w:r>
    </w:p>
    <w:p>
      <w:pPr>
        <w:numPr>
          <w:ilvl w:val="0"/>
          <w:numId w:val="90"/>
        </w:numPr>
        <w:spacing w:after="60"/>
      </w:pPr>
      <w:r>
        <w:rPr/>
        <w:t>6. Payroll Reconciliation &amp; Monitoring</w:t>
      </w:r>
    </w:p>
    <w:p>
      <w:pPr>
        <w:numPr>
          <w:ilvl w:val="1"/>
          <w:numId w:val="90"/>
        </w:numPr>
        <w:spacing w:after="60"/>
      </w:pPr>
      <w:r>
        <w:rPr/>
        <w:t>Monthly reconciliation of payroll against attendance records, HR data, and financial statements shall be conducted by the Finance Officer.</w:t>
      </w:r>
    </w:p>
    <w:p>
      <w:pPr>
        <w:numPr>
          <w:ilvl w:val="1"/>
          <w:numId w:val="90"/>
        </w:numPr>
        <w:spacing w:after="60"/>
      </w:pPr>
      <w:r>
        <w:rPr/>
        <w:t>Variances, if any, must be investigated and resolved immediately.</w:t>
      </w:r>
    </w:p>
    <w:p>
      <w:pPr>
        <w:numPr>
          <w:ilvl w:val="1"/>
          <w:numId w:val="90"/>
        </w:numPr>
        <w:spacing w:after="60"/>
      </w:pPr>
      <w:r>
        <w:rPr/>
        <w:t>Payroll costs must be tracked against budgetary allocations for effective financial control.</w:t>
      </w:r>
    </w:p>
    <w:p>
      <w:pPr>
        <w:numPr>
          <w:ilvl w:val="0"/>
          <w:numId w:val="90"/>
        </w:numPr>
        <w:spacing w:after="60"/>
      </w:pPr>
      <w:r>
        <w:rPr/>
        <w:t>7. Internal Control &amp; Audit</w:t>
      </w:r>
    </w:p>
    <w:p>
      <w:pPr>
        <w:numPr>
          <w:ilvl w:val="1"/>
          <w:numId w:val="90"/>
        </w:numPr>
        <w:spacing w:after="60"/>
      </w:pPr>
      <w:r>
        <w:rPr/>
        <w:t>Payroll shall be subject to both internal and external audits to ensure compliance, detect discrepancies, and strengthen financial governance.</w:t>
      </w:r>
    </w:p>
    <w:p>
      <w:pPr>
        <w:numPr>
          <w:ilvl w:val="1"/>
          <w:numId w:val="90"/>
        </w:numPr>
        <w:spacing w:after="60"/>
      </w:pPr>
      <w:r>
        <w:rPr/>
        <w:t>Access to payroll systems shall be restricted to authorized personnel, with role-based permissions.</w:t>
      </w:r>
    </w:p>
    <w:p>
      <w:pPr>
        <w:numPr>
          <w:ilvl w:val="1"/>
          <w:numId w:val="90"/>
        </w:numPr>
        <w:spacing w:after="60"/>
      </w:pPr>
      <w:r>
        <w:rPr/>
        <w:t>Audit trails of all modifications to payroll data must be maintained.</w:t>
      </w:r>
    </w:p>
    <w:p>
      <w:pPr>
        <w:numPr>
          <w:ilvl w:val="0"/>
          <w:numId w:val="90"/>
        </w:numPr>
        <w:spacing w:after="60"/>
      </w:pPr>
      <w:r>
        <w:rPr/>
        <w:t>8. Confidentiality &amp; Data Security</w:t>
      </w:r>
    </w:p>
    <w:p>
      <w:pPr>
        <w:numPr>
          <w:ilvl w:val="1"/>
          <w:numId w:val="90"/>
        </w:numPr>
        <w:spacing w:after="60"/>
      </w:pPr>
      <w:r>
        <w:rPr/>
        <w:t>Payroll data is confidential and shall not be shared with unauthorized persons.</w:t>
      </w:r>
    </w:p>
    <w:p>
      <w:pPr>
        <w:numPr>
          <w:ilvl w:val="1"/>
          <w:numId w:val="90"/>
        </w:numPr>
        <w:spacing w:after="60"/>
      </w:pPr>
      <w:r>
        <w:rPr/>
        <w:t>Proper IT controls, including password protection, encryption, and restricted access, must be applied to payroll systems.</w:t>
      </w:r>
    </w:p>
    <w:p>
      <w:pPr>
        <w:numPr>
          <w:ilvl w:val="1"/>
          <w:numId w:val="90"/>
        </w:numPr>
        <w:spacing w:after="60"/>
      </w:pPr>
      <w:r>
        <w:rPr/>
        <w:t>Employee financial and personal information must be handled in compliance with data protection regulations.</w:t>
      </w:r>
    </w:p>
    <w:p>
      <w:pPr>
        <w:pStyle w:val="Heading2"/>
      </w:pPr>
      <w:r>
        <w:rPr/>
        <w:t>Payroll Compliance Checklist</w:t>
      </w:r>
    </w:p>
    <w:tbl>
      <w:tblPr>
        <w:tblW w:type="dxa" w:w="8845"/>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2948"/>
        <w:gridCol w:w="1984"/>
        <w:gridCol w:w="1587"/>
        <w:gridCol w:w="2324"/>
      </w:tblGrid>
      <w:tr>
        <w:trPr>
          <w:cantSplit w:val="true"/>
          <w:tblHeader w:val="true"/>
        </w:trPr>
        <w:tc>
          <w:tcPr>
            <w:tcW w:type="dxa" w:w="2948"/>
            <w:shd w:val="clear" w:color="auto" w:fill="1F3A5F"/>
          </w:tcPr>
          <w:p>
            <w:pPr>
              <w:spacing w:after="20" w:before="20" w:line="240" w:lineRule="auto"/>
              <w:jc w:val="left"/>
            </w:pPr>
            <w:r>
              <w:rPr>
                <w:b/>
                <w:color w:val="FFFFFF"/>
                <w:sz w:val="20"/>
              </w:rPr>
              <w:t>Control Point</w:t>
            </w:r>
          </w:p>
        </w:tc>
        <w:tc>
          <w:tcPr>
            <w:tcW w:type="dxa" w:w="1984"/>
            <w:shd w:val="clear" w:color="auto" w:fill="1F3A5F"/>
          </w:tcPr>
          <w:p>
            <w:pPr>
              <w:spacing w:after="20" w:before="20" w:line="240" w:lineRule="auto"/>
              <w:jc w:val="left"/>
            </w:pPr>
            <w:r>
              <w:rPr>
                <w:b/>
                <w:color w:val="FFFFFF"/>
                <w:sz w:val="20"/>
              </w:rPr>
              <w:t>Responsible Authority</w:t>
            </w:r>
          </w:p>
        </w:tc>
        <w:tc>
          <w:tcPr>
            <w:tcW w:type="dxa" w:w="1587"/>
            <w:shd w:val="clear" w:color="auto" w:fill="1F3A5F"/>
          </w:tcPr>
          <w:p>
            <w:pPr>
              <w:spacing w:after="20" w:before="20" w:line="240" w:lineRule="auto"/>
              <w:jc w:val="left"/>
            </w:pPr>
            <w:r>
              <w:rPr>
                <w:b/>
                <w:color w:val="FFFFFF"/>
                <w:sz w:val="20"/>
              </w:rPr>
              <w:t>Frequency</w:t>
            </w:r>
          </w:p>
        </w:tc>
        <w:tc>
          <w:tcPr>
            <w:tcW w:type="dxa" w:w="2324"/>
            <w:shd w:val="clear" w:color="auto" w:fill="1F3A5F"/>
          </w:tcPr>
          <w:p>
            <w:pPr>
              <w:spacing w:after="20" w:before="20" w:line="240" w:lineRule="auto"/>
              <w:jc w:val="left"/>
            </w:pPr>
            <w:r>
              <w:rPr>
                <w:b/>
                <w:color w:val="FFFFFF"/>
                <w:sz w:val="20"/>
              </w:rPr>
              <w:t>Monitoring Tool / Evidence</w:t>
            </w:r>
          </w:p>
        </w:tc>
      </w:tr>
      <w:tr>
        <w:trPr>
          <w:cantSplit w:val="true"/>
        </w:trPr>
        <w:tc>
          <w:tcPr>
            <w:tcW w:type="dxa" w:w="2948"/>
          </w:tcPr>
          <w:p>
            <w:pPr>
              <w:spacing w:after="20" w:before="20" w:line="240" w:lineRule="auto"/>
              <w:jc w:val="left"/>
            </w:pPr>
            <w:r>
              <w:rPr>
                <w:sz w:val="20"/>
              </w:rPr>
              <w:t>Authorization of new appointments, salary revisions, and terminations</w:t>
            </w:r>
          </w:p>
        </w:tc>
        <w:tc>
          <w:tcPr>
            <w:tcW w:type="dxa" w:w="1984"/>
          </w:tcPr>
          <w:p>
            <w:pPr>
              <w:spacing w:after="20" w:before="20" w:line="240" w:lineRule="auto"/>
              <w:jc w:val="left"/>
            </w:pPr>
            <w:r>
              <w:rPr>
                <w:sz w:val="20"/>
              </w:rPr>
              <w:t>Registrar / HR Head</w:t>
            </w:r>
          </w:p>
        </w:tc>
        <w:tc>
          <w:tcPr>
            <w:tcW w:type="dxa" w:w="1587"/>
          </w:tcPr>
          <w:p>
            <w:pPr>
              <w:spacing w:after="20" w:before="20" w:line="240" w:lineRule="auto"/>
              <w:jc w:val="left"/>
            </w:pPr>
            <w:r>
              <w:rPr>
                <w:sz w:val="20"/>
              </w:rPr>
              <w:t>As and when occurs</w:t>
            </w:r>
          </w:p>
        </w:tc>
        <w:tc>
          <w:tcPr>
            <w:tcW w:type="dxa" w:w="2324"/>
          </w:tcPr>
          <w:p>
            <w:pPr>
              <w:spacing w:after="20" w:before="20" w:line="240" w:lineRule="auto"/>
              <w:jc w:val="left"/>
            </w:pPr>
            <w:r>
              <w:rPr>
                <w:sz w:val="20"/>
              </w:rPr>
              <w:t>Appointment letters, approval notes, HR records</w:t>
            </w:r>
          </w:p>
        </w:tc>
      </w:tr>
      <w:tr>
        <w:trPr>
          <w:cantSplit w:val="true"/>
        </w:trPr>
        <w:tc>
          <w:tcPr>
            <w:tcW w:type="dxa" w:w="2948"/>
            <w:shd w:val="clear" w:color="auto" w:fill="E8EEF5"/>
          </w:tcPr>
          <w:p>
            <w:pPr>
              <w:spacing w:after="20" w:before="20" w:line="240" w:lineRule="auto"/>
              <w:jc w:val="left"/>
            </w:pPr>
            <w:r>
              <w:rPr>
                <w:sz w:val="20"/>
              </w:rPr>
              <w:t>Verification of employee attendance and leave records</w:t>
            </w:r>
          </w:p>
        </w:tc>
        <w:tc>
          <w:tcPr>
            <w:tcW w:type="dxa" w:w="1984"/>
            <w:shd w:val="clear" w:color="auto" w:fill="E8EEF5"/>
          </w:tcPr>
          <w:p>
            <w:pPr>
              <w:spacing w:after="20" w:before="20" w:line="240" w:lineRule="auto"/>
              <w:jc w:val="left"/>
            </w:pPr>
            <w:r>
              <w:rPr>
                <w:sz w:val="20"/>
              </w:rPr>
              <w:t>HR Department</w:t>
            </w:r>
          </w:p>
        </w:tc>
        <w:tc>
          <w:tcPr>
            <w:tcW w:type="dxa" w:w="1587"/>
            <w:shd w:val="clear" w:color="auto" w:fill="E8EEF5"/>
          </w:tcPr>
          <w:p>
            <w:pPr>
              <w:spacing w:after="20" w:before="20" w:line="240" w:lineRule="auto"/>
              <w:jc w:val="left"/>
            </w:pPr>
            <w:r>
              <w:rPr>
                <w:sz w:val="20"/>
              </w:rPr>
              <w:t>Monthly</w:t>
            </w:r>
          </w:p>
        </w:tc>
        <w:tc>
          <w:tcPr>
            <w:tcW w:type="dxa" w:w="2324"/>
            <w:shd w:val="clear" w:color="auto" w:fill="E8EEF5"/>
          </w:tcPr>
          <w:p>
            <w:pPr>
              <w:spacing w:after="20" w:before="20" w:line="240" w:lineRule="auto"/>
              <w:jc w:val="left"/>
            </w:pPr>
            <w:r>
              <w:rPr>
                <w:sz w:val="20"/>
              </w:rPr>
              <w:t>Attendance registers, biometric records, leave forms</w:t>
            </w:r>
          </w:p>
        </w:tc>
      </w:tr>
      <w:tr>
        <w:trPr>
          <w:cantSplit w:val="true"/>
        </w:trPr>
        <w:tc>
          <w:tcPr>
            <w:tcW w:type="dxa" w:w="2948"/>
          </w:tcPr>
          <w:p>
            <w:pPr>
              <w:spacing w:after="20" w:before="20" w:line="240" w:lineRule="auto"/>
              <w:jc w:val="left"/>
            </w:pPr>
            <w:r>
              <w:rPr>
                <w:sz w:val="20"/>
              </w:rPr>
              <w:t>Preparation of monthly payroll with supporting documentation</w:t>
            </w:r>
          </w:p>
        </w:tc>
        <w:tc>
          <w:tcPr>
            <w:tcW w:type="dxa" w:w="1984"/>
          </w:tcPr>
          <w:p>
            <w:pPr>
              <w:spacing w:after="20" w:before="20" w:line="240" w:lineRule="auto"/>
              <w:jc w:val="left"/>
            </w:pPr>
            <w:r>
              <w:rPr>
                <w:sz w:val="20"/>
              </w:rPr>
              <w:t>Finance / Accounts Officer</w:t>
            </w:r>
          </w:p>
        </w:tc>
        <w:tc>
          <w:tcPr>
            <w:tcW w:type="dxa" w:w="1587"/>
          </w:tcPr>
          <w:p>
            <w:pPr>
              <w:spacing w:after="20" w:before="20" w:line="240" w:lineRule="auto"/>
              <w:jc w:val="left"/>
            </w:pPr>
            <w:r>
              <w:rPr>
                <w:sz w:val="20"/>
              </w:rPr>
              <w:t>Monthly</w:t>
            </w:r>
          </w:p>
        </w:tc>
        <w:tc>
          <w:tcPr>
            <w:tcW w:type="dxa" w:w="2324"/>
          </w:tcPr>
          <w:p>
            <w:pPr>
              <w:spacing w:after="20" w:before="20" w:line="240" w:lineRule="auto"/>
              <w:jc w:val="left"/>
            </w:pPr>
            <w:r>
              <w:rPr>
                <w:sz w:val="20"/>
              </w:rPr>
              <w:t>Payroll register, trial payroll report</w:t>
            </w:r>
          </w:p>
        </w:tc>
      </w:tr>
      <w:tr>
        <w:trPr>
          <w:cantSplit w:val="true"/>
        </w:trPr>
        <w:tc>
          <w:tcPr>
            <w:tcW w:type="dxa" w:w="2948"/>
            <w:shd w:val="clear" w:color="auto" w:fill="E8EEF5"/>
          </w:tcPr>
          <w:p>
            <w:pPr>
              <w:spacing w:after="20" w:before="20" w:line="240" w:lineRule="auto"/>
              <w:jc w:val="left"/>
            </w:pPr>
            <w:r>
              <w:rPr>
                <w:sz w:val="20"/>
              </w:rPr>
              <w:t>Review and approval of payroll before disbursement</w:t>
            </w:r>
          </w:p>
        </w:tc>
        <w:tc>
          <w:tcPr>
            <w:tcW w:type="dxa" w:w="1984"/>
            <w:shd w:val="clear" w:color="auto" w:fill="E8EEF5"/>
          </w:tcPr>
          <w:p>
            <w:pPr>
              <w:spacing w:after="20" w:before="20" w:line="240" w:lineRule="auto"/>
              <w:jc w:val="left"/>
            </w:pPr>
            <w:r>
              <w:rPr>
                <w:sz w:val="20"/>
              </w:rPr>
              <w:t>Finance Officer / Registrar</w:t>
            </w:r>
          </w:p>
        </w:tc>
        <w:tc>
          <w:tcPr>
            <w:tcW w:type="dxa" w:w="1587"/>
            <w:shd w:val="clear" w:color="auto" w:fill="E8EEF5"/>
          </w:tcPr>
          <w:p>
            <w:pPr>
              <w:spacing w:after="20" w:before="20" w:line="240" w:lineRule="auto"/>
              <w:jc w:val="left"/>
            </w:pPr>
            <w:r>
              <w:rPr>
                <w:sz w:val="20"/>
              </w:rPr>
              <w:t>Monthly</w:t>
            </w:r>
          </w:p>
        </w:tc>
        <w:tc>
          <w:tcPr>
            <w:tcW w:type="dxa" w:w="2324"/>
            <w:shd w:val="clear" w:color="auto" w:fill="E8EEF5"/>
          </w:tcPr>
          <w:p>
            <w:pPr>
              <w:spacing w:after="20" w:before="20" w:line="240" w:lineRule="auto"/>
              <w:jc w:val="left"/>
            </w:pPr>
            <w:r>
              <w:rPr>
                <w:sz w:val="20"/>
              </w:rPr>
              <w:t>Approved payroll summary, sign-off sheet</w:t>
            </w:r>
          </w:p>
        </w:tc>
      </w:tr>
      <w:tr>
        <w:trPr>
          <w:cantSplit w:val="true"/>
        </w:trPr>
        <w:tc>
          <w:tcPr>
            <w:tcW w:type="dxa" w:w="2948"/>
          </w:tcPr>
          <w:p>
            <w:pPr>
              <w:spacing w:after="20" w:before="20" w:line="240" w:lineRule="auto"/>
              <w:jc w:val="left"/>
            </w:pPr>
            <w:r>
              <w:rPr>
                <w:sz w:val="20"/>
              </w:rPr>
              <w:t>Accurate calculation of statutory deductions (PF, TDS, ESI, Professional Tax, Gratuity)</w:t>
            </w:r>
          </w:p>
        </w:tc>
        <w:tc>
          <w:tcPr>
            <w:tcW w:type="dxa" w:w="1984"/>
          </w:tcPr>
          <w:p>
            <w:pPr>
              <w:spacing w:after="20" w:before="20" w:line="240" w:lineRule="auto"/>
              <w:jc w:val="left"/>
            </w:pPr>
            <w:r>
              <w:rPr>
                <w:sz w:val="20"/>
              </w:rPr>
              <w:t>Accounts Section</w:t>
            </w:r>
          </w:p>
        </w:tc>
        <w:tc>
          <w:tcPr>
            <w:tcW w:type="dxa" w:w="1587"/>
          </w:tcPr>
          <w:p>
            <w:pPr>
              <w:spacing w:after="20" w:before="20" w:line="240" w:lineRule="auto"/>
              <w:jc w:val="left"/>
            </w:pPr>
            <w:r>
              <w:rPr>
                <w:sz w:val="20"/>
              </w:rPr>
              <w:t>Monthly</w:t>
            </w:r>
          </w:p>
        </w:tc>
        <w:tc>
          <w:tcPr>
            <w:tcW w:type="dxa" w:w="2324"/>
          </w:tcPr>
          <w:p>
            <w:pPr>
              <w:spacing w:after="20" w:before="20" w:line="240" w:lineRule="auto"/>
              <w:jc w:val="left"/>
            </w:pPr>
            <w:r>
              <w:rPr>
                <w:sz w:val="20"/>
              </w:rPr>
              <w:t>Deduction registers, payroll software reports</w:t>
            </w:r>
          </w:p>
        </w:tc>
      </w:tr>
      <w:tr>
        <w:trPr>
          <w:cantSplit w:val="true"/>
        </w:trPr>
        <w:tc>
          <w:tcPr>
            <w:tcW w:type="dxa" w:w="2948"/>
            <w:shd w:val="clear" w:color="auto" w:fill="E8EEF5"/>
          </w:tcPr>
          <w:p>
            <w:pPr>
              <w:spacing w:after="20" w:before="20" w:line="240" w:lineRule="auto"/>
              <w:jc w:val="left"/>
            </w:pPr>
            <w:r>
              <w:rPr>
                <w:sz w:val="20"/>
              </w:rPr>
              <w:t>Timely remittance of statutory deductions to authorities</w:t>
            </w:r>
          </w:p>
        </w:tc>
        <w:tc>
          <w:tcPr>
            <w:tcW w:type="dxa" w:w="1984"/>
            <w:shd w:val="clear" w:color="auto" w:fill="E8EEF5"/>
          </w:tcPr>
          <w:p>
            <w:pPr>
              <w:spacing w:after="20" w:before="20" w:line="240" w:lineRule="auto"/>
              <w:jc w:val="left"/>
            </w:pPr>
            <w:r>
              <w:rPr>
                <w:sz w:val="20"/>
              </w:rPr>
              <w:t>Finance Officer</w:t>
            </w:r>
          </w:p>
        </w:tc>
        <w:tc>
          <w:tcPr>
            <w:tcW w:type="dxa" w:w="1587"/>
            <w:shd w:val="clear" w:color="auto" w:fill="E8EEF5"/>
          </w:tcPr>
          <w:p>
            <w:pPr>
              <w:spacing w:after="20" w:before="20" w:line="240" w:lineRule="auto"/>
              <w:jc w:val="left"/>
            </w:pPr>
            <w:r>
              <w:rPr>
                <w:sz w:val="20"/>
              </w:rPr>
              <w:t>Monthly / As per due date</w:t>
            </w:r>
          </w:p>
        </w:tc>
        <w:tc>
          <w:tcPr>
            <w:tcW w:type="dxa" w:w="2324"/>
            <w:shd w:val="clear" w:color="auto" w:fill="E8EEF5"/>
          </w:tcPr>
          <w:p>
            <w:pPr>
              <w:spacing w:after="20" w:before="20" w:line="240" w:lineRule="auto"/>
              <w:jc w:val="left"/>
            </w:pPr>
            <w:r>
              <w:rPr>
                <w:sz w:val="20"/>
              </w:rPr>
              <w:t>Payment challans, remittance receipts, online filings</w:t>
            </w:r>
          </w:p>
        </w:tc>
      </w:tr>
      <w:tr>
        <w:trPr>
          <w:cantSplit w:val="true"/>
        </w:trPr>
        <w:tc>
          <w:tcPr>
            <w:tcW w:type="dxa" w:w="2948"/>
          </w:tcPr>
          <w:p>
            <w:pPr>
              <w:spacing w:after="20" w:before="20" w:line="240" w:lineRule="auto"/>
              <w:jc w:val="left"/>
            </w:pPr>
            <w:r>
              <w:rPr>
                <w:sz w:val="20"/>
              </w:rPr>
              <w:t>Disbursement of net salaries directly to employee bank accounts</w:t>
            </w:r>
          </w:p>
        </w:tc>
        <w:tc>
          <w:tcPr>
            <w:tcW w:type="dxa" w:w="1984"/>
          </w:tcPr>
          <w:p>
            <w:pPr>
              <w:spacing w:after="20" w:before="20" w:line="240" w:lineRule="auto"/>
              <w:jc w:val="left"/>
            </w:pPr>
            <w:r>
              <w:rPr>
                <w:sz w:val="20"/>
              </w:rPr>
              <w:t>Finance / Accounts Department</w:t>
            </w:r>
          </w:p>
        </w:tc>
        <w:tc>
          <w:tcPr>
            <w:tcW w:type="dxa" w:w="1587"/>
          </w:tcPr>
          <w:p>
            <w:pPr>
              <w:spacing w:after="20" w:before="20" w:line="240" w:lineRule="auto"/>
              <w:jc w:val="left"/>
            </w:pPr>
            <w:r>
              <w:rPr>
                <w:sz w:val="20"/>
              </w:rPr>
              <w:t>Monthly</w:t>
            </w:r>
          </w:p>
        </w:tc>
        <w:tc>
          <w:tcPr>
            <w:tcW w:type="dxa" w:w="2324"/>
          </w:tcPr>
          <w:p>
            <w:pPr>
              <w:spacing w:after="20" w:before="20" w:line="240" w:lineRule="auto"/>
              <w:jc w:val="left"/>
            </w:pPr>
            <w:r>
              <w:rPr>
                <w:sz w:val="20"/>
              </w:rPr>
              <w:t>Bank transfer records, salary slips</w:t>
            </w:r>
          </w:p>
        </w:tc>
      </w:tr>
      <w:tr>
        <w:trPr>
          <w:cantSplit w:val="true"/>
        </w:trPr>
        <w:tc>
          <w:tcPr>
            <w:tcW w:type="dxa" w:w="2948"/>
            <w:shd w:val="clear" w:color="auto" w:fill="E8EEF5"/>
          </w:tcPr>
          <w:p>
            <w:pPr>
              <w:spacing w:after="20" w:before="20" w:line="240" w:lineRule="auto"/>
              <w:jc w:val="left"/>
            </w:pPr>
            <w:r>
              <w:rPr>
                <w:sz w:val="20"/>
              </w:rPr>
              <w:t>Issuance of payslips to employees</w:t>
            </w:r>
          </w:p>
        </w:tc>
        <w:tc>
          <w:tcPr>
            <w:tcW w:type="dxa" w:w="1984"/>
            <w:shd w:val="clear" w:color="auto" w:fill="E8EEF5"/>
          </w:tcPr>
          <w:p>
            <w:pPr>
              <w:spacing w:after="20" w:before="20" w:line="240" w:lineRule="auto"/>
              <w:jc w:val="left"/>
            </w:pPr>
            <w:r>
              <w:rPr>
                <w:sz w:val="20"/>
              </w:rPr>
              <w:t>Accounts Section</w:t>
            </w:r>
          </w:p>
        </w:tc>
        <w:tc>
          <w:tcPr>
            <w:tcW w:type="dxa" w:w="1587"/>
            <w:shd w:val="clear" w:color="auto" w:fill="E8EEF5"/>
          </w:tcPr>
          <w:p>
            <w:pPr>
              <w:spacing w:after="20" w:before="20" w:line="240" w:lineRule="auto"/>
              <w:jc w:val="left"/>
            </w:pPr>
            <w:r>
              <w:rPr>
                <w:sz w:val="20"/>
              </w:rPr>
              <w:t>Monthly</w:t>
            </w:r>
          </w:p>
        </w:tc>
        <w:tc>
          <w:tcPr>
            <w:tcW w:type="dxa" w:w="2324"/>
            <w:shd w:val="clear" w:color="auto" w:fill="E8EEF5"/>
          </w:tcPr>
          <w:p>
            <w:pPr>
              <w:spacing w:after="20" w:before="20" w:line="240" w:lineRule="auto"/>
              <w:jc w:val="left"/>
            </w:pPr>
            <w:r>
              <w:rPr>
                <w:sz w:val="20"/>
              </w:rPr>
              <w:t>Digital payslips / physical payslips</w:t>
            </w:r>
          </w:p>
        </w:tc>
      </w:tr>
      <w:tr>
        <w:trPr>
          <w:cantSplit w:val="true"/>
        </w:trPr>
        <w:tc>
          <w:tcPr>
            <w:tcW w:type="dxa" w:w="2948"/>
          </w:tcPr>
          <w:p>
            <w:pPr>
              <w:spacing w:after="20" w:before="20" w:line="240" w:lineRule="auto"/>
              <w:jc w:val="left"/>
            </w:pPr>
            <w:r>
              <w:rPr>
                <w:sz w:val="20"/>
              </w:rPr>
              <w:t>Payroll reconciliation with attendance and budget allocations</w:t>
            </w:r>
          </w:p>
        </w:tc>
        <w:tc>
          <w:tcPr>
            <w:tcW w:type="dxa" w:w="1984"/>
          </w:tcPr>
          <w:p>
            <w:pPr>
              <w:spacing w:after="20" w:before="20" w:line="240" w:lineRule="auto"/>
              <w:jc w:val="left"/>
            </w:pPr>
            <w:r>
              <w:rPr>
                <w:sz w:val="20"/>
              </w:rPr>
              <w:t>Finance Officer</w:t>
            </w:r>
          </w:p>
        </w:tc>
        <w:tc>
          <w:tcPr>
            <w:tcW w:type="dxa" w:w="1587"/>
          </w:tcPr>
          <w:p>
            <w:pPr>
              <w:spacing w:after="20" w:before="20" w:line="240" w:lineRule="auto"/>
              <w:jc w:val="left"/>
            </w:pPr>
            <w:r>
              <w:rPr>
                <w:sz w:val="20"/>
              </w:rPr>
              <w:t>Monthly / Quarterly</w:t>
            </w:r>
          </w:p>
        </w:tc>
        <w:tc>
          <w:tcPr>
            <w:tcW w:type="dxa" w:w="2324"/>
          </w:tcPr>
          <w:p>
            <w:pPr>
              <w:spacing w:after="20" w:before="20" w:line="240" w:lineRule="auto"/>
              <w:jc w:val="left"/>
            </w:pPr>
            <w:r>
              <w:rPr>
                <w:sz w:val="20"/>
              </w:rPr>
              <w:t>Payroll vs. attendance report, budget vs. actual report</w:t>
            </w:r>
          </w:p>
        </w:tc>
      </w:tr>
      <w:tr>
        <w:trPr>
          <w:cantSplit w:val="true"/>
        </w:trPr>
        <w:tc>
          <w:tcPr>
            <w:tcW w:type="dxa" w:w="2948"/>
            <w:shd w:val="clear" w:color="auto" w:fill="E8EEF5"/>
          </w:tcPr>
          <w:p>
            <w:pPr>
              <w:spacing w:after="20" w:before="20" w:line="240" w:lineRule="auto"/>
              <w:jc w:val="left"/>
            </w:pPr>
            <w:r>
              <w:rPr>
                <w:sz w:val="20"/>
              </w:rPr>
              <w:t>Internal audit of payroll records</w:t>
            </w:r>
          </w:p>
        </w:tc>
        <w:tc>
          <w:tcPr>
            <w:tcW w:type="dxa" w:w="1984"/>
            <w:shd w:val="clear" w:color="auto" w:fill="E8EEF5"/>
          </w:tcPr>
          <w:p>
            <w:pPr>
              <w:spacing w:after="20" w:before="20" w:line="240" w:lineRule="auto"/>
              <w:jc w:val="left"/>
            </w:pPr>
            <w:r>
              <w:rPr>
                <w:sz w:val="20"/>
              </w:rPr>
              <w:t>Internal Audit Cell</w:t>
            </w:r>
          </w:p>
        </w:tc>
        <w:tc>
          <w:tcPr>
            <w:tcW w:type="dxa" w:w="1587"/>
            <w:shd w:val="clear" w:color="auto" w:fill="E8EEF5"/>
          </w:tcPr>
          <w:p>
            <w:pPr>
              <w:spacing w:after="20" w:before="20" w:line="240" w:lineRule="auto"/>
              <w:jc w:val="left"/>
            </w:pPr>
            <w:r>
              <w:rPr>
                <w:sz w:val="20"/>
              </w:rPr>
              <w:t>Quarterly / Half-yearly</w:t>
            </w:r>
          </w:p>
        </w:tc>
        <w:tc>
          <w:tcPr>
            <w:tcW w:type="dxa" w:w="2324"/>
            <w:shd w:val="clear" w:color="auto" w:fill="E8EEF5"/>
          </w:tcPr>
          <w:p>
            <w:pPr>
              <w:spacing w:after="20" w:before="20" w:line="240" w:lineRule="auto"/>
              <w:jc w:val="left"/>
            </w:pPr>
            <w:r>
              <w:rPr>
                <w:sz w:val="20"/>
              </w:rPr>
              <w:t>Internal audit reports, compliance notes</w:t>
            </w:r>
          </w:p>
        </w:tc>
      </w:tr>
      <w:tr>
        <w:trPr>
          <w:cantSplit w:val="true"/>
        </w:trPr>
        <w:tc>
          <w:tcPr>
            <w:tcW w:type="dxa" w:w="2948"/>
          </w:tcPr>
          <w:p>
            <w:pPr>
              <w:spacing w:after="20" w:before="20" w:line="240" w:lineRule="auto"/>
              <w:jc w:val="left"/>
            </w:pPr>
            <w:r>
              <w:rPr>
                <w:sz w:val="20"/>
              </w:rPr>
              <w:t>External audit of payroll system</w:t>
            </w:r>
          </w:p>
        </w:tc>
        <w:tc>
          <w:tcPr>
            <w:tcW w:type="dxa" w:w="1984"/>
          </w:tcPr>
          <w:p>
            <w:pPr>
              <w:spacing w:after="20" w:before="20" w:line="240" w:lineRule="auto"/>
              <w:jc w:val="left"/>
            </w:pPr>
            <w:r>
              <w:rPr>
                <w:sz w:val="20"/>
              </w:rPr>
              <w:t>External Auditor</w:t>
            </w:r>
          </w:p>
        </w:tc>
        <w:tc>
          <w:tcPr>
            <w:tcW w:type="dxa" w:w="1587"/>
          </w:tcPr>
          <w:p>
            <w:pPr>
              <w:spacing w:after="20" w:before="20" w:line="240" w:lineRule="auto"/>
              <w:jc w:val="left"/>
            </w:pPr>
            <w:r>
              <w:rPr>
                <w:sz w:val="20"/>
              </w:rPr>
              <w:t>Annually</w:t>
            </w:r>
          </w:p>
        </w:tc>
        <w:tc>
          <w:tcPr>
            <w:tcW w:type="dxa" w:w="2324"/>
          </w:tcPr>
          <w:p>
            <w:pPr>
              <w:spacing w:after="20" w:before="20" w:line="240" w:lineRule="auto"/>
              <w:jc w:val="left"/>
            </w:pPr>
            <w:r>
              <w:rPr>
                <w:sz w:val="20"/>
              </w:rPr>
              <w:t>Auditor’s report, financial statements</w:t>
            </w:r>
          </w:p>
        </w:tc>
      </w:tr>
      <w:tr>
        <w:trPr>
          <w:cantSplit w:val="true"/>
        </w:trPr>
        <w:tc>
          <w:tcPr>
            <w:tcW w:type="dxa" w:w="2948"/>
            <w:shd w:val="clear" w:color="auto" w:fill="E8EEF5"/>
          </w:tcPr>
          <w:p>
            <w:pPr>
              <w:spacing w:after="20" w:before="20" w:line="240" w:lineRule="auto"/>
              <w:jc w:val="left"/>
            </w:pPr>
            <w:r>
              <w:rPr>
                <w:sz w:val="20"/>
              </w:rPr>
              <w:t>Access control and data security of payroll systems</w:t>
            </w:r>
          </w:p>
        </w:tc>
        <w:tc>
          <w:tcPr>
            <w:tcW w:type="dxa" w:w="1984"/>
            <w:shd w:val="clear" w:color="auto" w:fill="E8EEF5"/>
          </w:tcPr>
          <w:p>
            <w:pPr>
              <w:spacing w:after="20" w:before="20" w:line="240" w:lineRule="auto"/>
              <w:jc w:val="left"/>
            </w:pPr>
            <w:r>
              <w:rPr>
                <w:sz w:val="20"/>
              </w:rPr>
              <w:t>IT Department / Finance Officer</w:t>
            </w:r>
          </w:p>
        </w:tc>
        <w:tc>
          <w:tcPr>
            <w:tcW w:type="dxa" w:w="1587"/>
            <w:shd w:val="clear" w:color="auto" w:fill="E8EEF5"/>
          </w:tcPr>
          <w:p>
            <w:pPr>
              <w:spacing w:after="20" w:before="20" w:line="240" w:lineRule="auto"/>
              <w:jc w:val="left"/>
            </w:pPr>
            <w:r>
              <w:rPr>
                <w:sz w:val="20"/>
              </w:rPr>
              <w:t>Continuous</w:t>
            </w:r>
          </w:p>
        </w:tc>
        <w:tc>
          <w:tcPr>
            <w:tcW w:type="dxa" w:w="2324"/>
            <w:shd w:val="clear" w:color="auto" w:fill="E8EEF5"/>
          </w:tcPr>
          <w:p>
            <w:pPr>
              <w:spacing w:after="20" w:before="20" w:line="240" w:lineRule="auto"/>
              <w:jc w:val="left"/>
            </w:pPr>
            <w:r>
              <w:rPr>
                <w:sz w:val="20"/>
              </w:rPr>
              <w:t>User access logs, system audit trail reports</w:t>
            </w:r>
          </w:p>
        </w:tc>
      </w:tr>
      <w:tr>
        <w:trPr>
          <w:cantSplit w:val="true"/>
        </w:trPr>
        <w:tc>
          <w:tcPr>
            <w:tcW w:type="dxa" w:w="2948"/>
          </w:tcPr>
          <w:p>
            <w:pPr>
              <w:spacing w:after="20" w:before="20" w:line="240" w:lineRule="auto"/>
              <w:jc w:val="left"/>
            </w:pPr>
            <w:r>
              <w:rPr>
                <w:sz w:val="20"/>
              </w:rPr>
              <w:t>Confidentiality of payroll data</w:t>
            </w:r>
          </w:p>
        </w:tc>
        <w:tc>
          <w:tcPr>
            <w:tcW w:type="dxa" w:w="1984"/>
          </w:tcPr>
          <w:p>
            <w:pPr>
              <w:spacing w:after="20" w:before="20" w:line="240" w:lineRule="auto"/>
              <w:jc w:val="left"/>
            </w:pPr>
            <w:r>
              <w:rPr>
                <w:sz w:val="20"/>
              </w:rPr>
              <w:t>HR &amp; Accounts Departments</w:t>
            </w:r>
          </w:p>
        </w:tc>
        <w:tc>
          <w:tcPr>
            <w:tcW w:type="dxa" w:w="1587"/>
          </w:tcPr>
          <w:p>
            <w:pPr>
              <w:spacing w:after="20" w:before="20" w:line="240" w:lineRule="auto"/>
              <w:jc w:val="left"/>
            </w:pPr>
            <w:r>
              <w:rPr>
                <w:sz w:val="20"/>
              </w:rPr>
              <w:t>Continuous</w:t>
            </w:r>
          </w:p>
        </w:tc>
        <w:tc>
          <w:tcPr>
            <w:tcW w:type="dxa" w:w="2324"/>
          </w:tcPr>
          <w:p>
            <w:pPr>
              <w:spacing w:after="20" w:before="20" w:line="240" w:lineRule="auto"/>
              <w:jc w:val="left"/>
            </w:pPr>
            <w:r>
              <w:rPr>
                <w:sz w:val="20"/>
              </w:rPr>
              <w:t>Data protection policy, signed confidentiality agreements</w:t>
            </w:r>
          </w:p>
        </w:tc>
      </w:tr>
    </w:tbl>
    <w:p>
      <w:pPr>
        <w:spacing w:after="80" w:line="240" w:lineRule="auto"/>
      </w:pPr>
    </w:p>
    <w:p>
      <w:pPr>
        <w:pStyle w:val="Heading2"/>
      </w:pPr>
      <w:r>
        <w:rPr/>
        <w:t>Payroll Department: Roles and Responsibilities</w:t>
      </w:r>
    </w:p>
    <w:p>
      <w:r>
        <w:rPr/>
        <w:t>The Payroll function, overseen by the HR Department, ensures that all employees of the University and HEIs Association are compensated accurately, timely, and in compliance with statutory regulations. The HR Administrator/Coordinator is responsible for administering payroll activities in collaboration with the Finance Department.</w:t>
      </w:r>
    </w:p>
    <w:p>
      <w:pPr>
        <w:tabs>
          <w:tab w:pos="425" w:val="left"/>
        </w:tabs>
        <w:spacing w:after="60"/>
        <w:ind w:left="425" w:hanging="425"/>
      </w:pPr>
      <w:r>
        <w:rPr/>
        <w:t>a.</w:t>
        <w:tab/>
        <w:t>Timesheet Submission and Payroll Processing</w:t>
      </w:r>
    </w:p>
    <w:p>
      <w:pPr>
        <w:numPr>
          <w:ilvl w:val="0"/>
          <w:numId w:val="90"/>
        </w:numPr>
        <w:spacing w:after="60"/>
      </w:pPr>
      <w:r>
        <w:rPr/>
        <w:t>All employees are required to submit their monthly timesheets by the last working day of each month.</w:t>
      </w:r>
    </w:p>
    <w:p>
      <w:pPr>
        <w:numPr>
          <w:ilvl w:val="0"/>
          <w:numId w:val="90"/>
        </w:numPr>
        <w:spacing w:after="60"/>
      </w:pPr>
      <w:r>
        <w:rPr/>
        <w:t>Timesheets must be received and verified by the HR Coordinator.</w:t>
      </w:r>
    </w:p>
    <w:p>
      <w:pPr>
        <w:numPr>
          <w:ilvl w:val="0"/>
          <w:numId w:val="90"/>
        </w:numPr>
        <w:spacing w:after="60"/>
      </w:pPr>
      <w:r>
        <w:rPr/>
        <w:t>Salaries will be processed and disbursed by the 5th working day of the following month.</w:t>
      </w:r>
    </w:p>
    <w:p>
      <w:pPr>
        <w:numPr>
          <w:ilvl w:val="0"/>
          <w:numId w:val="90"/>
        </w:numPr>
        <w:spacing w:after="60"/>
      </w:pPr>
      <w:r>
        <w:rPr/>
        <w:t>If this date coincides with a weekend or holiday, due adjustments will be made to ensure timely salary disbursement.</w:t>
      </w:r>
    </w:p>
    <w:p>
      <w:pPr>
        <w:numPr>
          <w:ilvl w:val="0"/>
          <w:numId w:val="90"/>
        </w:numPr>
        <w:spacing w:after="60"/>
      </w:pPr>
      <w:r>
        <w:rPr/>
        <w:t>TDS remittance will be carefully managed in accordance with statutory timelines.</w:t>
      </w:r>
    </w:p>
    <w:p>
      <w:pPr>
        <w:tabs>
          <w:tab w:pos="425" w:val="left"/>
        </w:tabs>
        <w:spacing w:after="60"/>
        <w:ind w:left="425" w:hanging="425"/>
      </w:pPr>
      <w:r>
        <w:rPr/>
        <w:t>b.</w:t>
        <w:tab/>
        <w:t>Employee Data Form and Payroll Updates</w:t>
      </w:r>
    </w:p>
    <w:p>
      <w:pPr>
        <w:numPr>
          <w:ilvl w:val="0"/>
          <w:numId w:val="90"/>
        </w:numPr>
        <w:spacing w:after="60"/>
      </w:pPr>
      <w:r>
        <w:rPr/>
        <w:t>All payroll-related changes (additions, deletions, or modifications) must be recorded through an Employee Data Form.</w:t>
      </w:r>
    </w:p>
    <w:p>
      <w:pPr>
        <w:numPr>
          <w:ilvl w:val="0"/>
          <w:numId w:val="90"/>
        </w:numPr>
        <w:spacing w:after="60"/>
      </w:pPr>
      <w:r>
        <w:rPr/>
        <w:t>This form requires the employee’s signature and submission to the HR Administrator/Coordinator.</w:t>
      </w:r>
    </w:p>
    <w:p>
      <w:pPr>
        <w:numPr>
          <w:ilvl w:val="0"/>
          <w:numId w:val="90"/>
        </w:numPr>
        <w:spacing w:after="60"/>
      </w:pPr>
      <w:r>
        <w:rPr/>
        <w:t>The form must also be signed and authorized by the HR Manager/Registrar/COO before being filed in the personnel record.</w:t>
      </w:r>
    </w:p>
    <w:p>
      <w:pPr>
        <w:numPr>
          <w:ilvl w:val="0"/>
          <w:numId w:val="90"/>
        </w:numPr>
        <w:spacing w:after="60"/>
      </w:pPr>
      <w:r>
        <w:rPr/>
        <w:t>Changes covered include:</w:t>
      </w:r>
    </w:p>
    <w:p>
      <w:pPr>
        <w:numPr>
          <w:ilvl w:val="1"/>
          <w:numId w:val="90"/>
        </w:numPr>
        <w:spacing w:after="60"/>
      </w:pPr>
      <w:r>
        <w:rPr/>
        <w:t>Salary or wage revisions</w:t>
      </w:r>
    </w:p>
    <w:p>
      <w:pPr>
        <w:numPr>
          <w:ilvl w:val="1"/>
          <w:numId w:val="90"/>
        </w:numPr>
        <w:spacing w:after="60"/>
      </w:pPr>
      <w:r>
        <w:rPr/>
        <w:t>Change in job title or designation</w:t>
      </w:r>
    </w:p>
    <w:p>
      <w:pPr>
        <w:numPr>
          <w:ilvl w:val="1"/>
          <w:numId w:val="90"/>
        </w:numPr>
        <w:spacing w:after="60"/>
      </w:pPr>
      <w:r>
        <w:rPr/>
        <w:t>Modification of working status (full-time/part-time)</w:t>
      </w:r>
    </w:p>
    <w:p>
      <w:pPr>
        <w:numPr>
          <w:ilvl w:val="1"/>
          <w:numId w:val="90"/>
        </w:numPr>
        <w:spacing w:after="60"/>
      </w:pPr>
      <w:r>
        <w:rPr/>
        <w:t>Updates to personal details such as address or name</w:t>
      </w:r>
    </w:p>
    <w:p>
      <w:pPr>
        <w:numPr>
          <w:ilvl w:val="1"/>
          <w:numId w:val="90"/>
        </w:numPr>
        <w:spacing w:after="60"/>
      </w:pPr>
      <w:r>
        <w:rPr/>
        <w:t>Fringe benefit modifications</w:t>
      </w:r>
    </w:p>
    <w:p>
      <w:pPr>
        <w:tabs>
          <w:tab w:pos="425" w:val="left"/>
        </w:tabs>
        <w:spacing w:after="60"/>
        <w:ind w:left="425" w:hanging="425"/>
      </w:pPr>
      <w:r>
        <w:rPr/>
        <w:t>c.</w:t>
        <w:tab/>
        <w:t>Salary Advances and Loans</w:t>
      </w:r>
    </w:p>
    <w:p>
      <w:pPr>
        <w:numPr>
          <w:ilvl w:val="0"/>
          <w:numId w:val="90"/>
        </w:numPr>
        <w:spacing w:after="60"/>
      </w:pPr>
      <w:r>
        <w:rPr/>
        <w:t>No salary advances or loans will be issued, except as specifically provided for non-teaching staff under the institution’s Loans, Advances &amp; Deposits Policy.</w:t>
      </w:r>
    </w:p>
    <w:p>
      <w:pPr>
        <w:numPr>
          <w:ilvl w:val="0"/>
          <w:numId w:val="90"/>
        </w:numPr>
        <w:spacing w:after="60"/>
      </w:pPr>
      <w:r>
        <w:rPr/>
        <w:t>Any payroll discrepancies will be identified and resolved in the subsequent pay cycle.</w:t>
      </w:r>
    </w:p>
    <w:p>
      <w:pPr>
        <w:tabs>
          <w:tab w:pos="425" w:val="left"/>
        </w:tabs>
        <w:spacing w:after="60"/>
        <w:ind w:left="425" w:hanging="425"/>
      </w:pPr>
      <w:r>
        <w:rPr/>
        <w:t>d.</w:t>
        <w:tab/>
        <w:t>Attendance Verification</w:t>
      </w:r>
    </w:p>
    <w:p>
      <w:pPr>
        <w:numPr>
          <w:ilvl w:val="0"/>
          <w:numId w:val="90"/>
        </w:numPr>
        <w:spacing w:after="60"/>
      </w:pPr>
      <w:r>
        <w:rPr/>
        <w:t>Salary calculations will be strictly based on biometric attendance records or approved timesheets.</w:t>
      </w:r>
    </w:p>
    <w:p>
      <w:pPr>
        <w:numPr>
          <w:ilvl w:val="0"/>
          <w:numId w:val="90"/>
        </w:numPr>
        <w:spacing w:after="60"/>
      </w:pPr>
      <w:r>
        <w:rPr/>
        <w:t>The HR Administrator/Coordinator of each institute must consolidate and report attendance data to the Payroll Department.</w:t>
      </w:r>
    </w:p>
    <w:p>
      <w:pPr>
        <w:tabs>
          <w:tab w:pos="425" w:val="left"/>
        </w:tabs>
        <w:spacing w:after="60"/>
        <w:ind w:left="425" w:hanging="425"/>
      </w:pPr>
      <w:r>
        <w:rPr/>
        <w:t>e.</w:t>
        <w:tab/>
        <w:t>Employee Responsibility for Attendance</w:t>
      </w:r>
    </w:p>
    <w:p>
      <w:pPr>
        <w:numPr>
          <w:ilvl w:val="0"/>
          <w:numId w:val="90"/>
        </w:numPr>
        <w:spacing w:after="60"/>
      </w:pPr>
      <w:r>
        <w:rPr/>
        <w:t>Employees are solely responsible for ensuring proper swipe in/out registration on biometric devices.</w:t>
      </w:r>
    </w:p>
    <w:p>
      <w:pPr>
        <w:numPr>
          <w:ilvl w:val="0"/>
          <w:numId w:val="90"/>
        </w:numPr>
        <w:spacing w:after="60"/>
      </w:pPr>
      <w:r>
        <w:rPr/>
        <w:t>Any missed swipes or attendance shortfalls must be regularized by submitting appropriate leave/regularization forms (e.g., sick leave, vacation, holiday records).</w:t>
      </w:r>
    </w:p>
    <w:p>
      <w:pPr>
        <w:tabs>
          <w:tab w:pos="425" w:val="left"/>
        </w:tabs>
        <w:spacing w:after="60"/>
        <w:ind w:left="425" w:hanging="425"/>
      </w:pPr>
      <w:r>
        <w:rPr/>
        <w:t>f.</w:t>
        <w:tab/>
        <w:t>Salary Disbursement</w:t>
      </w:r>
    </w:p>
    <w:p>
      <w:pPr>
        <w:numPr>
          <w:ilvl w:val="0"/>
          <w:numId w:val="90"/>
        </w:numPr>
        <w:spacing w:after="60"/>
      </w:pPr>
      <w:r>
        <w:rPr/>
        <w:t>All salaries will be transferred directly into employees’ bank accounts via electronic transfer methods (NEFT/RTGS).</w:t>
      </w:r>
    </w:p>
    <w:p>
      <w:pPr>
        <w:numPr>
          <w:ilvl w:val="0"/>
          <w:numId w:val="90"/>
        </w:numPr>
        <w:spacing w:after="60"/>
      </w:pPr>
      <w:r>
        <w:rPr/>
        <w:t>No alternative modes of payment such as cash or cheque will be permitted.</w:t>
      </w:r>
    </w:p>
    <w:p>
      <w:pPr>
        <w:tabs>
          <w:tab w:pos="425" w:val="left"/>
        </w:tabs>
        <w:spacing w:after="60"/>
        <w:ind w:left="425" w:hanging="425"/>
      </w:pPr>
      <w:r>
        <w:rPr/>
        <w:t>g.</w:t>
        <w:tab/>
        <w:t>New Employee Payroll Inclusion</w:t>
      </w:r>
    </w:p>
    <w:p>
      <w:pPr>
        <w:numPr>
          <w:ilvl w:val="0"/>
          <w:numId w:val="90"/>
        </w:numPr>
        <w:spacing w:after="60"/>
      </w:pPr>
      <w:r>
        <w:rPr/>
        <w:t>New employees will only be added to payroll upon submission and approval of the Employee Data Form, duly signed by the HR Manager/Registrar/COO.</w:t>
      </w:r>
    </w:p>
    <w:p>
      <w:pPr>
        <w:numPr>
          <w:ilvl w:val="0"/>
          <w:numId w:val="90"/>
        </w:numPr>
        <w:spacing w:after="60"/>
      </w:pPr>
      <w:r>
        <w:rPr/>
        <w:t>Without this documentation, payroll processing will not be initiated.</w:t>
      </w:r>
    </w:p>
    <w:p>
      <w:pPr>
        <w:tabs>
          <w:tab w:pos="425" w:val="left"/>
        </w:tabs>
        <w:spacing w:after="60"/>
        <w:ind w:left="425" w:hanging="425"/>
      </w:pPr>
      <w:r>
        <w:rPr/>
        <w:t>h.</w:t>
        <w:tab/>
        <w:t>Payroll System and Payslips</w:t>
      </w:r>
    </w:p>
    <w:p>
      <w:pPr>
        <w:numPr>
          <w:ilvl w:val="0"/>
          <w:numId w:val="90"/>
        </w:numPr>
        <w:spacing w:after="60"/>
      </w:pPr>
      <w:r>
        <w:rPr/>
        <w:t>Payroll activities will be processed through a computerized payroll system/ERP to ensure efficiency and accuracy.</w:t>
      </w:r>
    </w:p>
    <w:p>
      <w:pPr>
        <w:numPr>
          <w:ilvl w:val="0"/>
          <w:numId w:val="90"/>
        </w:numPr>
        <w:spacing w:after="60"/>
      </w:pPr>
      <w:r>
        <w:rPr/>
        <w:t>Payslips will be generated and distributed (digitally or physically) to employees by the second week of every month.</w:t>
      </w:r>
    </w:p>
    <w:p>
      <w:pPr>
        <w:tabs>
          <w:tab w:pos="425" w:val="left"/>
        </w:tabs>
        <w:spacing w:after="60"/>
        <w:ind w:left="425" w:hanging="425"/>
      </w:pPr>
      <w:r>
        <w:rPr/>
        <w:t>i.</w:t>
        <w:tab/>
        <w:t>Tax Declarations and Compliance</w:t>
      </w:r>
    </w:p>
    <w:p>
      <w:pPr>
        <w:numPr>
          <w:ilvl w:val="0"/>
          <w:numId w:val="90"/>
        </w:numPr>
        <w:spacing w:after="60"/>
      </w:pPr>
      <w:r>
        <w:rPr/>
        <w:t>Employees falling under the income tax slab are required to submit Form 12BB (statement of claims for deductions) to the HR Coordinator.</w:t>
      </w:r>
    </w:p>
    <w:p>
      <w:pPr>
        <w:numPr>
          <w:ilvl w:val="0"/>
          <w:numId w:val="90"/>
        </w:numPr>
        <w:spacing w:after="60"/>
      </w:pPr>
      <w:r>
        <w:rPr/>
        <w:t>This applies to both existing employees and new joiners, ensuring compliance with Income Tax regulations.</w:t>
      </w:r>
    </w:p>
    <w:p>
      <w:pPr>
        <w:numPr>
          <w:ilvl w:val="0"/>
          <w:numId w:val="90"/>
        </w:numPr>
        <w:spacing w:after="60"/>
      </w:pPr>
      <w:r>
        <w:rPr/>
        <w:t>HR will verify and submit declarations to the Finance Department for accurate TDS computation.</w:t>
      </w:r>
    </w:p>
    <w:p>
      <w:pPr>
        <w:pStyle w:val="Heading2"/>
      </w:pPr>
      <w:r>
        <w:rPr/>
        <w:t>Payroll Procedures</w:t>
      </w:r>
    </w:p>
    <w:p>
      <w:r>
        <w:rPr/>
        <w:t>To ensure accuracy, compliance, and transparency, the payroll process follows a systematic procedure involving HR, Finance, and Central Payroll teams. The following steps outline the process:</w:t>
      </w:r>
    </w:p>
    <w:p>
      <w:pPr>
        <w:tabs>
          <w:tab w:pos="425" w:val="left"/>
        </w:tabs>
        <w:spacing w:after="60"/>
        <w:ind w:left="425" w:hanging="425"/>
      </w:pPr>
      <w:r>
        <w:rPr/>
        <w:t>a.</w:t>
        <w:tab/>
        <w:t>Validation of Timesheets</w:t>
      </w:r>
    </w:p>
    <w:p>
      <w:pPr>
        <w:numPr>
          <w:ilvl w:val="0"/>
          <w:numId w:val="90"/>
        </w:numPr>
        <w:spacing w:after="60"/>
      </w:pPr>
      <w:r>
        <w:rPr/>
        <w:t>Each HR Assistant/Coordinator at the institute level will review and validate employee timesheets for accuracy and completeness.</w:t>
      </w:r>
    </w:p>
    <w:p>
      <w:pPr>
        <w:numPr>
          <w:ilvl w:val="0"/>
          <w:numId w:val="90"/>
        </w:numPr>
        <w:spacing w:after="60"/>
      </w:pPr>
      <w:r>
        <w:rPr/>
        <w:t>This includes verifying attendance records, leave applications, overtime, and other allowances.</w:t>
      </w:r>
    </w:p>
    <w:p>
      <w:pPr>
        <w:numPr>
          <w:ilvl w:val="0"/>
          <w:numId w:val="90"/>
        </w:numPr>
        <w:spacing w:after="60"/>
      </w:pPr>
      <w:r>
        <w:rPr/>
        <w:t>All validated timesheets must be submitted to the Central Payroll Processing Team at least 1 working day before the start of the new month to allow timely salary processing.</w:t>
      </w:r>
    </w:p>
    <w:p>
      <w:pPr>
        <w:tabs>
          <w:tab w:pos="425" w:val="left"/>
        </w:tabs>
        <w:spacing w:after="60"/>
        <w:ind w:left="425" w:hanging="425"/>
      </w:pPr>
      <w:r>
        <w:rPr/>
        <w:t>b.</w:t>
        <w:tab/>
        <w:t>Authentication of Timesheets</w:t>
      </w:r>
    </w:p>
    <w:p>
      <w:pPr>
        <w:numPr>
          <w:ilvl w:val="0"/>
          <w:numId w:val="90"/>
        </w:numPr>
        <w:spacing w:after="60"/>
      </w:pPr>
      <w:r>
        <w:rPr/>
        <w:t>The Chief Operating Officer (COO) / Chief Administrative Officer (CAO) is responsible for authenticating all timesheets received from HR Assistants/Coordinators across different institutes.</w:t>
      </w:r>
    </w:p>
    <w:p>
      <w:pPr>
        <w:numPr>
          <w:ilvl w:val="0"/>
          <w:numId w:val="90"/>
        </w:numPr>
        <w:spacing w:after="60"/>
      </w:pPr>
      <w:r>
        <w:rPr/>
        <w:t>Only after authentication will the timesheets be forwarded to the Central Payroll Processing Team.</w:t>
      </w:r>
    </w:p>
    <w:p>
      <w:pPr>
        <w:numPr>
          <w:ilvl w:val="0"/>
          <w:numId w:val="90"/>
        </w:numPr>
        <w:spacing w:after="60"/>
      </w:pPr>
      <w:r>
        <w:rPr/>
        <w:t>This ensures an additional layer of control and accountability before payroll is finalized.</w:t>
      </w:r>
    </w:p>
    <w:p>
      <w:pPr>
        <w:tabs>
          <w:tab w:pos="425" w:val="left"/>
        </w:tabs>
        <w:spacing w:after="60"/>
        <w:ind w:left="425" w:hanging="425"/>
      </w:pPr>
      <w:r>
        <w:rPr/>
        <w:t>c.</w:t>
        <w:tab/>
        <w:t>Statutory and Other Deductions</w:t>
      </w:r>
    </w:p>
    <w:p>
      <w:pPr>
        <w:numPr>
          <w:ilvl w:val="0"/>
          <w:numId w:val="90"/>
        </w:numPr>
        <w:spacing w:after="60"/>
      </w:pPr>
      <w:r>
        <w:rPr/>
        <w:t>Statutory deductions such as Provident Fund (PF), Professional Tax, Employee State Insurance (ESI), and Income Tax (TDS) shall be made strictly as per Government norms.</w:t>
      </w:r>
    </w:p>
    <w:p>
      <w:pPr>
        <w:numPr>
          <w:ilvl w:val="0"/>
          <w:numId w:val="90"/>
        </w:numPr>
        <w:spacing w:after="60"/>
      </w:pPr>
      <w:r>
        <w:rPr/>
        <w:t>Other deductions (such as loans, advances, welfare fund contributions, or employee-requested deductions) will be applied only under the guidelines approved by management or upon the employee’s written consent.</w:t>
      </w:r>
    </w:p>
    <w:p>
      <w:pPr>
        <w:tabs>
          <w:tab w:pos="425" w:val="left"/>
        </w:tabs>
        <w:spacing w:after="60"/>
        <w:ind w:left="425" w:hanging="425"/>
      </w:pPr>
      <w:r>
        <w:rPr/>
        <w:t>d.</w:t>
        <w:tab/>
        <w:t>Discrepancy Resolution</w:t>
      </w:r>
    </w:p>
    <w:p>
      <w:pPr>
        <w:numPr>
          <w:ilvl w:val="0"/>
          <w:numId w:val="90"/>
        </w:numPr>
        <w:spacing w:after="60"/>
      </w:pPr>
      <w:r>
        <w:rPr/>
        <w:t>If an employee has any query or discrepancy regarding their salary, deductions, or allowances, they must approach the HR Department for clarification.</w:t>
      </w:r>
    </w:p>
    <w:p>
      <w:pPr>
        <w:numPr>
          <w:ilvl w:val="0"/>
          <w:numId w:val="90"/>
        </w:numPr>
        <w:spacing w:after="60"/>
      </w:pPr>
      <w:r>
        <w:rPr/>
        <w:t>HR is responsible for investigating the issue, coordinating with the Central Payroll Processing Team, and ensuring resolution in the following pay cycle.</w:t>
      </w:r>
    </w:p>
    <w:p>
      <w:pPr>
        <w:numPr>
          <w:ilvl w:val="0"/>
          <w:numId w:val="90"/>
        </w:numPr>
        <w:spacing w:after="60"/>
      </w:pPr>
      <w:r>
        <w:rPr/>
        <w:t>This ensures employees have a clear grievance redressal mechanism for payroll issues.</w:t>
      </w:r>
    </w:p>
    <w:p>
      <w:pPr>
        <w:tabs>
          <w:tab w:pos="425" w:val="left"/>
        </w:tabs>
        <w:spacing w:after="60"/>
        <w:ind w:left="425" w:hanging="425"/>
      </w:pPr>
      <w:r>
        <w:rPr/>
        <w:t>e.</w:t>
        <w:tab/>
        <w:t>Employee Transfers and Rotation</w:t>
      </w:r>
    </w:p>
    <w:p>
      <w:pPr>
        <w:numPr>
          <w:ilvl w:val="0"/>
          <w:numId w:val="90"/>
        </w:numPr>
        <w:spacing w:after="60"/>
      </w:pPr>
      <w:r>
        <w:rPr/>
        <w:t>As per the Transfer and Rotation Policy, when employees are transferred between campuses/institutes, their personnel files are also moved accordingly.</w:t>
      </w:r>
    </w:p>
    <w:p>
      <w:pPr>
        <w:numPr>
          <w:ilvl w:val="0"/>
          <w:numId w:val="90"/>
        </w:numPr>
        <w:spacing w:after="60"/>
      </w:pPr>
      <w:r>
        <w:rPr/>
        <w:t>The associated payroll costs will be reallocated to the respective cost center or institute budget.</w:t>
      </w:r>
    </w:p>
    <w:p>
      <w:pPr>
        <w:numPr>
          <w:ilvl w:val="0"/>
          <w:numId w:val="90"/>
        </w:numPr>
        <w:spacing w:after="60"/>
      </w:pPr>
      <w:r>
        <w:rPr/>
        <w:t>This ensures accurate financial reporting and allocation of salary expenses.</w:t>
      </w:r>
    </w:p>
    <w:p>
      <w:pPr>
        <w:pStyle w:val="Heading2"/>
      </w:pPr>
      <w:r>
        <w:rPr/>
        <w:t>Salary Payment Dates</w:t>
      </w:r>
    </w:p>
    <w:p>
      <w:pPr>
        <w:numPr>
          <w:ilvl w:val="0"/>
          <w:numId w:val="90"/>
        </w:numPr>
        <w:spacing w:after="60"/>
      </w:pPr>
      <w:r>
        <w:rPr/>
        <w:t>For all Higher Education Institutions (HEIs) under the University, salary disbursements shall be made on the first working day of each month.</w:t>
      </w:r>
    </w:p>
    <w:p>
      <w:pPr>
        <w:numPr>
          <w:ilvl w:val="0"/>
          <w:numId w:val="90"/>
        </w:numPr>
        <w:spacing w:after="60"/>
      </w:pPr>
      <w:r>
        <w:rPr/>
        <w:t>If the 1st day of the month falls on a weekend or a public holiday, the salary will be credited on the next immediate working day.</w:t>
      </w:r>
    </w:p>
    <w:p>
      <w:pPr>
        <w:numPr>
          <w:ilvl w:val="0"/>
          <w:numId w:val="90"/>
        </w:numPr>
        <w:spacing w:after="60"/>
      </w:pPr>
      <w:r>
        <w:rPr/>
        <w:t>Salaries will be paid strictly through bank transfers (NEFT/RTGS/Direct Credit) to employees’ designated accounts—no cash or cheque payments will be entertained.</w:t>
      </w:r>
    </w:p>
    <w:p>
      <w:pPr>
        <w:numPr>
          <w:ilvl w:val="0"/>
          <w:numId w:val="90"/>
        </w:numPr>
        <w:spacing w:after="60"/>
      </w:pPr>
      <w:r>
        <w:rPr/>
        <w:t>The Payroll and Accounts Departments must ensure that all timesheets, approvals, and statutory deductions are processed in advance so that salaries are credited without delay.</w:t>
      </w:r>
    </w:p>
    <w:p>
      <w:pPr>
        <w:numPr>
          <w:ilvl w:val="0"/>
          <w:numId w:val="90"/>
        </w:numPr>
        <w:spacing w:after="60"/>
      </w:pPr>
      <w:r>
        <w:rPr/>
        <w:t>Any exceptions or delays (e.g., technical banking issues) must be documented by the Finance Officer and reported to the Registrar/Principal.</w:t>
      </w:r>
    </w:p>
    <w:p>
      <w:pPr>
        <w:pStyle w:val="Heading2"/>
      </w:pPr>
      <w:r>
        <w:rPr/>
        <w:t>Accounts for Salaries</w:t>
      </w:r>
    </w:p>
    <w:p>
      <w:pPr>
        <w:pStyle w:val="Heading3"/>
      </w:pPr>
      <w:r>
        <w:rPr/>
        <w:t>1. Salary Payment and Receipt:</w:t>
      </w:r>
    </w:p>
    <w:p>
      <w:pPr>
        <w:numPr>
          <w:ilvl w:val="1"/>
          <w:numId w:val="90"/>
        </w:numPr>
        <w:spacing w:after="60"/>
      </w:pPr>
      <w:r>
        <w:rPr/>
        <w:t>No employee shall receive their salary unless they have signed the receipt for the payment.</w:t>
      </w:r>
    </w:p>
    <w:p>
      <w:pPr>
        <w:numPr>
          <w:ilvl w:val="1"/>
          <w:numId w:val="90"/>
        </w:numPr>
        <w:spacing w:after="60"/>
      </w:pPr>
      <w:r>
        <w:rPr/>
        <w:t>The stamp duty on the receipt or acknowledgment shall be borne by the employee</w:t>
      </w:r>
      <w:r>
        <w:rPr>
          <w:b/>
        </w:rPr>
        <w:t>.</w:t>
      </w:r>
    </w:p>
    <w:p>
      <w:pPr>
        <w:pStyle w:val="Heading3"/>
      </w:pPr>
      <w:r>
        <w:rPr/>
        <w:t>2. Acquittance for Salary:</w:t>
      </w:r>
    </w:p>
    <w:p>
      <w:pPr>
        <w:numPr>
          <w:ilvl w:val="1"/>
          <w:numId w:val="90"/>
        </w:numPr>
        <w:spacing w:after="60"/>
      </w:pPr>
      <w:r>
        <w:rPr/>
        <w:t>A separate acquittance may be obtained and either:</w:t>
      </w:r>
    </w:p>
    <w:p>
      <w:pPr>
        <w:numPr>
          <w:ilvl w:val="2"/>
          <w:numId w:val="90"/>
        </w:numPr>
        <w:spacing w:after="60"/>
      </w:pPr>
      <w:r>
        <w:rPr/>
        <w:t>Attached to the salary bill, or</w:t>
      </w:r>
    </w:p>
    <w:p>
      <w:pPr>
        <w:numPr>
          <w:ilvl w:val="2"/>
          <w:numId w:val="90"/>
        </w:numPr>
        <w:spacing w:after="60"/>
      </w:pPr>
      <w:r>
        <w:rPr/>
        <w:t>Taken in the acquittance register</w:t>
      </w:r>
      <w:r>
        <w:rPr>
          <w:b/>
        </w:rPr>
        <w:t>.</w:t>
      </w:r>
    </w:p>
    <w:p>
      <w:pPr>
        <w:pStyle w:val="Heading3"/>
      </w:pPr>
      <w:r>
        <w:rPr/>
        <w:t>3. Unpaid Salaries:</w:t>
      </w:r>
    </w:p>
    <w:p>
      <w:pPr>
        <w:numPr>
          <w:ilvl w:val="1"/>
          <w:numId w:val="90"/>
        </w:numPr>
        <w:spacing w:after="60"/>
      </w:pPr>
      <w:r>
        <w:rPr/>
        <w:t>Salaries that are drawn but not paid to the employee within a month must be refunded to the College Account</w:t>
      </w:r>
      <w:r>
        <w:rPr>
          <w:b/>
        </w:rPr>
        <w:t>.</w:t>
      </w:r>
    </w:p>
    <w:p>
      <w:pPr>
        <w:numPr>
          <w:ilvl w:val="1"/>
          <w:numId w:val="90"/>
        </w:numPr>
        <w:spacing w:after="60"/>
      </w:pPr>
      <w:r>
        <w:rPr/>
        <w:t>These amounts may be re-drawn and disbursed to the employee when they claim the payment.</w:t>
      </w:r>
    </w:p>
    <w:p>
      <w:pPr>
        <w:spacing w:after="0"/>
      </w:pPr>
      <w:r>
        <w:br w:type="page"/>
      </w:r>
    </w:p>
    <w:p>
      <w:pPr>
        <w:pStyle w:val="Heading1"/>
        <w:spacing w:before="0"/>
      </w:pPr>
      <w:r>
        <w:rPr/>
        <w:t>41. Financial Resources Overview</w:t>
      </w:r>
    </w:p>
    <w:p>
      <w:r>
        <w:rPr/>
        <w:t>The financial resources of the College primarily include:</w:t>
      </w:r>
    </w:p>
    <w:p>
      <w:pPr>
        <w:pStyle w:val="Heading3"/>
      </w:pPr>
      <w:r>
        <w:rPr/>
        <w:t>1. Income:</w:t>
      </w:r>
    </w:p>
    <w:p>
      <w:pPr>
        <w:numPr>
          <w:ilvl w:val="1"/>
          <w:numId w:val="90"/>
        </w:numPr>
        <w:spacing w:after="60"/>
      </w:pPr>
      <w:r>
        <w:rPr/>
        <w:t>Tuition Fees paid by students.</w:t>
      </w:r>
    </w:p>
    <w:p>
      <w:pPr>
        <w:numPr>
          <w:ilvl w:val="1"/>
          <w:numId w:val="90"/>
        </w:numPr>
        <w:spacing w:after="60"/>
      </w:pPr>
      <w:r>
        <w:rPr/>
        <w:t>Reserve Funds</w:t>
      </w:r>
      <w:r>
        <w:rPr>
          <w:b/>
        </w:rPr>
        <w:t>,</w:t>
      </w:r>
      <w:r>
        <w:rPr/>
        <w:t xml:space="preserve"> donations, and grants from external bodies or society.</w:t>
      </w:r>
    </w:p>
    <w:p>
      <w:pPr>
        <w:pStyle w:val="Heading2"/>
      </w:pPr>
      <w:r>
        <w:rPr/>
        <w:t>Budget Breakdown</w:t>
      </w:r>
    </w:p>
    <w:p>
      <w:pPr>
        <w:pStyle w:val="Heading3"/>
      </w:pPr>
      <w:r>
        <w:rPr>
          <w:i/>
        </w:rPr>
        <w:t>i. Capital Resources:</w:t>
      </w:r>
    </w:p>
    <w:p>
      <w:pPr>
        <w:numPr>
          <w:ilvl w:val="0"/>
          <w:numId w:val="90"/>
        </w:numPr>
        <w:spacing w:after="60"/>
      </w:pPr>
      <w:r>
        <w:rPr>
          <w:b/>
        </w:rPr>
        <w:t>Adequacy:</w:t>
      </w:r>
      <w:r>
        <w:rPr/>
        <w:t xml:space="preserve"> Capital resources should be sufficient to cover the operational, maintenance, and development needs of the institution.</w:t>
      </w:r>
    </w:p>
    <w:p>
      <w:pPr>
        <w:pStyle w:val="Heading3"/>
      </w:pPr>
      <w:r>
        <w:rPr>
          <w:i/>
        </w:rPr>
        <w:t>ii. Operational Budget:</w:t>
      </w:r>
    </w:p>
    <w:p>
      <w:r>
        <w:rPr/>
        <w:t>The operational budget includes recurring expenditures and consumables necessary for the functioning of the department and the institution. The key items to be included are:</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4551"/>
        <w:gridCol w:w="4860"/>
      </w:tblGrid>
      <w:tr>
        <w:trPr>
          <w:cantSplit w:val="true"/>
          <w:tblHeader w:val="true"/>
        </w:trPr>
        <w:tc>
          <w:tcPr>
            <w:tcW w:type="dxa" w:w="4551"/>
            <w:shd w:val="clear" w:color="auto" w:fill="1F3A5F"/>
          </w:tcPr>
          <w:p>
            <w:pPr>
              <w:spacing w:after="20" w:before="20" w:line="240" w:lineRule="auto"/>
              <w:jc w:val="left"/>
            </w:pPr>
            <w:r>
              <w:rPr>
                <w:b/>
                <w:color w:val="FFFFFF"/>
                <w:sz w:val="20"/>
              </w:rPr>
              <w:t>Department</w:t>
            </w:r>
          </w:p>
        </w:tc>
        <w:tc>
          <w:tcPr>
            <w:tcW w:type="dxa" w:w="4860"/>
            <w:shd w:val="clear" w:color="auto" w:fill="1F3A5F"/>
          </w:tcPr>
          <w:p>
            <w:pPr>
              <w:spacing w:after="20" w:before="20" w:line="240" w:lineRule="auto"/>
              <w:jc w:val="left"/>
            </w:pPr>
            <w:r>
              <w:rPr>
                <w:b/>
                <w:color w:val="FFFFFF"/>
                <w:sz w:val="20"/>
              </w:rPr>
              <w:t>Institution</w:t>
            </w:r>
          </w:p>
        </w:tc>
      </w:tr>
      <w:tr>
        <w:trPr>
          <w:cantSplit w:val="true"/>
        </w:trPr>
        <w:tc>
          <w:tcPr>
            <w:tcW w:type="dxa" w:w="4551"/>
          </w:tcPr>
          <w:p>
            <w:pPr>
              <w:spacing w:after="20" w:before="20" w:line="240" w:lineRule="auto"/>
              <w:jc w:val="left"/>
            </w:pPr>
            <w:r>
              <w:rPr>
                <w:sz w:val="20"/>
              </w:rPr>
              <w:t>Departmental and Lab consumables</w:t>
            </w:r>
          </w:p>
        </w:tc>
        <w:tc>
          <w:tcPr>
            <w:tcW w:type="dxa" w:w="4860"/>
          </w:tcPr>
          <w:p>
            <w:pPr>
              <w:spacing w:after="20" w:before="20" w:line="240" w:lineRule="auto"/>
              <w:jc w:val="left"/>
            </w:pPr>
            <w:r>
              <w:rPr>
                <w:sz w:val="20"/>
              </w:rPr>
              <w:t>Establishment charges (Salaries, etc.)</w:t>
            </w:r>
          </w:p>
        </w:tc>
      </w:tr>
      <w:tr>
        <w:trPr>
          <w:cantSplit w:val="true"/>
        </w:trPr>
        <w:tc>
          <w:tcPr>
            <w:tcW w:type="dxa" w:w="4551"/>
            <w:shd w:val="clear" w:color="auto" w:fill="E8EEF5"/>
          </w:tcPr>
          <w:p>
            <w:pPr>
              <w:spacing w:after="20" w:before="20" w:line="240" w:lineRule="auto"/>
              <w:jc w:val="left"/>
            </w:pPr>
            <w:r>
              <w:rPr>
                <w:sz w:val="20"/>
              </w:rPr>
              <w:t>Department workshops and symposiums</w:t>
            </w:r>
          </w:p>
        </w:tc>
        <w:tc>
          <w:tcPr>
            <w:tcW w:type="dxa" w:w="4860"/>
            <w:shd w:val="clear" w:color="auto" w:fill="E8EEF5"/>
          </w:tcPr>
          <w:p>
            <w:pPr>
              <w:spacing w:after="20" w:before="20" w:line="240" w:lineRule="auto"/>
              <w:jc w:val="left"/>
            </w:pPr>
            <w:r>
              <w:rPr>
                <w:sz w:val="20"/>
              </w:rPr>
              <w:t>Electricity and Telephone bills</w:t>
            </w:r>
          </w:p>
        </w:tc>
      </w:tr>
      <w:tr>
        <w:trPr>
          <w:cantSplit w:val="true"/>
        </w:trPr>
        <w:tc>
          <w:tcPr>
            <w:tcW w:type="dxa" w:w="4551"/>
          </w:tcPr>
          <w:p>
            <w:pPr>
              <w:spacing w:after="20" w:before="20" w:line="240" w:lineRule="auto"/>
              <w:jc w:val="left"/>
            </w:pPr>
            <w:r>
              <w:rPr>
                <w:sz w:val="20"/>
              </w:rPr>
              <w:t>Industrial visits, tours, and TA/DA</w:t>
            </w:r>
          </w:p>
        </w:tc>
        <w:tc>
          <w:tcPr>
            <w:tcW w:type="dxa" w:w="4860"/>
          </w:tcPr>
          <w:p>
            <w:pPr>
              <w:spacing w:after="20" w:before="20" w:line="240" w:lineRule="auto"/>
              <w:jc w:val="left"/>
            </w:pPr>
            <w:r>
              <w:rPr>
                <w:sz w:val="20"/>
              </w:rPr>
              <w:t>Taxes and Interests</w:t>
            </w:r>
          </w:p>
        </w:tc>
      </w:tr>
      <w:tr>
        <w:trPr>
          <w:cantSplit w:val="true"/>
        </w:trPr>
        <w:tc>
          <w:tcPr>
            <w:tcW w:type="dxa" w:w="4551"/>
            <w:shd w:val="clear" w:color="auto" w:fill="E8EEF5"/>
          </w:tcPr>
          <w:p>
            <w:pPr>
              <w:spacing w:after="20" w:before="20" w:line="240" w:lineRule="auto"/>
              <w:jc w:val="left"/>
            </w:pPr>
            <w:r>
              <w:rPr>
                <w:sz w:val="20"/>
              </w:rPr>
              <w:t>Postage</w:t>
            </w:r>
          </w:p>
        </w:tc>
        <w:tc>
          <w:tcPr>
            <w:tcW w:type="dxa" w:w="4860"/>
            <w:shd w:val="clear" w:color="auto" w:fill="E8EEF5"/>
          </w:tcPr>
          <w:p>
            <w:pPr>
              <w:spacing w:after="20" w:before="20" w:line="240" w:lineRule="auto"/>
              <w:jc w:val="left"/>
            </w:pPr>
            <w:r>
              <w:rPr>
                <w:sz w:val="20"/>
              </w:rPr>
              <w:t>Internet Charges</w:t>
            </w:r>
          </w:p>
        </w:tc>
      </w:tr>
      <w:tr>
        <w:trPr>
          <w:cantSplit w:val="true"/>
        </w:trPr>
        <w:tc>
          <w:tcPr>
            <w:tcW w:type="dxa" w:w="4551"/>
          </w:tcPr>
          <w:p>
            <w:pPr>
              <w:spacing w:after="20" w:before="20" w:line="240" w:lineRule="auto"/>
              <w:jc w:val="left"/>
            </w:pPr>
            <w:r>
              <w:rPr>
                <w:sz w:val="20"/>
              </w:rPr>
              <w:t>Guest lectures</w:t>
            </w:r>
          </w:p>
        </w:tc>
        <w:tc>
          <w:tcPr>
            <w:tcW w:type="dxa" w:w="4860"/>
          </w:tcPr>
          <w:p>
            <w:pPr>
              <w:spacing w:after="20" w:before="20" w:line="240" w:lineRule="auto"/>
              <w:jc w:val="left"/>
            </w:pPr>
            <w:r>
              <w:rPr>
                <w:sz w:val="20"/>
              </w:rPr>
              <w:t>Newspapers and magazines</w:t>
            </w:r>
          </w:p>
        </w:tc>
      </w:tr>
      <w:tr>
        <w:trPr>
          <w:cantSplit w:val="true"/>
        </w:trPr>
        <w:tc>
          <w:tcPr>
            <w:tcW w:type="dxa" w:w="4551"/>
            <w:shd w:val="clear" w:color="auto" w:fill="E8EEF5"/>
          </w:tcPr>
          <w:p>
            <w:pPr>
              <w:spacing w:after="20" w:before="20" w:line="240" w:lineRule="auto"/>
              <w:jc w:val="left"/>
            </w:pPr>
            <w:r>
              <w:rPr>
                <w:sz w:val="20"/>
              </w:rPr>
              <w:t>Affiliation fees</w:t>
            </w:r>
          </w:p>
        </w:tc>
        <w:tc>
          <w:tcPr>
            <w:tcW w:type="dxa" w:w="4860"/>
            <w:shd w:val="clear" w:color="auto" w:fill="E8EEF5"/>
          </w:tcPr>
          <w:p>
            <w:pPr>
              <w:spacing w:after="20" w:before="20" w:line="240" w:lineRule="auto"/>
              <w:jc w:val="left"/>
            </w:pPr>
            <w:r>
              <w:rPr>
                <w:sz w:val="20"/>
              </w:rPr>
              <w:t>Playgrounds and PED consumables</w:t>
            </w:r>
          </w:p>
        </w:tc>
      </w:tr>
      <w:tr>
        <w:trPr>
          <w:cantSplit w:val="true"/>
        </w:trPr>
        <w:tc>
          <w:tcPr>
            <w:tcW w:type="dxa" w:w="4551"/>
          </w:tcPr>
          <w:p>
            <w:pPr>
              <w:spacing w:after="20" w:before="20" w:line="240" w:lineRule="auto"/>
              <w:jc w:val="left"/>
            </w:pPr>
            <w:r>
              <w:rPr>
                <w:sz w:val="20"/>
              </w:rPr>
              <w:t>Inspection expenditure</w:t>
            </w:r>
          </w:p>
        </w:tc>
        <w:tc>
          <w:tcPr>
            <w:tcW w:type="dxa" w:w="4860"/>
          </w:tcPr>
          <w:p>
            <w:pPr>
              <w:spacing w:after="20" w:before="20" w:line="240" w:lineRule="auto"/>
              <w:jc w:val="left"/>
            </w:pPr>
            <w:r>
              <w:rPr>
                <w:sz w:val="20"/>
              </w:rPr>
              <w:t>College day celebrations</w:t>
            </w:r>
          </w:p>
        </w:tc>
      </w:tr>
      <w:tr>
        <w:trPr>
          <w:cantSplit w:val="true"/>
        </w:trPr>
        <w:tc>
          <w:tcPr>
            <w:tcW w:type="dxa" w:w="4551"/>
            <w:shd w:val="clear" w:color="auto" w:fill="E8EEF5"/>
          </w:tcPr>
          <w:p>
            <w:pPr>
              <w:spacing w:after="20" w:before="20" w:line="240" w:lineRule="auto"/>
              <w:jc w:val="left"/>
            </w:pPr>
            <w:r>
              <w:rPr>
                <w:sz w:val="20"/>
              </w:rPr>
              <w:t>Expenditure on continuing education</w:t>
            </w:r>
          </w:p>
        </w:tc>
        <w:tc>
          <w:tcPr>
            <w:tcW w:type="dxa" w:w="4860"/>
            <w:shd w:val="clear" w:color="auto" w:fill="E8EEF5"/>
          </w:tcPr>
          <w:p>
            <w:pPr>
              <w:spacing w:after="20" w:before="20" w:line="240" w:lineRule="auto"/>
              <w:jc w:val="left"/>
            </w:pPr>
            <w:r>
              <w:rPr>
                <w:sz w:val="20"/>
              </w:rPr>
              <w:t>Incentives and Travel</w:t>
            </w:r>
          </w:p>
        </w:tc>
      </w:tr>
      <w:tr>
        <w:trPr>
          <w:cantSplit w:val="true"/>
        </w:trPr>
        <w:tc>
          <w:tcPr>
            <w:tcW w:type="dxa" w:w="4551"/>
          </w:tcPr>
          <w:p>
            <w:pPr>
              <w:spacing w:after="20" w:before="20" w:line="240" w:lineRule="auto"/>
              <w:jc w:val="left"/>
            </w:pPr>
            <w:r>
              <w:rPr>
                <w:sz w:val="20"/>
              </w:rPr>
              <w:t>Departmental celebrations</w:t>
            </w:r>
          </w:p>
        </w:tc>
        <w:tc>
          <w:tcPr>
            <w:tcW w:type="dxa" w:w="4860"/>
          </w:tcPr>
          <w:p>
            <w:pPr>
              <w:spacing w:after="20" w:before="20" w:line="240" w:lineRule="auto"/>
              <w:jc w:val="left"/>
            </w:pPr>
            <w:r>
              <w:rPr>
                <w:sz w:val="20"/>
              </w:rPr>
              <w:t>Postage &amp; Office Consumables</w:t>
            </w:r>
          </w:p>
        </w:tc>
      </w:tr>
      <w:tr>
        <w:trPr>
          <w:cantSplit w:val="true"/>
        </w:trPr>
        <w:tc>
          <w:tcPr>
            <w:tcW w:type="dxa" w:w="4551"/>
            <w:shd w:val="clear" w:color="auto" w:fill="E8EEF5"/>
          </w:tcPr>
          <w:p>
            <w:pPr>
              <w:spacing w:after="20" w:before="20" w:line="240" w:lineRule="auto"/>
              <w:jc w:val="left"/>
            </w:pPr>
            <w:r>
              <w:rPr>
                <w:sz w:val="20"/>
              </w:rPr>
              <w:t>Office Consumables</w:t>
            </w:r>
          </w:p>
        </w:tc>
        <w:tc>
          <w:tcPr>
            <w:tcW w:type="dxa" w:w="4860"/>
            <w:shd w:val="clear" w:color="auto" w:fill="E8EEF5"/>
          </w:tcPr>
          <w:p>
            <w:pPr>
              <w:spacing w:after="20" w:before="20" w:line="240" w:lineRule="auto"/>
              <w:jc w:val="left"/>
            </w:pPr>
            <w:r>
              <w:rPr>
                <w:sz w:val="20"/>
              </w:rPr>
              <w:t>Newsletter, College Magazines</w:t>
            </w:r>
          </w:p>
        </w:tc>
      </w:tr>
    </w:tbl>
    <w:p>
      <w:pPr>
        <w:spacing w:after="80" w:line="240" w:lineRule="auto"/>
      </w:pPr>
    </w:p>
    <w:p>
      <w:pPr>
        <w:pStyle w:val="Heading3"/>
      </w:pPr>
      <w:r>
        <w:rPr>
          <w:i/>
        </w:rPr>
        <w:t>iii. Maintenance Budget:</w:t>
      </w:r>
    </w:p>
    <w:p>
      <w:r>
        <w:rPr/>
        <w:t>This budget focuses on the upkeep and maintenance of the department and institution. Each department should maintain its own expenditure records. The following items form part of the maintenance budget:</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4433"/>
        <w:gridCol w:w="4978"/>
      </w:tblGrid>
      <w:tr>
        <w:trPr>
          <w:cantSplit w:val="true"/>
          <w:tblHeader w:val="true"/>
        </w:trPr>
        <w:tc>
          <w:tcPr>
            <w:tcW w:type="dxa" w:w="4433"/>
            <w:shd w:val="clear" w:color="auto" w:fill="1F3A5F"/>
          </w:tcPr>
          <w:p>
            <w:pPr>
              <w:spacing w:after="20" w:before="20" w:line="240" w:lineRule="auto"/>
              <w:jc w:val="left"/>
            </w:pPr>
            <w:r>
              <w:rPr>
                <w:b/>
                <w:color w:val="FFFFFF"/>
                <w:sz w:val="20"/>
              </w:rPr>
              <w:t>Department</w:t>
            </w:r>
          </w:p>
        </w:tc>
        <w:tc>
          <w:tcPr>
            <w:tcW w:type="dxa" w:w="4978"/>
            <w:shd w:val="clear" w:color="auto" w:fill="1F3A5F"/>
          </w:tcPr>
          <w:p>
            <w:pPr>
              <w:spacing w:after="20" w:before="20" w:line="240" w:lineRule="auto"/>
              <w:jc w:val="left"/>
            </w:pPr>
            <w:r>
              <w:rPr>
                <w:b/>
                <w:color w:val="FFFFFF"/>
                <w:sz w:val="20"/>
              </w:rPr>
              <w:t>Institution</w:t>
            </w:r>
          </w:p>
        </w:tc>
      </w:tr>
      <w:tr>
        <w:trPr>
          <w:cantSplit w:val="true"/>
        </w:trPr>
        <w:tc>
          <w:tcPr>
            <w:tcW w:type="dxa" w:w="4433"/>
          </w:tcPr>
          <w:p>
            <w:pPr>
              <w:spacing w:after="20" w:before="20" w:line="240" w:lineRule="auto"/>
              <w:jc w:val="left"/>
            </w:pPr>
            <w:r>
              <w:rPr>
                <w:sz w:val="20"/>
              </w:rPr>
              <w:t>Equipment repair/maintenance</w:t>
            </w:r>
          </w:p>
        </w:tc>
        <w:tc>
          <w:tcPr>
            <w:tcW w:type="dxa" w:w="4978"/>
          </w:tcPr>
          <w:p>
            <w:pPr>
              <w:spacing w:after="20" w:before="20" w:line="240" w:lineRule="auto"/>
              <w:jc w:val="left"/>
            </w:pPr>
            <w:r>
              <w:rPr>
                <w:sz w:val="20"/>
              </w:rPr>
              <w:t>General equipment repairs</w:t>
            </w:r>
          </w:p>
        </w:tc>
      </w:tr>
      <w:tr>
        <w:trPr>
          <w:cantSplit w:val="true"/>
        </w:trPr>
        <w:tc>
          <w:tcPr>
            <w:tcW w:type="dxa" w:w="4433"/>
            <w:shd w:val="clear" w:color="auto" w:fill="E8EEF5"/>
          </w:tcPr>
          <w:p>
            <w:pPr>
              <w:spacing w:after="20" w:before="20" w:line="240" w:lineRule="auto"/>
              <w:jc w:val="left"/>
            </w:pPr>
            <w:r>
              <w:rPr>
                <w:sz w:val="20"/>
              </w:rPr>
              <w:t>Furniture repair/maintenance</w:t>
            </w:r>
          </w:p>
        </w:tc>
        <w:tc>
          <w:tcPr>
            <w:tcW w:type="dxa" w:w="4978"/>
            <w:shd w:val="clear" w:color="auto" w:fill="E8EEF5"/>
          </w:tcPr>
          <w:p>
            <w:pPr>
              <w:spacing w:after="20" w:before="20" w:line="240" w:lineRule="auto"/>
              <w:jc w:val="left"/>
            </w:pPr>
            <w:r>
              <w:rPr>
                <w:sz w:val="20"/>
              </w:rPr>
              <w:t>Building repairs and maintenance</w:t>
            </w:r>
          </w:p>
        </w:tc>
      </w:tr>
      <w:tr>
        <w:trPr>
          <w:cantSplit w:val="true"/>
        </w:trPr>
        <w:tc>
          <w:tcPr>
            <w:tcW w:type="dxa" w:w="4433"/>
          </w:tcPr>
          <w:p>
            <w:pPr>
              <w:spacing w:after="20" w:before="20" w:line="240" w:lineRule="auto"/>
              <w:jc w:val="left"/>
            </w:pPr>
            <w:r>
              <w:rPr>
                <w:sz w:val="20"/>
              </w:rPr>
              <w:t>Modernization/alteration of labs</w:t>
            </w:r>
          </w:p>
        </w:tc>
        <w:tc>
          <w:tcPr>
            <w:tcW w:type="dxa" w:w="4978"/>
          </w:tcPr>
          <w:p>
            <w:pPr>
              <w:spacing w:after="20" w:before="20" w:line="240" w:lineRule="auto"/>
              <w:jc w:val="left"/>
            </w:pPr>
            <w:r>
              <w:rPr>
                <w:sz w:val="20"/>
              </w:rPr>
              <w:t>Transport and vehicle maintenance</w:t>
            </w:r>
          </w:p>
        </w:tc>
      </w:tr>
      <w:tr>
        <w:trPr>
          <w:cantSplit w:val="true"/>
        </w:trPr>
        <w:tc>
          <w:tcPr>
            <w:tcW w:type="dxa" w:w="4433"/>
            <w:shd w:val="clear" w:color="auto" w:fill="E8EEF5"/>
          </w:tcPr>
          <w:p>
            <w:pPr>
              <w:spacing w:after="20" w:before="20" w:line="240" w:lineRule="auto"/>
              <w:jc w:val="left"/>
            </w:pPr>
          </w:p>
        </w:tc>
        <w:tc>
          <w:tcPr>
            <w:tcW w:type="dxa" w:w="4978"/>
            <w:shd w:val="clear" w:color="auto" w:fill="E8EEF5"/>
          </w:tcPr>
          <w:p>
            <w:pPr>
              <w:spacing w:after="20" w:before="20" w:line="240" w:lineRule="auto"/>
              <w:jc w:val="left"/>
            </w:pPr>
            <w:r>
              <w:rPr>
                <w:sz w:val="20"/>
              </w:rPr>
              <w:t>Generators and electrical maintenance</w:t>
            </w:r>
          </w:p>
        </w:tc>
      </w:tr>
      <w:tr>
        <w:trPr>
          <w:cantSplit w:val="true"/>
        </w:trPr>
        <w:tc>
          <w:tcPr>
            <w:tcW w:type="dxa" w:w="4433"/>
          </w:tcPr>
          <w:p>
            <w:pPr>
              <w:spacing w:after="20" w:before="20" w:line="240" w:lineRule="auto"/>
              <w:jc w:val="left"/>
            </w:pPr>
          </w:p>
        </w:tc>
        <w:tc>
          <w:tcPr>
            <w:tcW w:type="dxa" w:w="4978"/>
          </w:tcPr>
          <w:p>
            <w:pPr>
              <w:spacing w:after="20" w:before="20" w:line="240" w:lineRule="auto"/>
              <w:jc w:val="left"/>
            </w:pPr>
            <w:r>
              <w:rPr>
                <w:sz w:val="20"/>
              </w:rPr>
              <w:t>Books maintenance</w:t>
            </w:r>
          </w:p>
        </w:tc>
      </w:tr>
      <w:tr>
        <w:trPr>
          <w:cantSplit w:val="true"/>
        </w:trPr>
        <w:tc>
          <w:tcPr>
            <w:tcW w:type="dxa" w:w="4433"/>
            <w:shd w:val="clear" w:color="auto" w:fill="E8EEF5"/>
          </w:tcPr>
          <w:p>
            <w:pPr>
              <w:spacing w:after="20" w:before="20" w:line="240" w:lineRule="auto"/>
              <w:jc w:val="left"/>
            </w:pPr>
          </w:p>
        </w:tc>
        <w:tc>
          <w:tcPr>
            <w:tcW w:type="dxa" w:w="4978"/>
            <w:shd w:val="clear" w:color="auto" w:fill="E8EEF5"/>
          </w:tcPr>
          <w:p>
            <w:pPr>
              <w:spacing w:after="20" w:before="20" w:line="240" w:lineRule="auto"/>
              <w:jc w:val="left"/>
            </w:pPr>
            <w:r>
              <w:rPr>
                <w:sz w:val="20"/>
              </w:rPr>
              <w:t>Canteen equipment maintenance</w:t>
            </w:r>
          </w:p>
        </w:tc>
      </w:tr>
      <w:tr>
        <w:trPr>
          <w:cantSplit w:val="true"/>
        </w:trPr>
        <w:tc>
          <w:tcPr>
            <w:tcW w:type="dxa" w:w="4433"/>
          </w:tcPr>
          <w:p>
            <w:pPr>
              <w:spacing w:after="20" w:before="20" w:line="240" w:lineRule="auto"/>
              <w:jc w:val="left"/>
            </w:pPr>
          </w:p>
        </w:tc>
        <w:tc>
          <w:tcPr>
            <w:tcW w:type="dxa" w:w="4978"/>
          </w:tcPr>
          <w:p>
            <w:pPr>
              <w:spacing w:after="20" w:before="20" w:line="240" w:lineRule="auto"/>
              <w:jc w:val="left"/>
            </w:pPr>
            <w:r>
              <w:rPr>
                <w:sz w:val="20"/>
              </w:rPr>
              <w:t>Garden maintenance</w:t>
            </w:r>
          </w:p>
        </w:tc>
      </w:tr>
    </w:tbl>
    <w:p>
      <w:pPr>
        <w:spacing w:after="80" w:line="240" w:lineRule="auto"/>
      </w:pPr>
    </w:p>
    <w:p>
      <w:pPr>
        <w:pStyle w:val="Heading3"/>
      </w:pPr>
      <w:r>
        <w:rPr>
          <w:i/>
        </w:rPr>
        <w:t>iv. Development Resources and Budget:</w:t>
      </w:r>
    </w:p>
    <w:p>
      <w:r>
        <w:rPr/>
        <w:t>This budget includes all capitalized items. The following are included under development resources:</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4609"/>
        <w:gridCol w:w="4802"/>
      </w:tblGrid>
      <w:tr>
        <w:trPr>
          <w:cantSplit w:val="true"/>
          <w:tblHeader w:val="true"/>
        </w:trPr>
        <w:tc>
          <w:tcPr>
            <w:tcW w:type="dxa" w:w="4609"/>
            <w:shd w:val="clear" w:color="auto" w:fill="1F3A5F"/>
          </w:tcPr>
          <w:p>
            <w:pPr>
              <w:spacing w:after="20" w:before="20" w:line="240" w:lineRule="auto"/>
              <w:jc w:val="left"/>
            </w:pPr>
            <w:r>
              <w:rPr>
                <w:b/>
                <w:color w:val="FFFFFF"/>
                <w:sz w:val="20"/>
              </w:rPr>
              <w:t>Department Expenditure</w:t>
            </w:r>
          </w:p>
        </w:tc>
        <w:tc>
          <w:tcPr>
            <w:tcW w:type="dxa" w:w="4802"/>
            <w:shd w:val="clear" w:color="auto" w:fill="1F3A5F"/>
          </w:tcPr>
          <w:p>
            <w:pPr>
              <w:spacing w:after="20" w:before="20" w:line="240" w:lineRule="auto"/>
              <w:jc w:val="left"/>
            </w:pPr>
            <w:r>
              <w:rPr>
                <w:b/>
                <w:color w:val="FFFFFF"/>
                <w:sz w:val="20"/>
              </w:rPr>
              <w:t>Institution Expenditure</w:t>
            </w:r>
          </w:p>
        </w:tc>
      </w:tr>
      <w:tr>
        <w:trPr>
          <w:cantSplit w:val="true"/>
        </w:trPr>
        <w:tc>
          <w:tcPr>
            <w:tcW w:type="dxa" w:w="4609"/>
          </w:tcPr>
          <w:p>
            <w:pPr>
              <w:spacing w:after="20" w:before="20" w:line="240" w:lineRule="auto"/>
              <w:jc w:val="left"/>
            </w:pPr>
            <w:r>
              <w:rPr>
                <w:sz w:val="20"/>
              </w:rPr>
              <w:t>Equipment</w:t>
            </w:r>
          </w:p>
        </w:tc>
        <w:tc>
          <w:tcPr>
            <w:tcW w:type="dxa" w:w="4802"/>
          </w:tcPr>
          <w:p>
            <w:pPr>
              <w:spacing w:after="20" w:before="20" w:line="240" w:lineRule="auto"/>
              <w:jc w:val="left"/>
            </w:pPr>
            <w:r>
              <w:rPr>
                <w:sz w:val="20"/>
              </w:rPr>
              <w:t>All central facilities (e.g., LAN, EPBX)</w:t>
            </w:r>
          </w:p>
        </w:tc>
      </w:tr>
      <w:tr>
        <w:trPr>
          <w:cantSplit w:val="true"/>
        </w:trPr>
        <w:tc>
          <w:tcPr>
            <w:tcW w:type="dxa" w:w="4609"/>
            <w:shd w:val="clear" w:color="auto" w:fill="E8EEF5"/>
          </w:tcPr>
          <w:p>
            <w:pPr>
              <w:spacing w:after="20" w:before="20" w:line="240" w:lineRule="auto"/>
              <w:jc w:val="left"/>
            </w:pPr>
            <w:r>
              <w:rPr>
                <w:sz w:val="20"/>
              </w:rPr>
              <w:t>Library books</w:t>
            </w:r>
          </w:p>
        </w:tc>
        <w:tc>
          <w:tcPr>
            <w:tcW w:type="dxa" w:w="4802"/>
            <w:shd w:val="clear" w:color="auto" w:fill="E8EEF5"/>
          </w:tcPr>
          <w:p>
            <w:pPr>
              <w:spacing w:after="20" w:before="20" w:line="240" w:lineRule="auto"/>
              <w:jc w:val="left"/>
            </w:pPr>
            <w:r>
              <w:rPr>
                <w:sz w:val="20"/>
              </w:rPr>
              <w:t>Seminar halls</w:t>
            </w:r>
          </w:p>
        </w:tc>
      </w:tr>
      <w:tr>
        <w:trPr>
          <w:cantSplit w:val="true"/>
        </w:trPr>
        <w:tc>
          <w:tcPr>
            <w:tcW w:type="dxa" w:w="4609"/>
          </w:tcPr>
          <w:p>
            <w:pPr>
              <w:spacing w:after="20" w:before="20" w:line="240" w:lineRule="auto"/>
              <w:jc w:val="left"/>
            </w:pPr>
            <w:r>
              <w:rPr>
                <w:sz w:val="20"/>
              </w:rPr>
              <w:t>Journals</w:t>
            </w:r>
          </w:p>
        </w:tc>
        <w:tc>
          <w:tcPr>
            <w:tcW w:type="dxa" w:w="4802"/>
          </w:tcPr>
          <w:p>
            <w:pPr>
              <w:spacing w:after="20" w:before="20" w:line="240" w:lineRule="auto"/>
              <w:jc w:val="left"/>
            </w:pPr>
            <w:r>
              <w:rPr>
                <w:sz w:val="20"/>
              </w:rPr>
              <w:t>Playgrounds</w:t>
            </w:r>
          </w:p>
        </w:tc>
      </w:tr>
      <w:tr>
        <w:trPr>
          <w:cantSplit w:val="true"/>
        </w:trPr>
        <w:tc>
          <w:tcPr>
            <w:tcW w:type="dxa" w:w="4609"/>
            <w:shd w:val="clear" w:color="auto" w:fill="E8EEF5"/>
          </w:tcPr>
          <w:p>
            <w:pPr>
              <w:spacing w:after="20" w:before="20" w:line="240" w:lineRule="auto"/>
              <w:jc w:val="left"/>
            </w:pPr>
            <w:r>
              <w:rPr>
                <w:sz w:val="20"/>
              </w:rPr>
              <w:t>Furniture (Department)</w:t>
            </w:r>
          </w:p>
        </w:tc>
        <w:tc>
          <w:tcPr>
            <w:tcW w:type="dxa" w:w="4802"/>
            <w:shd w:val="clear" w:color="auto" w:fill="E8EEF5"/>
          </w:tcPr>
          <w:p>
            <w:pPr>
              <w:spacing w:after="20" w:before="20" w:line="240" w:lineRule="auto"/>
              <w:jc w:val="left"/>
            </w:pPr>
            <w:r>
              <w:rPr>
                <w:sz w:val="20"/>
              </w:rPr>
              <w:t>Furniture</w:t>
            </w:r>
          </w:p>
        </w:tc>
      </w:tr>
      <w:tr>
        <w:trPr>
          <w:cantSplit w:val="true"/>
        </w:trPr>
        <w:tc>
          <w:tcPr>
            <w:tcW w:type="dxa" w:w="4609"/>
          </w:tcPr>
          <w:p>
            <w:pPr>
              <w:spacing w:after="20" w:before="20" w:line="240" w:lineRule="auto"/>
              <w:jc w:val="left"/>
            </w:pPr>
            <w:r>
              <w:rPr>
                <w:sz w:val="20"/>
              </w:rPr>
              <w:t>Subscriptions</w:t>
            </w:r>
          </w:p>
        </w:tc>
        <w:tc>
          <w:tcPr>
            <w:tcW w:type="dxa" w:w="4802"/>
          </w:tcPr>
          <w:p>
            <w:pPr>
              <w:spacing w:after="20" w:before="20" w:line="240" w:lineRule="auto"/>
              <w:jc w:val="left"/>
            </w:pPr>
            <w:r>
              <w:rPr>
                <w:sz w:val="20"/>
              </w:rPr>
              <w:t>Vehicles</w:t>
            </w:r>
          </w:p>
        </w:tc>
      </w:tr>
      <w:tr>
        <w:trPr>
          <w:cantSplit w:val="true"/>
        </w:trPr>
        <w:tc>
          <w:tcPr>
            <w:tcW w:type="dxa" w:w="4609"/>
            <w:shd w:val="clear" w:color="auto" w:fill="E8EEF5"/>
          </w:tcPr>
          <w:p>
            <w:pPr>
              <w:spacing w:after="20" w:before="20" w:line="240" w:lineRule="auto"/>
              <w:jc w:val="left"/>
            </w:pPr>
            <w:r>
              <w:rPr>
                <w:sz w:val="20"/>
              </w:rPr>
              <w:t>Increase in intake of existing courses</w:t>
            </w:r>
          </w:p>
        </w:tc>
        <w:tc>
          <w:tcPr>
            <w:tcW w:type="dxa" w:w="4802"/>
            <w:shd w:val="clear" w:color="auto" w:fill="E8EEF5"/>
          </w:tcPr>
          <w:p>
            <w:pPr>
              <w:spacing w:after="20" w:before="20" w:line="240" w:lineRule="auto"/>
              <w:jc w:val="left"/>
            </w:pPr>
            <w:r>
              <w:rPr>
                <w:sz w:val="20"/>
              </w:rPr>
              <w:t>Audio-visual facilities</w:t>
            </w:r>
          </w:p>
        </w:tc>
      </w:tr>
      <w:tr>
        <w:trPr>
          <w:cantSplit w:val="true"/>
        </w:trPr>
        <w:tc>
          <w:tcPr>
            <w:tcW w:type="dxa" w:w="4609"/>
          </w:tcPr>
          <w:p>
            <w:pPr>
              <w:spacing w:after="20" w:before="20" w:line="240" w:lineRule="auto"/>
              <w:jc w:val="left"/>
            </w:pPr>
            <w:r>
              <w:rPr>
                <w:sz w:val="20"/>
              </w:rPr>
              <w:t>Audio-visual facilities</w:t>
            </w:r>
          </w:p>
        </w:tc>
        <w:tc>
          <w:tcPr>
            <w:tcW w:type="dxa" w:w="4802"/>
          </w:tcPr>
          <w:p>
            <w:pPr>
              <w:spacing w:after="20" w:before="20" w:line="240" w:lineRule="auto"/>
              <w:jc w:val="left"/>
            </w:pPr>
            <w:r>
              <w:rPr>
                <w:sz w:val="20"/>
              </w:rPr>
              <w:t>Internet (first time)</w:t>
            </w:r>
          </w:p>
        </w:tc>
      </w:tr>
      <w:tr>
        <w:trPr>
          <w:cantSplit w:val="true"/>
        </w:trPr>
        <w:tc>
          <w:tcPr>
            <w:tcW w:type="dxa" w:w="4609"/>
            <w:shd w:val="clear" w:color="auto" w:fill="E8EEF5"/>
          </w:tcPr>
          <w:p>
            <w:pPr>
              <w:spacing w:after="20" w:before="20" w:line="240" w:lineRule="auto"/>
              <w:jc w:val="left"/>
            </w:pPr>
          </w:p>
        </w:tc>
        <w:tc>
          <w:tcPr>
            <w:tcW w:type="dxa" w:w="4802"/>
            <w:shd w:val="clear" w:color="auto" w:fill="E8EEF5"/>
          </w:tcPr>
          <w:p>
            <w:pPr>
              <w:spacing w:after="20" w:before="20" w:line="240" w:lineRule="auto"/>
              <w:jc w:val="left"/>
            </w:pPr>
            <w:r>
              <w:rPr>
                <w:sz w:val="20"/>
              </w:rPr>
              <w:t>Reprographic facilities</w:t>
            </w:r>
          </w:p>
        </w:tc>
      </w:tr>
      <w:tr>
        <w:trPr>
          <w:cantSplit w:val="true"/>
        </w:trPr>
        <w:tc>
          <w:tcPr>
            <w:tcW w:type="dxa" w:w="4609"/>
          </w:tcPr>
          <w:p>
            <w:pPr>
              <w:spacing w:after="20" w:before="20" w:line="240" w:lineRule="auto"/>
              <w:jc w:val="left"/>
            </w:pPr>
          </w:p>
        </w:tc>
        <w:tc>
          <w:tcPr>
            <w:tcW w:type="dxa" w:w="4802"/>
          </w:tcPr>
          <w:p>
            <w:pPr>
              <w:spacing w:after="20" w:before="20" w:line="240" w:lineRule="auto"/>
              <w:jc w:val="left"/>
            </w:pPr>
            <w:r>
              <w:rPr>
                <w:sz w:val="20"/>
              </w:rPr>
              <w:t>Water coolers and Aqua guards</w:t>
            </w:r>
          </w:p>
        </w:tc>
      </w:tr>
      <w:tr>
        <w:trPr>
          <w:cantSplit w:val="true"/>
        </w:trPr>
        <w:tc>
          <w:tcPr>
            <w:tcW w:type="dxa" w:w="4609"/>
            <w:shd w:val="clear" w:color="auto" w:fill="E8EEF5"/>
          </w:tcPr>
          <w:p>
            <w:pPr>
              <w:spacing w:after="20" w:before="20" w:line="240" w:lineRule="auto"/>
              <w:jc w:val="left"/>
            </w:pPr>
          </w:p>
        </w:tc>
        <w:tc>
          <w:tcPr>
            <w:tcW w:type="dxa" w:w="4802"/>
            <w:shd w:val="clear" w:color="auto" w:fill="E8EEF5"/>
          </w:tcPr>
          <w:p>
            <w:pPr>
              <w:spacing w:after="20" w:before="20" w:line="240" w:lineRule="auto"/>
              <w:jc w:val="left"/>
            </w:pPr>
            <w:r>
              <w:rPr>
                <w:sz w:val="20"/>
              </w:rPr>
              <w:t>Expenditure on new courses</w:t>
            </w:r>
          </w:p>
        </w:tc>
      </w:tr>
    </w:tbl>
    <w:p>
      <w:pPr>
        <w:spacing w:after="80" w:line="240" w:lineRule="auto"/>
      </w:pPr>
    </w:p>
    <w:p>
      <w:pPr>
        <w:pStyle w:val="Heading2"/>
      </w:pPr>
      <w:r>
        <w:rPr/>
        <w:t>Budget Maintenance and Submission:</w:t>
      </w:r>
    </w:p>
    <w:p>
      <w:pPr>
        <w:tabs>
          <w:tab w:pos="425" w:val="left"/>
        </w:tabs>
        <w:spacing w:after="60"/>
        <w:ind w:left="425" w:hanging="425"/>
      </w:pPr>
      <w:r>
        <w:rPr/>
        <w:t>1.</w:t>
        <w:tab/>
      </w:r>
      <w:r>
        <w:rPr>
          <w:b/>
        </w:rPr>
        <w:t>Annual Submission:</w:t>
      </w:r>
      <w:r>
        <w:rPr/>
        <w:t xml:space="preserve"> The department must submit the operational budget</w:t>
      </w:r>
      <w:r>
        <w:rPr>
          <w:b/>
        </w:rPr>
        <w:t>,</w:t>
      </w:r>
      <w:r>
        <w:rPr/>
        <w:t xml:space="preserve"> maintenance budget, and development budget by 15th January each year for the upcoming academic year.</w:t>
      </w:r>
    </w:p>
    <w:p>
      <w:pPr>
        <w:pStyle w:val="Heading3"/>
      </w:pPr>
      <w:r>
        <w:rPr/>
        <w:t>2. Central Stock Ledger:</w:t>
      </w:r>
    </w:p>
    <w:p>
      <w:pPr>
        <w:numPr>
          <w:ilvl w:val="1"/>
          <w:numId w:val="90"/>
        </w:numPr>
        <w:spacing w:after="60"/>
      </w:pPr>
      <w:r>
        <w:rPr/>
        <w:t>The institution maintains a Central Stock Ledger for all equipment in the central store with their respective locations.</w:t>
      </w:r>
    </w:p>
    <w:p>
      <w:pPr>
        <w:numPr>
          <w:ilvl w:val="1"/>
          <w:numId w:val="90"/>
        </w:numPr>
        <w:spacing w:after="60"/>
      </w:pPr>
      <w:r>
        <w:rPr/>
        <w:t>Departments must maintain individual stock ledgers for their equipment, consumables, and furniture.</w:t>
      </w:r>
    </w:p>
    <w:p>
      <w:pPr>
        <w:pStyle w:val="Heading2"/>
      </w:pPr>
      <w:r>
        <w:rPr/>
        <w:t>Financial Statement Filing:</w:t>
      </w:r>
    </w:p>
    <w:p>
      <w:pPr>
        <w:numPr>
          <w:ilvl w:val="0"/>
          <w:numId w:val="90"/>
        </w:numPr>
        <w:spacing w:after="60"/>
      </w:pPr>
      <w:r>
        <w:rPr>
          <w:b/>
        </w:rPr>
        <w:t>Financial Statements:</w:t>
      </w:r>
      <w:r>
        <w:rPr/>
        <w:t xml:space="preserve"> All budgets should be tallied with the financial statements and maintained for the last two years, the current year, and the upcoming year for consistency and future planning.</w:t>
      </w:r>
    </w:p>
    <w:p>
      <w:pPr>
        <w:spacing w:after="0"/>
      </w:pPr>
      <w:r>
        <w:br w:type="page"/>
      </w:r>
    </w:p>
    <w:p>
      <w:pPr>
        <w:pStyle w:val="Heading1"/>
        <w:spacing w:before="0"/>
      </w:pPr>
      <w:r>
        <w:rPr/>
        <w:t>42. Stocks, Stock Ledgers, and Audit Procedures</w:t>
      </w:r>
    </w:p>
    <w:p>
      <w:pPr>
        <w:pStyle w:val="Heading2"/>
      </w:pPr>
      <w:r>
        <w:rPr>
          <w:i/>
        </w:rPr>
        <w:t>Stock Management &amp; Documentation:</w:t>
      </w:r>
    </w:p>
    <w:p>
      <w:pPr>
        <w:pStyle w:val="Heading3"/>
      </w:pPr>
      <w:r>
        <w:rPr/>
        <w:t>1. Consumable Usage:</w:t>
      </w:r>
    </w:p>
    <w:p>
      <w:pPr>
        <w:numPr>
          <w:ilvl w:val="1"/>
          <w:numId w:val="90"/>
        </w:numPr>
        <w:spacing w:after="60"/>
      </w:pPr>
      <w:r>
        <w:rPr/>
        <w:t>All consumables used in the department/unit must be recorded.</w:t>
      </w:r>
    </w:p>
    <w:p>
      <w:pPr>
        <w:numPr>
          <w:ilvl w:val="1"/>
          <w:numId w:val="90"/>
        </w:numPr>
        <w:spacing w:after="60"/>
      </w:pPr>
      <w:r>
        <w:rPr/>
        <w:t>Head of Department (HoD) is responsible for signing off on consumable issues within the department.</w:t>
      </w:r>
    </w:p>
    <w:p>
      <w:pPr>
        <w:pStyle w:val="Heading3"/>
      </w:pPr>
      <w:r>
        <w:rPr/>
        <w:t>2. Interdisciplinary Equipment Transfers:</w:t>
      </w:r>
    </w:p>
    <w:p>
      <w:pPr>
        <w:numPr>
          <w:ilvl w:val="1"/>
          <w:numId w:val="90"/>
        </w:numPr>
        <w:spacing w:after="60"/>
      </w:pPr>
      <w:r>
        <w:rPr/>
        <w:t>Any interdisciplinary transfers of equipment must be authorized by the Administration/Principal</w:t>
      </w:r>
      <w:r>
        <w:rPr>
          <w:b/>
        </w:rPr>
        <w:t>.</w:t>
      </w:r>
    </w:p>
    <w:p>
      <w:pPr>
        <w:pStyle w:val="Heading3"/>
      </w:pPr>
      <w:r>
        <w:rPr/>
        <w:t>3. Stock Ledger Updates:</w:t>
      </w:r>
    </w:p>
    <w:p>
      <w:pPr>
        <w:numPr>
          <w:ilvl w:val="1"/>
          <w:numId w:val="90"/>
        </w:numPr>
        <w:spacing w:after="60"/>
      </w:pPr>
      <w:r>
        <w:rPr/>
        <w:t>All consumable stock ledgers must be updated at the end of each semester to reflect the balance stock.</w:t>
      </w:r>
    </w:p>
    <w:p>
      <w:pPr>
        <w:pStyle w:val="Heading3"/>
      </w:pPr>
      <w:r>
        <w:rPr/>
        <w:t>4. Equipment Retention:</w:t>
      </w:r>
    </w:p>
    <w:p>
      <w:pPr>
        <w:numPr>
          <w:ilvl w:val="1"/>
          <w:numId w:val="90"/>
        </w:numPr>
        <w:spacing w:after="60"/>
      </w:pPr>
      <w:r>
        <w:rPr/>
        <w:t>Equipment, whether functional or non-functional, must be physically kept in the department until it is disposed of with proper administrative approval</w:t>
      </w:r>
      <w:r>
        <w:rPr>
          <w:b/>
        </w:rPr>
        <w:t>.</w:t>
      </w:r>
    </w:p>
    <w:p>
      <w:pPr>
        <w:pStyle w:val="Heading3"/>
      </w:pPr>
      <w:r>
        <w:rPr/>
        <w:t>5. Annual Stock Verification:</w:t>
      </w:r>
    </w:p>
    <w:p>
      <w:pPr>
        <w:numPr>
          <w:ilvl w:val="1"/>
          <w:numId w:val="90"/>
        </w:numPr>
        <w:spacing w:after="60"/>
      </w:pPr>
      <w:r>
        <w:rPr/>
        <w:t>Departments must verify stocks once a year according to the stock ledgers.</w:t>
      </w:r>
    </w:p>
    <w:p>
      <w:pPr>
        <w:numPr>
          <w:ilvl w:val="1"/>
          <w:numId w:val="90"/>
        </w:numPr>
        <w:spacing w:after="60"/>
      </w:pPr>
      <w:r>
        <w:rPr/>
        <w:t>Any discrepancies (excessive or missing items) must be reported to the administration through the HoD.</w:t>
      </w:r>
    </w:p>
    <w:p>
      <w:pPr>
        <w:numPr>
          <w:ilvl w:val="1"/>
          <w:numId w:val="90"/>
        </w:numPr>
        <w:spacing w:after="60"/>
      </w:pPr>
      <w:r>
        <w:rPr/>
        <w:t>Faculty in charge of laboratories must ensure stock verification before going on vacation.</w:t>
      </w:r>
    </w:p>
    <w:p>
      <w:pPr>
        <w:numPr>
          <w:ilvl w:val="1"/>
          <w:numId w:val="90"/>
        </w:numPr>
        <w:spacing w:after="60"/>
      </w:pPr>
      <w:r>
        <w:rPr/>
        <w:t>Similarly, the office in charge is responsible for verifying the stock in the office and departmental facilities.</w:t>
      </w:r>
    </w:p>
    <w:p>
      <w:pPr>
        <w:pStyle w:val="Heading3"/>
      </w:pPr>
      <w:r>
        <w:rPr/>
        <w:t>6. Furniture Stock Ledgers:</w:t>
      </w:r>
    </w:p>
    <w:p>
      <w:pPr>
        <w:numPr>
          <w:ilvl w:val="1"/>
          <w:numId w:val="90"/>
        </w:numPr>
        <w:spacing w:after="60"/>
      </w:pPr>
      <w:r>
        <w:rPr/>
        <w:t>HoDs must maintain furniture stock ledgers for all furniture in laboratories, faculty/staff rooms, classrooms, seminar halls, and other rooms under the department’s jurisdiction.</w:t>
      </w:r>
    </w:p>
    <w:p>
      <w:pPr>
        <w:numPr>
          <w:ilvl w:val="1"/>
          <w:numId w:val="90"/>
        </w:numPr>
        <w:spacing w:after="60"/>
      </w:pPr>
      <w:r>
        <w:rPr/>
        <w:t>The maintenance and upkeep of furniture ledgers, including issues and receipts, should follow the same rules and procedures as equipment stock ledgers.</w:t>
      </w:r>
    </w:p>
    <w:p>
      <w:pPr>
        <w:numPr>
          <w:ilvl w:val="1"/>
          <w:numId w:val="90"/>
        </w:numPr>
        <w:spacing w:after="60"/>
      </w:pPr>
      <w:r>
        <w:rPr/>
        <w:t>Annual furniture audits should be conducted.</w:t>
      </w:r>
    </w:p>
    <w:p>
      <w:pPr>
        <w:pStyle w:val="Heading3"/>
      </w:pPr>
      <w:r>
        <w:rPr/>
        <w:t>7. Furnishings and Fixtures Stock:</w:t>
      </w:r>
    </w:p>
    <w:p>
      <w:pPr>
        <w:numPr>
          <w:ilvl w:val="1"/>
          <w:numId w:val="90"/>
        </w:numPr>
        <w:spacing w:after="60"/>
      </w:pPr>
      <w:r>
        <w:rPr/>
        <w:t>Stock ledgers for furnishings and fixtures like blackboards, fans, lights, etc., should be maintained according to the college's guidelines.</w:t>
      </w:r>
    </w:p>
    <w:p>
      <w:pPr>
        <w:numPr>
          <w:ilvl w:val="1"/>
          <w:numId w:val="90"/>
        </w:numPr>
        <w:spacing w:after="60"/>
      </w:pPr>
      <w:r>
        <w:rPr/>
        <w:t>Water coolers and reading room facilities should be included in the departmental stock ledgers.</w:t>
      </w:r>
    </w:p>
    <w:p>
      <w:pPr>
        <w:pStyle w:val="Heading3"/>
      </w:pPr>
      <w:r>
        <w:rPr/>
        <w:t>8. Loss of Equipment or Consumables:</w:t>
      </w:r>
    </w:p>
    <w:p>
      <w:pPr>
        <w:numPr>
          <w:ilvl w:val="1"/>
          <w:numId w:val="90"/>
        </w:numPr>
        <w:spacing w:after="60"/>
      </w:pPr>
      <w:r>
        <w:rPr/>
        <w:t>In case of loss of equipment</w:t>
      </w:r>
      <w:r>
        <w:rPr>
          <w:b/>
        </w:rPr>
        <w:t>,</w:t>
      </w:r>
      <w:r>
        <w:rPr/>
        <w:t xml:space="preserve"> spares, or consumables from the department, the stockholders may be required to recover the lost items at the current market price.</w:t>
      </w:r>
    </w:p>
    <w:p>
      <w:pPr>
        <w:pStyle w:val="Heading3"/>
      </w:pPr>
      <w:r>
        <w:rPr/>
        <w:t>9. Cannibalization of Equipment:</w:t>
      </w:r>
    </w:p>
    <w:p>
      <w:pPr>
        <w:numPr>
          <w:ilvl w:val="1"/>
          <w:numId w:val="90"/>
        </w:numPr>
        <w:spacing w:after="60"/>
      </w:pPr>
      <w:r>
        <w:rPr/>
        <w:t>The central store does not have the authority to cannibalize any of its equipment for spare removal without proper authorization.</w:t>
      </w:r>
    </w:p>
    <w:p>
      <w:pPr>
        <w:pStyle w:val="Heading3"/>
      </w:pPr>
      <w:r>
        <w:rPr/>
        <w:t>10. Stock Verification Reports:</w:t>
      </w:r>
    </w:p>
    <w:p>
      <w:pPr>
        <w:numPr>
          <w:ilvl w:val="1"/>
          <w:numId w:val="90"/>
        </w:numPr>
        <w:spacing w:after="60"/>
      </w:pPr>
      <w:r>
        <w:rPr/>
        <w:t>Summary reports on stock verification must be submitted to the Chairman every semester.</w:t>
      </w:r>
    </w:p>
    <w:p>
      <w:pPr>
        <w:pStyle w:val="Heading2"/>
      </w:pPr>
      <w:r>
        <w:rPr/>
        <w:t>Key Points for Compliance:</w:t>
      </w:r>
    </w:p>
    <w:p>
      <w:pPr>
        <w:numPr>
          <w:ilvl w:val="0"/>
          <w:numId w:val="90"/>
        </w:numPr>
        <w:spacing w:after="60"/>
      </w:pPr>
      <w:r>
        <w:rPr>
          <w:b/>
        </w:rPr>
        <w:t>HoD's Role:</w:t>
      </w:r>
      <w:r>
        <w:rPr/>
        <w:t xml:space="preserve"> Responsible for signing consumable issues, ensuring stock verification, and maintaining furniture and equipment stock ledgers.</w:t>
      </w:r>
    </w:p>
    <w:p>
      <w:pPr>
        <w:numPr>
          <w:ilvl w:val="0"/>
          <w:numId w:val="90"/>
        </w:numPr>
        <w:spacing w:after="60"/>
      </w:pPr>
      <w:r>
        <w:rPr>
          <w:b/>
        </w:rPr>
        <w:t>Annual Verification:</w:t>
      </w:r>
      <w:r>
        <w:rPr/>
        <w:t xml:space="preserve"> Departments must verify and reconcile stock ledgers annually, with discrepancies reported to administration.</w:t>
      </w:r>
    </w:p>
    <w:p>
      <w:pPr>
        <w:numPr>
          <w:ilvl w:val="0"/>
          <w:numId w:val="90"/>
        </w:numPr>
        <w:spacing w:after="60"/>
      </w:pPr>
      <w:r>
        <w:rPr>
          <w:b/>
        </w:rPr>
        <w:t>Furniture and Fixtures:</w:t>
      </w:r>
      <w:r>
        <w:rPr/>
        <w:t xml:space="preserve"> Must be tracked and audited just like other equipment.</w:t>
      </w:r>
    </w:p>
    <w:p>
      <w:pPr>
        <w:numPr>
          <w:ilvl w:val="0"/>
          <w:numId w:val="90"/>
        </w:numPr>
        <w:spacing w:after="60"/>
      </w:pPr>
      <w:r>
        <w:rPr>
          <w:b/>
        </w:rPr>
        <w:t>Loss Recovery:</w:t>
      </w:r>
      <w:r>
        <w:rPr/>
        <w:t xml:space="preserve"> Any loss of department assets is recoverable at current prices.</w:t>
      </w:r>
    </w:p>
    <w:p>
      <w:pPr>
        <w:numPr>
          <w:ilvl w:val="0"/>
          <w:numId w:val="90"/>
        </w:numPr>
        <w:spacing w:after="60"/>
      </w:pPr>
      <w:r>
        <w:rPr>
          <w:b/>
        </w:rPr>
        <w:t>Stock Reports:</w:t>
      </w:r>
      <w:r>
        <w:rPr/>
        <w:t xml:space="preserve"> All departments must submit stock verification reports regularly.</w:t>
      </w:r>
    </w:p>
    <w:p>
      <w:pPr>
        <w:spacing w:after="0"/>
      </w:pPr>
      <w:r>
        <w:br w:type="page"/>
      </w:r>
    </w:p>
    <w:p>
      <w:pPr>
        <w:pStyle w:val="Heading1"/>
        <w:spacing w:before="0"/>
      </w:pPr>
      <w:r>
        <w:rPr/>
        <w:t>43. Departmental Guests and Expenditure Management</w:t>
      </w:r>
    </w:p>
    <w:p>
      <w:pPr>
        <w:pStyle w:val="Heading2"/>
      </w:pPr>
      <w:r>
        <w:rPr>
          <w:i/>
        </w:rPr>
        <w:t>Budget Allocation and Usage:</w:t>
      </w:r>
    </w:p>
    <w:p>
      <w:pPr>
        <w:numPr>
          <w:ilvl w:val="0"/>
          <w:numId w:val="90"/>
        </w:numPr>
        <w:spacing w:after="60"/>
      </w:pPr>
      <w:r>
        <w:rPr/>
        <w:t>Departments are allocated a specific budget for inviting guests for activities such as:</w:t>
      </w:r>
    </w:p>
    <w:p>
      <w:pPr>
        <w:numPr>
          <w:ilvl w:val="1"/>
          <w:numId w:val="90"/>
        </w:numPr>
        <w:spacing w:after="60"/>
      </w:pPr>
      <w:r>
        <w:rPr/>
        <w:t>Invited lectures</w:t>
      </w:r>
    </w:p>
    <w:p>
      <w:pPr>
        <w:numPr>
          <w:ilvl w:val="1"/>
          <w:numId w:val="90"/>
        </w:numPr>
        <w:spacing w:after="60"/>
      </w:pPr>
      <w:r>
        <w:rPr/>
        <w:t>Consultation sessions</w:t>
      </w:r>
    </w:p>
    <w:p>
      <w:pPr>
        <w:numPr>
          <w:ilvl w:val="1"/>
          <w:numId w:val="90"/>
        </w:numPr>
        <w:spacing w:after="60"/>
      </w:pPr>
      <w:r>
        <w:rPr/>
        <w:t>Departmental development committee meetings</w:t>
      </w:r>
    </w:p>
    <w:p>
      <w:pPr>
        <w:numPr>
          <w:ilvl w:val="1"/>
          <w:numId w:val="90"/>
        </w:numPr>
        <w:spacing w:after="60"/>
      </w:pPr>
      <w:r>
        <w:rPr/>
        <w:t>Any other approved departmental activities.</w:t>
      </w:r>
    </w:p>
    <w:p>
      <w:pPr>
        <w:numPr>
          <w:ilvl w:val="0"/>
          <w:numId w:val="90"/>
        </w:numPr>
        <w:spacing w:after="60"/>
      </w:pPr>
      <w:r>
        <w:rPr/>
        <w:t>Expenditures for departmental guests must be covered by the provided budget and should align with the following:</w:t>
      </w:r>
    </w:p>
    <w:p>
      <w:pPr>
        <w:numPr>
          <w:ilvl w:val="1"/>
          <w:numId w:val="90"/>
        </w:numPr>
        <w:spacing w:after="60"/>
      </w:pPr>
      <w:r>
        <w:rPr/>
        <w:t>Travel expenses</w:t>
      </w:r>
    </w:p>
    <w:p>
      <w:pPr>
        <w:numPr>
          <w:ilvl w:val="1"/>
          <w:numId w:val="90"/>
        </w:numPr>
        <w:spacing w:after="60"/>
      </w:pPr>
      <w:r>
        <w:rPr/>
        <w:t>Stay (accommodation) expenses</w:t>
      </w:r>
    </w:p>
    <w:p>
      <w:pPr>
        <w:numPr>
          <w:ilvl w:val="1"/>
          <w:numId w:val="90"/>
        </w:numPr>
        <w:spacing w:after="60"/>
      </w:pPr>
      <w:r>
        <w:rPr/>
        <w:t>Honorarium as per the college’s rules.</w:t>
      </w:r>
    </w:p>
    <w:p>
      <w:pPr>
        <w:pStyle w:val="Heading2"/>
      </w:pPr>
      <w:r>
        <w:rPr>
          <w:i/>
        </w:rPr>
        <w:t>Use of College Facilities:</w:t>
      </w:r>
    </w:p>
    <w:p>
      <w:pPr>
        <w:numPr>
          <w:ilvl w:val="0"/>
          <w:numId w:val="90"/>
        </w:numPr>
        <w:spacing w:after="60"/>
      </w:pPr>
      <w:r>
        <w:rPr/>
        <w:t>College Guest Houses and conveyance services should be utilized for guests, whenever available.</w:t>
      </w:r>
    </w:p>
    <w:p>
      <w:pPr>
        <w:numPr>
          <w:ilvl w:val="0"/>
          <w:numId w:val="90"/>
        </w:numPr>
        <w:spacing w:after="60"/>
      </w:pPr>
      <w:r>
        <w:rPr/>
        <w:t>If these internal facilities are unavailable, external services for accommodation or travel may be used, but must comply with college norms and approval processes.</w:t>
      </w:r>
    </w:p>
    <w:p>
      <w:pPr>
        <w:pStyle w:val="Heading2"/>
      </w:pPr>
      <w:r>
        <w:rPr/>
        <w:t>Key Points for Compliance:</w:t>
      </w:r>
    </w:p>
    <w:p>
      <w:pPr>
        <w:numPr>
          <w:ilvl w:val="0"/>
          <w:numId w:val="90"/>
        </w:numPr>
        <w:spacing w:after="60"/>
      </w:pPr>
      <w:r>
        <w:rPr/>
        <w:t>Ensure proper documentation of all guest-related expenses and adherence to the allocated departmental budget.</w:t>
      </w:r>
    </w:p>
    <w:p>
      <w:pPr>
        <w:numPr>
          <w:ilvl w:val="0"/>
          <w:numId w:val="90"/>
        </w:numPr>
        <w:spacing w:after="60"/>
      </w:pPr>
      <w:r>
        <w:rPr/>
        <w:t>College facilities should be prioritized for guest accommodation and travel.</w:t>
      </w:r>
    </w:p>
    <w:p>
      <w:pPr>
        <w:numPr>
          <w:ilvl w:val="0"/>
          <w:numId w:val="90"/>
        </w:numPr>
        <w:spacing w:after="60"/>
      </w:pPr>
      <w:r>
        <w:rPr/>
        <w:t>When external services are used, they must meet the standards set by the college's policies and be properly authorized.</w:t>
      </w:r>
    </w:p>
    <w:p>
      <w:pPr>
        <w:spacing w:after="0"/>
      </w:pPr>
      <w:r>
        <w:br w:type="page"/>
      </w:r>
    </w:p>
    <w:p>
      <w:pPr>
        <w:pStyle w:val="Heading1"/>
        <w:spacing w:before="0"/>
      </w:pPr>
      <w:r>
        <w:rPr/>
        <w:t>44. Industrial Tours and Visits Guidelines</w:t>
      </w:r>
    </w:p>
    <w:p>
      <w:pPr>
        <w:pStyle w:val="Heading2"/>
      </w:pPr>
      <w:r>
        <w:rPr>
          <w:i/>
        </w:rPr>
        <w:t>Student Participation and Costs:</w:t>
      </w:r>
    </w:p>
    <w:p>
      <w:pPr>
        <w:numPr>
          <w:ilvl w:val="0"/>
          <w:numId w:val="90"/>
        </w:numPr>
        <w:spacing w:after="60"/>
      </w:pPr>
      <w:r>
        <w:rPr/>
        <w:t>Students must bear their own expenses related to:</w:t>
      </w:r>
    </w:p>
    <w:p>
      <w:pPr>
        <w:numPr>
          <w:ilvl w:val="1"/>
          <w:numId w:val="90"/>
        </w:numPr>
        <w:spacing w:after="60"/>
      </w:pPr>
      <w:r>
        <w:rPr/>
        <w:t>Travel</w:t>
      </w:r>
    </w:p>
    <w:p>
      <w:pPr>
        <w:numPr>
          <w:ilvl w:val="1"/>
          <w:numId w:val="90"/>
        </w:numPr>
        <w:spacing w:after="60"/>
      </w:pPr>
      <w:r>
        <w:rPr/>
        <w:t>Stay</w:t>
      </w:r>
    </w:p>
    <w:p>
      <w:pPr>
        <w:numPr>
          <w:ilvl w:val="1"/>
          <w:numId w:val="90"/>
        </w:numPr>
        <w:spacing w:after="60"/>
      </w:pPr>
      <w:r>
        <w:rPr/>
        <w:t>Boarding and lodging during all industrial tours</w:t>
      </w:r>
      <w:r>
        <w:rPr>
          <w:b/>
        </w:rPr>
        <w:t>.</w:t>
      </w:r>
    </w:p>
    <w:p>
      <w:pPr>
        <w:pStyle w:val="Heading2"/>
      </w:pPr>
      <w:r>
        <w:rPr>
          <w:i/>
        </w:rPr>
        <w:t>Faculty Participation and Reimbursements:</w:t>
      </w:r>
    </w:p>
    <w:p>
      <w:pPr>
        <w:numPr>
          <w:ilvl w:val="0"/>
          <w:numId w:val="90"/>
        </w:numPr>
        <w:spacing w:after="60"/>
      </w:pPr>
      <w:r>
        <w:rPr/>
        <w:t>Faculty members accompanying students:</w:t>
      </w:r>
    </w:p>
    <w:p>
      <w:pPr>
        <w:numPr>
          <w:ilvl w:val="1"/>
          <w:numId w:val="90"/>
        </w:numPr>
        <w:spacing w:after="60"/>
      </w:pPr>
      <w:r>
        <w:rPr/>
        <w:t>Will be reimbursed for their TA (Travel Allowance) and DA (Daily Allowance)</w:t>
      </w:r>
      <w:r>
        <w:rPr>
          <w:b/>
        </w:rPr>
        <w:t>.</w:t>
      </w:r>
    </w:p>
    <w:p>
      <w:pPr>
        <w:numPr>
          <w:ilvl w:val="1"/>
          <w:numId w:val="90"/>
        </w:numPr>
        <w:spacing w:after="60"/>
      </w:pPr>
      <w:r>
        <w:rPr/>
        <w:t>Will be considered on duty during the tour period.</w:t>
      </w:r>
    </w:p>
    <w:p>
      <w:pPr>
        <w:numPr>
          <w:ilvl w:val="0"/>
          <w:numId w:val="90"/>
        </w:numPr>
        <w:spacing w:after="60"/>
      </w:pPr>
      <w:r>
        <w:rPr/>
        <w:t>Industrial visits that are one-day trips:</w:t>
      </w:r>
    </w:p>
    <w:p>
      <w:pPr>
        <w:numPr>
          <w:ilvl w:val="1"/>
          <w:numId w:val="90"/>
        </w:numPr>
        <w:spacing w:after="60"/>
      </w:pPr>
      <w:r>
        <w:rPr/>
        <w:t>College bus facility will normally be provided.</w:t>
      </w:r>
    </w:p>
    <w:p>
      <w:pPr>
        <w:numPr>
          <w:ilvl w:val="1"/>
          <w:numId w:val="90"/>
        </w:numPr>
        <w:spacing w:after="60"/>
      </w:pPr>
      <w:r>
        <w:rPr/>
        <w:t>No TA/DA will be paid to faculty for one-day industrial visits.</w:t>
      </w:r>
    </w:p>
    <w:p>
      <w:pPr>
        <w:pStyle w:val="Heading2"/>
      </w:pPr>
      <w:r>
        <w:rPr>
          <w:i/>
        </w:rPr>
        <w:t>Approvals and Budgeting:</w:t>
      </w:r>
    </w:p>
    <w:p>
      <w:pPr>
        <w:numPr>
          <w:ilvl w:val="0"/>
          <w:numId w:val="90"/>
        </w:numPr>
        <w:spacing w:after="60"/>
      </w:pPr>
      <w:r>
        <w:rPr/>
        <w:t>Prior permission is mandatory for all industrial tours and visits.</w:t>
      </w:r>
    </w:p>
    <w:p>
      <w:pPr>
        <w:numPr>
          <w:ilvl w:val="0"/>
          <w:numId w:val="90"/>
        </w:numPr>
        <w:spacing w:after="60"/>
      </w:pPr>
      <w:r>
        <w:rPr/>
        <w:t>Departmental budgets have specific provisions for industrial tours and visits.</w:t>
      </w:r>
    </w:p>
    <w:p>
      <w:pPr>
        <w:numPr>
          <w:ilvl w:val="0"/>
          <w:numId w:val="90"/>
        </w:numPr>
        <w:spacing w:after="60"/>
      </w:pPr>
      <w:r>
        <w:rPr/>
        <w:t>All activities must be conducted within the sanctioned budget limits.</w:t>
      </w:r>
    </w:p>
    <w:p>
      <w:pPr>
        <w:pStyle w:val="Heading2"/>
      </w:pPr>
      <w:r>
        <w:rPr>
          <w:i/>
        </w:rPr>
        <w:t>General Conduct:</w:t>
      </w:r>
    </w:p>
    <w:p>
      <w:pPr>
        <w:numPr>
          <w:ilvl w:val="0"/>
          <w:numId w:val="90"/>
        </w:numPr>
        <w:spacing w:after="60"/>
      </w:pPr>
      <w:r>
        <w:rPr/>
        <w:t>During tours and visits:</w:t>
      </w:r>
    </w:p>
    <w:p>
      <w:pPr>
        <w:numPr>
          <w:ilvl w:val="1"/>
          <w:numId w:val="90"/>
        </w:numPr>
        <w:spacing w:after="60"/>
      </w:pPr>
      <w:r>
        <w:rPr/>
        <w:t>Faculty and students are considered on duty/academic work.</w:t>
      </w:r>
    </w:p>
    <w:p>
      <w:pPr>
        <w:numPr>
          <w:ilvl w:val="1"/>
          <w:numId w:val="90"/>
        </w:numPr>
        <w:spacing w:after="60"/>
      </w:pPr>
      <w:r>
        <w:rPr/>
        <w:t>All participants must:</w:t>
      </w:r>
    </w:p>
    <w:p>
      <w:pPr>
        <w:numPr>
          <w:ilvl w:val="2"/>
          <w:numId w:val="90"/>
        </w:numPr>
        <w:spacing w:after="60"/>
      </w:pPr>
      <w:r>
        <w:rPr/>
        <w:t>Follow college rules and regulations.</w:t>
      </w:r>
    </w:p>
    <w:p>
      <w:pPr>
        <w:numPr>
          <w:ilvl w:val="2"/>
          <w:numId w:val="90"/>
        </w:numPr>
        <w:spacing w:after="60"/>
      </w:pPr>
      <w:r>
        <w:rPr/>
        <w:t>Adhere to the college dress code</w:t>
      </w:r>
      <w:r>
        <w:rPr>
          <w:b/>
        </w:rPr>
        <w:t>.</w:t>
      </w:r>
    </w:p>
    <w:p>
      <w:pPr>
        <w:numPr>
          <w:ilvl w:val="2"/>
          <w:numId w:val="90"/>
        </w:numPr>
        <w:spacing w:after="60"/>
      </w:pPr>
      <w:r>
        <w:rPr/>
        <w:t>Maintain excellent professional behavior throughout.</w:t>
      </w:r>
    </w:p>
    <w:p>
      <w:pPr>
        <w:spacing w:after="0"/>
      </w:pPr>
      <w:r>
        <w:br w:type="page"/>
      </w:r>
    </w:p>
    <w:p>
      <w:pPr>
        <w:pStyle w:val="Heading1"/>
        <w:spacing w:before="0"/>
      </w:pPr>
      <w:r>
        <w:rPr/>
        <w:t>45. Loans, Advance and Deposits Policy</w:t>
      </w:r>
    </w:p>
    <w:p>
      <w:pPr>
        <w:pStyle w:val="Heading2"/>
      </w:pPr>
      <w:r>
        <w:rPr/>
        <w:t>Purpose of the Policy</w:t>
      </w:r>
    </w:p>
    <w:p>
      <w:r>
        <w:rPr/>
        <w:t>The objective of this policy is to communicate clearly the entitlements available to employees under Loans, Deposits, and Advances and to establish transparent guidelines for availing these financial benefits. The policy ensures consistency, fairness, and compliance with statutory and institutional regulations while safeguarding the financial health of the University/HEI.</w:t>
      </w:r>
    </w:p>
    <w:p>
      <w:pPr>
        <w:pStyle w:val="Heading2"/>
      </w:pPr>
      <w:r>
        <w:rPr/>
        <w:t>Guidelines for Availing Entitlements</w:t>
      </w:r>
    </w:p>
    <w:p>
      <w:pPr>
        <w:numPr>
          <w:ilvl w:val="0"/>
          <w:numId w:val="90"/>
        </w:numPr>
        <w:spacing w:after="60"/>
      </w:pPr>
      <w:r>
        <w:rPr/>
        <w:t>1. Eligibility</w:t>
      </w:r>
    </w:p>
    <w:p>
      <w:pPr>
        <w:numPr>
          <w:ilvl w:val="1"/>
          <w:numId w:val="90"/>
        </w:numPr>
        <w:spacing w:after="60"/>
      </w:pPr>
      <w:r>
        <w:rPr/>
        <w:t>Permanent teaching and non-teaching employees may apply for loans, deposits, or advances as per institutional rules.</w:t>
      </w:r>
    </w:p>
    <w:p>
      <w:pPr>
        <w:numPr>
          <w:ilvl w:val="1"/>
          <w:numId w:val="90"/>
        </w:numPr>
        <w:spacing w:after="60"/>
      </w:pPr>
      <w:r>
        <w:rPr/>
        <w:t>Probationary or contractual employees may be considered only under specific categories (e.g., travel advance, festival advance) with prior approval.</w:t>
      </w:r>
    </w:p>
    <w:p>
      <w:pPr>
        <w:numPr>
          <w:ilvl w:val="0"/>
          <w:numId w:val="90"/>
        </w:numPr>
        <w:spacing w:after="60"/>
      </w:pPr>
      <w:r>
        <w:rPr/>
        <w:t>2. Loan Entitlements</w:t>
      </w:r>
    </w:p>
    <w:p>
      <w:pPr>
        <w:numPr>
          <w:ilvl w:val="1"/>
          <w:numId w:val="90"/>
        </w:numPr>
        <w:spacing w:after="60"/>
      </w:pPr>
      <w:r>
        <w:rPr/>
        <w:t>Purpose-based loans may include housing loans, vehicle loans, computer/laptop loans, or personal loans as defined by the institution.</w:t>
      </w:r>
    </w:p>
    <w:p>
      <w:pPr>
        <w:numPr>
          <w:ilvl w:val="1"/>
          <w:numId w:val="90"/>
        </w:numPr>
        <w:spacing w:after="60"/>
      </w:pPr>
      <w:r>
        <w:rPr/>
        <w:t>Loan amounts, interest rates, and repayment terms will be determined by management in line with institutional policies and financial capability.</w:t>
      </w:r>
    </w:p>
    <w:p>
      <w:pPr>
        <w:numPr>
          <w:ilvl w:val="1"/>
          <w:numId w:val="90"/>
        </w:numPr>
        <w:spacing w:after="60"/>
      </w:pPr>
      <w:r>
        <w:rPr/>
        <w:t>Repayment will be through monthly deductions from salary until full settlement.</w:t>
      </w:r>
    </w:p>
    <w:p>
      <w:pPr>
        <w:numPr>
          <w:ilvl w:val="0"/>
          <w:numId w:val="90"/>
        </w:numPr>
        <w:spacing w:after="60"/>
      </w:pPr>
      <w:r>
        <w:rPr/>
        <w:t>3. Deposits</w:t>
      </w:r>
    </w:p>
    <w:p>
      <w:pPr>
        <w:numPr>
          <w:ilvl w:val="1"/>
          <w:numId w:val="90"/>
        </w:numPr>
        <w:spacing w:after="60"/>
      </w:pPr>
      <w:r>
        <w:rPr/>
        <w:t>Employees may contribute to institutional deposit schemes, if available, for long-term savings and benefits.</w:t>
      </w:r>
    </w:p>
    <w:p>
      <w:pPr>
        <w:numPr>
          <w:ilvl w:val="1"/>
          <w:numId w:val="90"/>
        </w:numPr>
        <w:spacing w:after="60"/>
      </w:pPr>
      <w:r>
        <w:rPr/>
        <w:t>Deposits may accrue interest as per rates declared by the University.</w:t>
      </w:r>
    </w:p>
    <w:p>
      <w:pPr>
        <w:numPr>
          <w:ilvl w:val="1"/>
          <w:numId w:val="90"/>
        </w:numPr>
        <w:spacing w:after="60"/>
      </w:pPr>
      <w:r>
        <w:rPr/>
        <w:t>Withdrawal of deposits will be governed by the institution’s deposit rules.</w:t>
      </w:r>
    </w:p>
    <w:p>
      <w:pPr>
        <w:numPr>
          <w:ilvl w:val="0"/>
          <w:numId w:val="90"/>
        </w:numPr>
        <w:spacing w:after="60"/>
      </w:pPr>
      <w:r>
        <w:rPr/>
        <w:t>4. Advances</w:t>
      </w:r>
    </w:p>
    <w:p>
      <w:pPr>
        <w:numPr>
          <w:ilvl w:val="1"/>
          <w:numId w:val="90"/>
        </w:numPr>
        <w:spacing w:after="60"/>
      </w:pPr>
      <w:r>
        <w:rPr>
          <w:b/>
        </w:rPr>
        <w:t>Travel Advances:</w:t>
      </w:r>
      <w:r>
        <w:rPr/>
        <w:t xml:space="preserve"> For official travel, issued upon prior approval with mandatory settlement of accounts within the stipulated time.</w:t>
      </w:r>
    </w:p>
    <w:p>
      <w:pPr>
        <w:numPr>
          <w:ilvl w:val="1"/>
          <w:numId w:val="90"/>
        </w:numPr>
        <w:spacing w:after="60"/>
      </w:pPr>
      <w:r>
        <w:rPr>
          <w:b/>
        </w:rPr>
        <w:t>Festival Advances:</w:t>
      </w:r>
      <w:r>
        <w:rPr/>
        <w:t xml:space="preserve"> May be extended for approved festivals/events, with repayment through subsequent salary deductions.</w:t>
      </w:r>
    </w:p>
    <w:p>
      <w:pPr>
        <w:numPr>
          <w:ilvl w:val="1"/>
          <w:numId w:val="90"/>
        </w:numPr>
        <w:spacing w:after="60"/>
      </w:pPr>
      <w:r>
        <w:rPr>
          <w:b/>
        </w:rPr>
        <w:t>Salary Advances:</w:t>
      </w:r>
      <w:r>
        <w:rPr/>
        <w:t xml:space="preserve"> Allowed only for non-teaching staff, as prescribed by the Loans, Deposits &amp; Advances Policy, subject to approval.</w:t>
      </w:r>
    </w:p>
    <w:p>
      <w:pPr>
        <w:numPr>
          <w:ilvl w:val="1"/>
          <w:numId w:val="90"/>
        </w:numPr>
        <w:spacing w:after="60"/>
      </w:pPr>
      <w:r>
        <w:rPr/>
        <w:t>All advances must be accounted for and settled before any new advance is issued.</w:t>
      </w:r>
    </w:p>
    <w:p>
      <w:pPr>
        <w:numPr>
          <w:ilvl w:val="0"/>
          <w:numId w:val="90"/>
        </w:numPr>
        <w:spacing w:after="60"/>
      </w:pPr>
      <w:r>
        <w:rPr/>
        <w:t>5. Application and Approval Process</w:t>
      </w:r>
    </w:p>
    <w:p>
      <w:pPr>
        <w:numPr>
          <w:ilvl w:val="1"/>
          <w:numId w:val="90"/>
        </w:numPr>
        <w:spacing w:after="60"/>
      </w:pPr>
      <w:r>
        <w:rPr/>
        <w:t>Employees must submit a formal application with required details (purpose, amount, repayment plan).</w:t>
      </w:r>
    </w:p>
    <w:p>
      <w:pPr>
        <w:numPr>
          <w:ilvl w:val="1"/>
          <w:numId w:val="90"/>
        </w:numPr>
        <w:spacing w:after="60"/>
      </w:pPr>
      <w:r>
        <w:rPr/>
        <w:t>Applications must be verified by the HR Department and forwarded to the Finance Department for assessment.</w:t>
      </w:r>
    </w:p>
    <w:p>
      <w:pPr>
        <w:numPr>
          <w:ilvl w:val="1"/>
          <w:numId w:val="90"/>
        </w:numPr>
        <w:spacing w:after="60"/>
      </w:pPr>
      <w:r>
        <w:rPr/>
        <w:t>Final sanction requires approval by the Registrar/Principal/COO (as per financial delegation of powers).</w:t>
      </w:r>
    </w:p>
    <w:p>
      <w:pPr>
        <w:numPr>
          <w:ilvl w:val="0"/>
          <w:numId w:val="90"/>
        </w:numPr>
        <w:spacing w:after="60"/>
      </w:pPr>
      <w:r>
        <w:rPr/>
        <w:t>6. Accountability and Monitoring</w:t>
      </w:r>
    </w:p>
    <w:p>
      <w:pPr>
        <w:numPr>
          <w:ilvl w:val="1"/>
          <w:numId w:val="90"/>
        </w:numPr>
        <w:spacing w:after="60"/>
      </w:pPr>
      <w:r>
        <w:rPr/>
        <w:t>Outstanding loans/advances will be regularly reviewed by the Finance Officer.</w:t>
      </w:r>
    </w:p>
    <w:p>
      <w:pPr>
        <w:numPr>
          <w:ilvl w:val="1"/>
          <w:numId w:val="90"/>
        </w:numPr>
        <w:spacing w:after="60"/>
      </w:pPr>
      <w:r>
        <w:rPr/>
        <w:t>The University reserves the right to recover outstanding amounts through payroll deductions.</w:t>
      </w:r>
    </w:p>
    <w:p>
      <w:pPr>
        <w:numPr>
          <w:ilvl w:val="1"/>
          <w:numId w:val="90"/>
        </w:numPr>
        <w:spacing w:after="60"/>
      </w:pPr>
      <w:r>
        <w:rPr/>
        <w:t>Employees leaving service must settle all outstanding amounts before clearance is issued</w:t>
      </w:r>
    </w:p>
    <w:p>
      <w:pPr>
        <w:pStyle w:val="Heading2"/>
      </w:pPr>
      <w:r>
        <w:rPr/>
        <w:t>Loan / Advance Entitlement Framework</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1247"/>
        <w:gridCol w:w="1701"/>
        <w:gridCol w:w="1644"/>
        <w:gridCol w:w="1644"/>
        <w:gridCol w:w="1644"/>
        <w:gridCol w:w="1531"/>
      </w:tblGrid>
      <w:tr>
        <w:trPr>
          <w:cantSplit w:val="true"/>
          <w:tblHeader w:val="true"/>
        </w:trPr>
        <w:tc>
          <w:tcPr>
            <w:tcW w:type="dxa" w:w="1247"/>
            <w:shd w:val="clear" w:color="auto" w:fill="1F3A5F"/>
          </w:tcPr>
          <w:p>
            <w:pPr>
              <w:spacing w:after="20" w:before="20" w:line="240" w:lineRule="auto"/>
              <w:jc w:val="left"/>
            </w:pPr>
            <w:r>
              <w:rPr>
                <w:b/>
                <w:color w:val="FFFFFF"/>
                <w:sz w:val="20"/>
              </w:rPr>
              <w:t>Type</w:t>
            </w:r>
          </w:p>
        </w:tc>
        <w:tc>
          <w:tcPr>
            <w:tcW w:type="dxa" w:w="1701"/>
            <w:shd w:val="clear" w:color="auto" w:fill="1F3A5F"/>
          </w:tcPr>
          <w:p>
            <w:pPr>
              <w:spacing w:after="20" w:before="20" w:line="240" w:lineRule="auto"/>
              <w:jc w:val="left"/>
            </w:pPr>
            <w:r>
              <w:rPr>
                <w:b/>
                <w:color w:val="FFFFFF"/>
                <w:sz w:val="20"/>
              </w:rPr>
              <w:t>Purpose</w:t>
            </w:r>
          </w:p>
        </w:tc>
        <w:tc>
          <w:tcPr>
            <w:tcW w:type="dxa" w:w="1644"/>
            <w:shd w:val="clear" w:color="auto" w:fill="1F3A5F"/>
          </w:tcPr>
          <w:p>
            <w:pPr>
              <w:spacing w:after="20" w:before="20" w:line="240" w:lineRule="auto"/>
              <w:jc w:val="left"/>
            </w:pPr>
            <w:r>
              <w:rPr>
                <w:b/>
                <w:color w:val="FFFFFF"/>
                <w:sz w:val="20"/>
              </w:rPr>
              <w:t>Eligibility</w:t>
            </w:r>
          </w:p>
        </w:tc>
        <w:tc>
          <w:tcPr>
            <w:tcW w:type="dxa" w:w="1644"/>
            <w:shd w:val="clear" w:color="auto" w:fill="1F3A5F"/>
          </w:tcPr>
          <w:p>
            <w:pPr>
              <w:spacing w:after="20" w:before="20" w:line="240" w:lineRule="auto"/>
              <w:jc w:val="left"/>
            </w:pPr>
            <w:r>
              <w:rPr>
                <w:b/>
                <w:color w:val="FFFFFF"/>
                <w:sz w:val="20"/>
              </w:rPr>
              <w:t>Limit</w:t>
            </w:r>
          </w:p>
        </w:tc>
        <w:tc>
          <w:tcPr>
            <w:tcW w:type="dxa" w:w="1644"/>
            <w:shd w:val="clear" w:color="auto" w:fill="1F3A5F"/>
          </w:tcPr>
          <w:p>
            <w:pPr>
              <w:spacing w:after="20" w:before="20" w:line="240" w:lineRule="auto"/>
              <w:jc w:val="left"/>
            </w:pPr>
            <w:r>
              <w:rPr>
                <w:b/>
                <w:color w:val="FFFFFF"/>
                <w:sz w:val="20"/>
              </w:rPr>
              <w:t>Repayment Terms</w:t>
            </w:r>
          </w:p>
        </w:tc>
        <w:tc>
          <w:tcPr>
            <w:tcW w:type="dxa" w:w="1531"/>
            <w:shd w:val="clear" w:color="auto" w:fill="1F3A5F"/>
          </w:tcPr>
          <w:p>
            <w:pPr>
              <w:spacing w:after="20" w:before="20" w:line="240" w:lineRule="auto"/>
              <w:jc w:val="left"/>
            </w:pPr>
            <w:r>
              <w:rPr>
                <w:b/>
                <w:color w:val="FFFFFF"/>
                <w:sz w:val="20"/>
              </w:rPr>
              <w:t>Approving Authority</w:t>
            </w:r>
          </w:p>
        </w:tc>
      </w:tr>
      <w:tr>
        <w:trPr>
          <w:cantSplit w:val="true"/>
        </w:trPr>
        <w:tc>
          <w:tcPr>
            <w:tcW w:type="dxa" w:w="1247"/>
          </w:tcPr>
          <w:p>
            <w:pPr>
              <w:spacing w:after="20" w:before="20" w:line="240" w:lineRule="auto"/>
              <w:jc w:val="left"/>
            </w:pPr>
            <w:r>
              <w:rPr>
                <w:sz w:val="20"/>
              </w:rPr>
              <w:t>Housing Loan</w:t>
            </w:r>
          </w:p>
        </w:tc>
        <w:tc>
          <w:tcPr>
            <w:tcW w:type="dxa" w:w="1701"/>
          </w:tcPr>
          <w:p>
            <w:pPr>
              <w:spacing w:after="20" w:before="20" w:line="240" w:lineRule="auto"/>
              <w:jc w:val="left"/>
            </w:pPr>
            <w:r>
              <w:rPr>
                <w:sz w:val="20"/>
              </w:rPr>
              <w:t>For purchase/construction/renovation of house</w:t>
            </w:r>
          </w:p>
        </w:tc>
        <w:tc>
          <w:tcPr>
            <w:tcW w:type="dxa" w:w="1644"/>
          </w:tcPr>
          <w:p>
            <w:pPr>
              <w:spacing w:after="20" w:before="20" w:line="240" w:lineRule="auto"/>
              <w:jc w:val="left"/>
            </w:pPr>
            <w:r>
              <w:rPr>
                <w:sz w:val="20"/>
              </w:rPr>
              <w:t>Permanent teaching &amp; non-teaching staff</w:t>
            </w:r>
          </w:p>
        </w:tc>
        <w:tc>
          <w:tcPr>
            <w:tcW w:type="dxa" w:w="1644"/>
          </w:tcPr>
          <w:p>
            <w:pPr>
              <w:spacing w:after="20" w:before="20" w:line="240" w:lineRule="auto"/>
              <w:jc w:val="left"/>
            </w:pPr>
            <w:r>
              <w:rPr>
                <w:sz w:val="20"/>
              </w:rPr>
              <w:t>As per institutional policy (e.g., up to 36 months’ gross salary)</w:t>
            </w:r>
          </w:p>
        </w:tc>
        <w:tc>
          <w:tcPr>
            <w:tcW w:type="dxa" w:w="1644"/>
          </w:tcPr>
          <w:p>
            <w:pPr>
              <w:spacing w:after="20" w:before="20" w:line="240" w:lineRule="auto"/>
              <w:jc w:val="left"/>
            </w:pPr>
            <w:r>
              <w:rPr>
                <w:sz w:val="20"/>
              </w:rPr>
              <w:t>Monthly salary deductions over 5–10 years</w:t>
            </w:r>
          </w:p>
        </w:tc>
        <w:tc>
          <w:tcPr>
            <w:tcW w:type="dxa" w:w="1531"/>
          </w:tcPr>
          <w:p>
            <w:pPr>
              <w:spacing w:after="20" w:before="20" w:line="240" w:lineRule="auto"/>
              <w:jc w:val="left"/>
            </w:pPr>
            <w:r>
              <w:rPr>
                <w:sz w:val="20"/>
              </w:rPr>
              <w:t>Registrar / Principal / Governing Body</w:t>
            </w:r>
          </w:p>
        </w:tc>
      </w:tr>
      <w:tr>
        <w:trPr>
          <w:cantSplit w:val="true"/>
        </w:trPr>
        <w:tc>
          <w:tcPr>
            <w:tcW w:type="dxa" w:w="1247"/>
            <w:shd w:val="clear" w:color="auto" w:fill="E8EEF5"/>
          </w:tcPr>
          <w:p>
            <w:pPr>
              <w:spacing w:after="20" w:before="20" w:line="240" w:lineRule="auto"/>
              <w:jc w:val="left"/>
            </w:pPr>
            <w:r>
              <w:rPr>
                <w:sz w:val="20"/>
              </w:rPr>
              <w:t>Vehicle Loan</w:t>
            </w:r>
          </w:p>
        </w:tc>
        <w:tc>
          <w:tcPr>
            <w:tcW w:type="dxa" w:w="1701"/>
            <w:shd w:val="clear" w:color="auto" w:fill="E8EEF5"/>
          </w:tcPr>
          <w:p>
            <w:pPr>
              <w:spacing w:after="20" w:before="20" w:line="240" w:lineRule="auto"/>
              <w:jc w:val="left"/>
            </w:pPr>
            <w:r>
              <w:rPr>
                <w:sz w:val="20"/>
              </w:rPr>
              <w:t>Purchase of two-wheeler or four-wheeler</w:t>
            </w:r>
          </w:p>
        </w:tc>
        <w:tc>
          <w:tcPr>
            <w:tcW w:type="dxa" w:w="1644"/>
            <w:shd w:val="clear" w:color="auto" w:fill="E8EEF5"/>
          </w:tcPr>
          <w:p>
            <w:pPr>
              <w:spacing w:after="20" w:before="20" w:line="240" w:lineRule="auto"/>
              <w:jc w:val="left"/>
            </w:pPr>
            <w:r>
              <w:rPr>
                <w:sz w:val="20"/>
              </w:rPr>
              <w:t>Permanent employees (after 2 years of service)</w:t>
            </w:r>
          </w:p>
        </w:tc>
        <w:tc>
          <w:tcPr>
            <w:tcW w:type="dxa" w:w="1644"/>
            <w:shd w:val="clear" w:color="auto" w:fill="E8EEF5"/>
          </w:tcPr>
          <w:p>
            <w:pPr>
              <w:spacing w:after="20" w:before="20" w:line="240" w:lineRule="auto"/>
              <w:jc w:val="left"/>
            </w:pPr>
            <w:r>
              <w:rPr>
                <w:sz w:val="20"/>
              </w:rPr>
              <w:t>As per salary scale (e.g., up to 24 months’ basic pay)</w:t>
            </w:r>
          </w:p>
        </w:tc>
        <w:tc>
          <w:tcPr>
            <w:tcW w:type="dxa" w:w="1644"/>
            <w:shd w:val="clear" w:color="auto" w:fill="E8EEF5"/>
          </w:tcPr>
          <w:p>
            <w:pPr>
              <w:spacing w:after="20" w:before="20" w:line="240" w:lineRule="auto"/>
              <w:jc w:val="left"/>
            </w:pPr>
            <w:r>
              <w:rPr>
                <w:sz w:val="20"/>
              </w:rPr>
              <w:t>Monthly salary deductions over 2–5 years</w:t>
            </w:r>
          </w:p>
        </w:tc>
        <w:tc>
          <w:tcPr>
            <w:tcW w:type="dxa" w:w="1531"/>
            <w:shd w:val="clear" w:color="auto" w:fill="E8EEF5"/>
          </w:tcPr>
          <w:p>
            <w:pPr>
              <w:spacing w:after="20" w:before="20" w:line="240" w:lineRule="auto"/>
              <w:jc w:val="left"/>
            </w:pPr>
            <w:r>
              <w:rPr>
                <w:sz w:val="20"/>
              </w:rPr>
              <w:t>Registrar / Principal</w:t>
            </w:r>
          </w:p>
        </w:tc>
      </w:tr>
      <w:tr>
        <w:trPr>
          <w:cantSplit w:val="true"/>
        </w:trPr>
        <w:tc>
          <w:tcPr>
            <w:tcW w:type="dxa" w:w="1247"/>
          </w:tcPr>
          <w:p>
            <w:pPr>
              <w:spacing w:after="20" w:before="20" w:line="240" w:lineRule="auto"/>
              <w:jc w:val="left"/>
            </w:pPr>
            <w:r>
              <w:rPr>
                <w:sz w:val="20"/>
              </w:rPr>
              <w:t>Computer/ IT Loan</w:t>
            </w:r>
          </w:p>
        </w:tc>
        <w:tc>
          <w:tcPr>
            <w:tcW w:type="dxa" w:w="1701"/>
          </w:tcPr>
          <w:p>
            <w:pPr>
              <w:spacing w:after="20" w:before="20" w:line="240" w:lineRule="auto"/>
              <w:jc w:val="left"/>
            </w:pPr>
            <w:r>
              <w:rPr>
                <w:sz w:val="20"/>
              </w:rPr>
              <w:t>Purchase of computer, laptop, or tablet</w:t>
            </w:r>
          </w:p>
        </w:tc>
        <w:tc>
          <w:tcPr>
            <w:tcW w:type="dxa" w:w="1644"/>
          </w:tcPr>
          <w:p>
            <w:pPr>
              <w:spacing w:after="20" w:before="20" w:line="240" w:lineRule="auto"/>
              <w:jc w:val="left"/>
            </w:pPr>
            <w:r>
              <w:rPr>
                <w:sz w:val="20"/>
              </w:rPr>
              <w:t>Teaching &amp; non-teaching staff</w:t>
            </w:r>
          </w:p>
        </w:tc>
        <w:tc>
          <w:tcPr>
            <w:tcW w:type="dxa" w:w="1644"/>
          </w:tcPr>
          <w:p>
            <w:pPr>
              <w:spacing w:after="20" w:before="20" w:line="240" w:lineRule="auto"/>
              <w:jc w:val="left"/>
            </w:pPr>
            <w:r>
              <w:rPr>
                <w:sz w:val="20"/>
              </w:rPr>
              <w:t>Limited (e.g., up to ₹75,000)</w:t>
            </w:r>
          </w:p>
        </w:tc>
        <w:tc>
          <w:tcPr>
            <w:tcW w:type="dxa" w:w="1644"/>
          </w:tcPr>
          <w:p>
            <w:pPr>
              <w:spacing w:after="20" w:before="20" w:line="240" w:lineRule="auto"/>
              <w:jc w:val="left"/>
            </w:pPr>
            <w:r>
              <w:rPr>
                <w:sz w:val="20"/>
              </w:rPr>
              <w:t>Monthly deductions over 12–24 months</w:t>
            </w:r>
          </w:p>
        </w:tc>
        <w:tc>
          <w:tcPr>
            <w:tcW w:type="dxa" w:w="1531"/>
          </w:tcPr>
          <w:p>
            <w:pPr>
              <w:spacing w:after="20" w:before="20" w:line="240" w:lineRule="auto"/>
              <w:jc w:val="left"/>
            </w:pPr>
            <w:r>
              <w:rPr>
                <w:sz w:val="20"/>
              </w:rPr>
              <w:t>HR Manager / Finance Officer</w:t>
            </w:r>
          </w:p>
        </w:tc>
      </w:tr>
      <w:tr>
        <w:trPr>
          <w:cantSplit w:val="true"/>
        </w:trPr>
        <w:tc>
          <w:tcPr>
            <w:tcW w:type="dxa" w:w="1247"/>
            <w:shd w:val="clear" w:color="auto" w:fill="E8EEF5"/>
          </w:tcPr>
          <w:p>
            <w:pPr>
              <w:spacing w:after="20" w:before="20" w:line="240" w:lineRule="auto"/>
              <w:jc w:val="left"/>
            </w:pPr>
            <w:r>
              <w:rPr>
                <w:sz w:val="20"/>
              </w:rPr>
              <w:t>Personal Loan</w:t>
            </w:r>
          </w:p>
        </w:tc>
        <w:tc>
          <w:tcPr>
            <w:tcW w:type="dxa" w:w="1701"/>
            <w:shd w:val="clear" w:color="auto" w:fill="E8EEF5"/>
          </w:tcPr>
          <w:p>
            <w:pPr>
              <w:spacing w:after="20" w:before="20" w:line="240" w:lineRule="auto"/>
              <w:jc w:val="left"/>
            </w:pPr>
            <w:r>
              <w:rPr>
                <w:sz w:val="20"/>
              </w:rPr>
              <w:t>General personal needs/emergencies</w:t>
            </w:r>
          </w:p>
        </w:tc>
        <w:tc>
          <w:tcPr>
            <w:tcW w:type="dxa" w:w="1644"/>
            <w:shd w:val="clear" w:color="auto" w:fill="E8EEF5"/>
          </w:tcPr>
          <w:p>
            <w:pPr>
              <w:spacing w:after="20" w:before="20" w:line="240" w:lineRule="auto"/>
              <w:jc w:val="left"/>
            </w:pPr>
            <w:r>
              <w:rPr>
                <w:sz w:val="20"/>
              </w:rPr>
              <w:t>Permanent employees (with 3+ years service)</w:t>
            </w:r>
          </w:p>
        </w:tc>
        <w:tc>
          <w:tcPr>
            <w:tcW w:type="dxa" w:w="1644"/>
            <w:shd w:val="clear" w:color="auto" w:fill="E8EEF5"/>
          </w:tcPr>
          <w:p>
            <w:pPr>
              <w:spacing w:after="20" w:before="20" w:line="240" w:lineRule="auto"/>
              <w:jc w:val="left"/>
            </w:pPr>
            <w:r>
              <w:rPr>
                <w:sz w:val="20"/>
              </w:rPr>
              <w:t>Fixed cap as per institution rules</w:t>
            </w:r>
          </w:p>
        </w:tc>
        <w:tc>
          <w:tcPr>
            <w:tcW w:type="dxa" w:w="1644"/>
            <w:shd w:val="clear" w:color="auto" w:fill="E8EEF5"/>
          </w:tcPr>
          <w:p>
            <w:pPr>
              <w:spacing w:after="20" w:before="20" w:line="240" w:lineRule="auto"/>
              <w:jc w:val="left"/>
            </w:pPr>
            <w:r>
              <w:rPr>
                <w:sz w:val="20"/>
              </w:rPr>
              <w:t>Monthly salary deductions within 2–3 years</w:t>
            </w:r>
          </w:p>
        </w:tc>
        <w:tc>
          <w:tcPr>
            <w:tcW w:type="dxa" w:w="1531"/>
            <w:shd w:val="clear" w:color="auto" w:fill="E8EEF5"/>
          </w:tcPr>
          <w:p>
            <w:pPr>
              <w:spacing w:after="20" w:before="20" w:line="240" w:lineRule="auto"/>
              <w:jc w:val="left"/>
            </w:pPr>
            <w:r>
              <w:rPr>
                <w:sz w:val="20"/>
              </w:rPr>
              <w:t>Registrar / COO</w:t>
            </w:r>
          </w:p>
        </w:tc>
      </w:tr>
      <w:tr>
        <w:trPr>
          <w:cantSplit w:val="true"/>
        </w:trPr>
        <w:tc>
          <w:tcPr>
            <w:tcW w:type="dxa" w:w="1247"/>
          </w:tcPr>
          <w:p>
            <w:pPr>
              <w:spacing w:after="20" w:before="20" w:line="240" w:lineRule="auto"/>
              <w:jc w:val="left"/>
            </w:pPr>
            <w:r>
              <w:rPr>
                <w:sz w:val="20"/>
              </w:rPr>
              <w:t>Travel Advance</w:t>
            </w:r>
          </w:p>
        </w:tc>
        <w:tc>
          <w:tcPr>
            <w:tcW w:type="dxa" w:w="1701"/>
          </w:tcPr>
          <w:p>
            <w:pPr>
              <w:spacing w:after="20" w:before="20" w:line="240" w:lineRule="auto"/>
              <w:jc w:val="left"/>
            </w:pPr>
            <w:r>
              <w:rPr>
                <w:sz w:val="20"/>
              </w:rPr>
              <w:t>For official duty travel expenses</w:t>
            </w:r>
          </w:p>
        </w:tc>
        <w:tc>
          <w:tcPr>
            <w:tcW w:type="dxa" w:w="1644"/>
          </w:tcPr>
          <w:p>
            <w:pPr>
              <w:spacing w:after="20" w:before="20" w:line="240" w:lineRule="auto"/>
              <w:jc w:val="left"/>
            </w:pPr>
            <w:r>
              <w:rPr>
                <w:sz w:val="20"/>
              </w:rPr>
              <w:t>All employees (teaching &amp; non-teaching)</w:t>
            </w:r>
          </w:p>
        </w:tc>
        <w:tc>
          <w:tcPr>
            <w:tcW w:type="dxa" w:w="1644"/>
          </w:tcPr>
          <w:p>
            <w:pPr>
              <w:spacing w:after="20" w:before="20" w:line="240" w:lineRule="auto"/>
              <w:jc w:val="left"/>
            </w:pPr>
            <w:r>
              <w:rPr>
                <w:sz w:val="20"/>
              </w:rPr>
              <w:t>Based on estimated travel costs</w:t>
            </w:r>
          </w:p>
        </w:tc>
        <w:tc>
          <w:tcPr>
            <w:tcW w:type="dxa" w:w="1644"/>
          </w:tcPr>
          <w:p>
            <w:pPr>
              <w:spacing w:after="20" w:before="20" w:line="240" w:lineRule="auto"/>
              <w:jc w:val="left"/>
            </w:pPr>
            <w:r>
              <w:rPr>
                <w:sz w:val="20"/>
              </w:rPr>
              <w:t>Settlement with bills within 15 days of return</w:t>
            </w:r>
          </w:p>
        </w:tc>
        <w:tc>
          <w:tcPr>
            <w:tcW w:type="dxa" w:w="1531"/>
          </w:tcPr>
          <w:p>
            <w:pPr>
              <w:spacing w:after="20" w:before="20" w:line="240" w:lineRule="auto"/>
              <w:jc w:val="left"/>
            </w:pPr>
            <w:r>
              <w:rPr>
                <w:sz w:val="20"/>
              </w:rPr>
              <w:t>Head of Department / Registrar</w:t>
            </w:r>
          </w:p>
        </w:tc>
      </w:tr>
      <w:tr>
        <w:trPr>
          <w:cantSplit w:val="true"/>
        </w:trPr>
        <w:tc>
          <w:tcPr>
            <w:tcW w:type="dxa" w:w="1247"/>
            <w:shd w:val="clear" w:color="auto" w:fill="E8EEF5"/>
          </w:tcPr>
          <w:p>
            <w:pPr>
              <w:spacing w:after="20" w:before="20" w:line="240" w:lineRule="auto"/>
              <w:jc w:val="left"/>
            </w:pPr>
            <w:r>
              <w:rPr>
                <w:sz w:val="20"/>
              </w:rPr>
              <w:t>Festival Advance</w:t>
            </w:r>
          </w:p>
        </w:tc>
        <w:tc>
          <w:tcPr>
            <w:tcW w:type="dxa" w:w="1701"/>
            <w:shd w:val="clear" w:color="auto" w:fill="E8EEF5"/>
          </w:tcPr>
          <w:p>
            <w:pPr>
              <w:spacing w:after="20" w:before="20" w:line="240" w:lineRule="auto"/>
              <w:jc w:val="left"/>
            </w:pPr>
            <w:r>
              <w:rPr>
                <w:sz w:val="20"/>
              </w:rPr>
              <w:t>Assistance during approved festivals</w:t>
            </w:r>
          </w:p>
        </w:tc>
        <w:tc>
          <w:tcPr>
            <w:tcW w:type="dxa" w:w="1644"/>
            <w:shd w:val="clear" w:color="auto" w:fill="E8EEF5"/>
          </w:tcPr>
          <w:p>
            <w:pPr>
              <w:spacing w:after="20" w:before="20" w:line="240" w:lineRule="auto"/>
              <w:jc w:val="left"/>
            </w:pPr>
            <w:r>
              <w:rPr>
                <w:sz w:val="20"/>
              </w:rPr>
              <w:t>Permanent &amp; probationary staff</w:t>
            </w:r>
          </w:p>
        </w:tc>
        <w:tc>
          <w:tcPr>
            <w:tcW w:type="dxa" w:w="1644"/>
            <w:shd w:val="clear" w:color="auto" w:fill="E8EEF5"/>
          </w:tcPr>
          <w:p>
            <w:pPr>
              <w:spacing w:after="20" w:before="20" w:line="240" w:lineRule="auto"/>
              <w:jc w:val="left"/>
            </w:pPr>
            <w:r>
              <w:rPr>
                <w:sz w:val="20"/>
              </w:rPr>
              <w:t>Fixed small amount (e.g., ₹10,000)</w:t>
            </w:r>
          </w:p>
        </w:tc>
        <w:tc>
          <w:tcPr>
            <w:tcW w:type="dxa" w:w="1644"/>
            <w:shd w:val="clear" w:color="auto" w:fill="E8EEF5"/>
          </w:tcPr>
          <w:p>
            <w:pPr>
              <w:spacing w:after="20" w:before="20" w:line="240" w:lineRule="auto"/>
              <w:jc w:val="left"/>
            </w:pPr>
            <w:r>
              <w:rPr>
                <w:sz w:val="20"/>
              </w:rPr>
              <w:t>Recovery from salary within 3–6 months</w:t>
            </w:r>
          </w:p>
        </w:tc>
        <w:tc>
          <w:tcPr>
            <w:tcW w:type="dxa" w:w="1531"/>
            <w:shd w:val="clear" w:color="auto" w:fill="E8EEF5"/>
          </w:tcPr>
          <w:p>
            <w:pPr>
              <w:spacing w:after="20" w:before="20" w:line="240" w:lineRule="auto"/>
              <w:jc w:val="left"/>
            </w:pPr>
            <w:r>
              <w:rPr>
                <w:sz w:val="20"/>
              </w:rPr>
              <w:t>Registrar / Finance Officer</w:t>
            </w:r>
          </w:p>
        </w:tc>
      </w:tr>
      <w:tr>
        <w:trPr>
          <w:cantSplit w:val="true"/>
        </w:trPr>
        <w:tc>
          <w:tcPr>
            <w:tcW w:type="dxa" w:w="1247"/>
          </w:tcPr>
          <w:p>
            <w:pPr>
              <w:spacing w:after="20" w:before="20" w:line="240" w:lineRule="auto"/>
              <w:jc w:val="left"/>
            </w:pPr>
            <w:r>
              <w:rPr>
                <w:sz w:val="20"/>
              </w:rPr>
              <w:t>Salary Advance</w:t>
            </w:r>
          </w:p>
        </w:tc>
        <w:tc>
          <w:tcPr>
            <w:tcW w:type="dxa" w:w="1701"/>
          </w:tcPr>
          <w:p>
            <w:pPr>
              <w:spacing w:after="20" w:before="20" w:line="240" w:lineRule="auto"/>
              <w:jc w:val="left"/>
            </w:pPr>
            <w:r>
              <w:rPr>
                <w:sz w:val="20"/>
              </w:rPr>
              <w:t>Emergency salary support</w:t>
            </w:r>
          </w:p>
        </w:tc>
        <w:tc>
          <w:tcPr>
            <w:tcW w:type="dxa" w:w="1644"/>
          </w:tcPr>
          <w:p>
            <w:pPr>
              <w:spacing w:after="20" w:before="20" w:line="240" w:lineRule="auto"/>
              <w:jc w:val="left"/>
            </w:pPr>
            <w:r>
              <w:rPr>
                <w:sz w:val="20"/>
              </w:rPr>
              <w:t>Non-teaching staff only (as per policy)</w:t>
            </w:r>
          </w:p>
        </w:tc>
        <w:tc>
          <w:tcPr>
            <w:tcW w:type="dxa" w:w="1644"/>
          </w:tcPr>
          <w:p>
            <w:pPr>
              <w:spacing w:after="20" w:before="20" w:line="240" w:lineRule="auto"/>
              <w:jc w:val="left"/>
            </w:pPr>
            <w:r>
              <w:rPr>
                <w:sz w:val="20"/>
              </w:rPr>
              <w:t>Limited to 1 month’s basic pay</w:t>
            </w:r>
          </w:p>
        </w:tc>
        <w:tc>
          <w:tcPr>
            <w:tcW w:type="dxa" w:w="1644"/>
          </w:tcPr>
          <w:p>
            <w:pPr>
              <w:spacing w:after="20" w:before="20" w:line="240" w:lineRule="auto"/>
              <w:jc w:val="left"/>
            </w:pPr>
            <w:r>
              <w:rPr>
                <w:sz w:val="20"/>
              </w:rPr>
              <w:t>Recovery in 2–3 monthly instalments</w:t>
            </w:r>
          </w:p>
        </w:tc>
        <w:tc>
          <w:tcPr>
            <w:tcW w:type="dxa" w:w="1531"/>
          </w:tcPr>
          <w:p>
            <w:pPr>
              <w:spacing w:after="20" w:before="20" w:line="240" w:lineRule="auto"/>
              <w:jc w:val="left"/>
            </w:pPr>
            <w:r>
              <w:rPr>
                <w:sz w:val="20"/>
              </w:rPr>
              <w:t>Registrar / HR Manager</w:t>
            </w:r>
          </w:p>
        </w:tc>
      </w:tr>
      <w:tr>
        <w:trPr>
          <w:cantSplit w:val="true"/>
        </w:trPr>
        <w:tc>
          <w:tcPr>
            <w:tcW w:type="dxa" w:w="1247"/>
            <w:shd w:val="clear" w:color="auto" w:fill="E8EEF5"/>
          </w:tcPr>
          <w:p>
            <w:pPr>
              <w:spacing w:after="20" w:before="20" w:line="240" w:lineRule="auto"/>
              <w:jc w:val="left"/>
            </w:pPr>
            <w:r>
              <w:rPr>
                <w:sz w:val="20"/>
              </w:rPr>
              <w:t>Deposit Scheme</w:t>
            </w:r>
          </w:p>
        </w:tc>
        <w:tc>
          <w:tcPr>
            <w:tcW w:type="dxa" w:w="1701"/>
            <w:shd w:val="clear" w:color="auto" w:fill="E8EEF5"/>
          </w:tcPr>
          <w:p>
            <w:pPr>
              <w:spacing w:after="20" w:before="20" w:line="240" w:lineRule="auto"/>
              <w:jc w:val="left"/>
            </w:pPr>
            <w:r>
              <w:rPr>
                <w:sz w:val="20"/>
              </w:rPr>
              <w:t>Long-term staff savings / welfare fund</w:t>
            </w:r>
          </w:p>
        </w:tc>
        <w:tc>
          <w:tcPr>
            <w:tcW w:type="dxa" w:w="1644"/>
            <w:shd w:val="clear" w:color="auto" w:fill="E8EEF5"/>
          </w:tcPr>
          <w:p>
            <w:pPr>
              <w:spacing w:after="20" w:before="20" w:line="240" w:lineRule="auto"/>
              <w:jc w:val="left"/>
            </w:pPr>
            <w:r>
              <w:rPr>
                <w:sz w:val="20"/>
              </w:rPr>
              <w:t>All employees willing to contribute</w:t>
            </w:r>
          </w:p>
        </w:tc>
        <w:tc>
          <w:tcPr>
            <w:tcW w:type="dxa" w:w="1644"/>
            <w:shd w:val="clear" w:color="auto" w:fill="E8EEF5"/>
          </w:tcPr>
          <w:p>
            <w:pPr>
              <w:spacing w:after="20" w:before="20" w:line="240" w:lineRule="auto"/>
              <w:jc w:val="left"/>
            </w:pPr>
            <w:r>
              <w:rPr>
                <w:sz w:val="20"/>
              </w:rPr>
              <w:t>Voluntary contributions</w:t>
            </w:r>
          </w:p>
        </w:tc>
        <w:tc>
          <w:tcPr>
            <w:tcW w:type="dxa" w:w="1644"/>
            <w:shd w:val="clear" w:color="auto" w:fill="E8EEF5"/>
          </w:tcPr>
          <w:p>
            <w:pPr>
              <w:spacing w:after="20" w:before="20" w:line="240" w:lineRule="auto"/>
              <w:jc w:val="left"/>
            </w:pPr>
            <w:r>
              <w:rPr>
                <w:sz w:val="20"/>
              </w:rPr>
              <w:t>Withdrawable as per scheme rules</w:t>
            </w:r>
          </w:p>
        </w:tc>
        <w:tc>
          <w:tcPr>
            <w:tcW w:type="dxa" w:w="1531"/>
            <w:shd w:val="clear" w:color="auto" w:fill="E8EEF5"/>
          </w:tcPr>
          <w:p>
            <w:pPr>
              <w:spacing w:after="20" w:before="20" w:line="240" w:lineRule="auto"/>
              <w:jc w:val="left"/>
            </w:pPr>
            <w:r>
              <w:rPr>
                <w:sz w:val="20"/>
              </w:rPr>
              <w:t>Finance Officer / Governing Body</w:t>
            </w:r>
          </w:p>
        </w:tc>
      </w:tr>
    </w:tbl>
    <w:p>
      <w:pPr>
        <w:spacing w:after="80" w:line="240" w:lineRule="auto"/>
      </w:pPr>
    </w:p>
    <w:p>
      <w:pPr>
        <w:pStyle w:val="Heading2"/>
      </w:pPr>
      <w:r>
        <w:rPr/>
        <w:t>Applicability of the Policy</w:t>
      </w:r>
    </w:p>
    <w:p>
      <w:pPr>
        <w:numPr>
          <w:ilvl w:val="0"/>
          <w:numId w:val="90"/>
        </w:numPr>
        <w:spacing w:after="60"/>
      </w:pPr>
      <w:r>
        <w:rPr/>
        <w:t>This Finance Policy is applicable to all financial transactions and operations carried out jointly or individually by the Association and the University.</w:t>
      </w:r>
    </w:p>
    <w:p>
      <w:pPr>
        <w:numPr>
          <w:ilvl w:val="0"/>
          <w:numId w:val="90"/>
        </w:numPr>
        <w:spacing w:after="60"/>
      </w:pPr>
      <w:r>
        <w:rPr/>
        <w:t>The policy governs the mobilization, allocation, utilization, monitoring, and reporting of funds across both entities to ensure consistency, transparency, and accountability in financial practices.</w:t>
      </w:r>
    </w:p>
    <w:p>
      <w:pPr>
        <w:numPr>
          <w:ilvl w:val="0"/>
          <w:numId w:val="90"/>
        </w:numPr>
        <w:spacing w:after="60"/>
      </w:pPr>
      <w:r>
        <w:rPr/>
        <w:t>It applies equally to:</w:t>
      </w:r>
    </w:p>
    <w:p>
      <w:pPr>
        <w:numPr>
          <w:ilvl w:val="1"/>
          <w:numId w:val="90"/>
        </w:numPr>
        <w:spacing w:after="60"/>
      </w:pPr>
      <w:r>
        <w:rPr/>
        <w:t>Revenues generated (student fees, grants, consultancy income, sponsorships, donations, interest earnings).</w:t>
      </w:r>
    </w:p>
    <w:p>
      <w:pPr>
        <w:numPr>
          <w:ilvl w:val="1"/>
          <w:numId w:val="90"/>
        </w:numPr>
        <w:spacing w:after="60"/>
      </w:pPr>
      <w:r>
        <w:rPr/>
        <w:t>Expenditures incurred (salaries, infrastructure, academic/research activities, student support, cultural/sports programs, and operational costs).</w:t>
      </w:r>
    </w:p>
    <w:p>
      <w:pPr>
        <w:numPr>
          <w:ilvl w:val="1"/>
          <w:numId w:val="90"/>
        </w:numPr>
        <w:spacing w:after="60"/>
      </w:pPr>
      <w:r>
        <w:rPr/>
        <w:t>Loans, deposits, and advances extended under the institution’s financial regulations.</w:t>
      </w:r>
    </w:p>
    <w:p>
      <w:pPr>
        <w:numPr>
          <w:ilvl w:val="1"/>
          <w:numId w:val="90"/>
        </w:numPr>
        <w:spacing w:after="60"/>
      </w:pPr>
      <w:r>
        <w:rPr/>
        <w:t>Payroll and HR-related financial transactions, including statutory deductions and compliance obligations.</w:t>
      </w:r>
    </w:p>
    <w:p>
      <w:pPr>
        <w:numPr>
          <w:ilvl w:val="0"/>
          <w:numId w:val="90"/>
        </w:numPr>
        <w:spacing w:after="60"/>
      </w:pPr>
      <w:r>
        <w:rPr/>
        <w:t>The Association and University shall adhere to the same fundamental accounting standards, internal control mechanisms, and audit requirements, while maintaining separate records as per statutory and regulatory requirements.</w:t>
      </w:r>
    </w:p>
    <w:p>
      <w:pPr>
        <w:numPr>
          <w:ilvl w:val="0"/>
          <w:numId w:val="90"/>
        </w:numPr>
        <w:spacing w:after="60"/>
      </w:pPr>
      <w:r>
        <w:rPr/>
        <w:t>In case of shared financial activities or collaborative initiatives between the Association and University, the responsibility for financial management, documentation, and accountability shall be clearly defined and jointly monitored.</w:t>
      </w:r>
    </w:p>
    <w:p>
      <w:pPr>
        <w:numPr>
          <w:ilvl w:val="0"/>
          <w:numId w:val="90"/>
        </w:numPr>
        <w:spacing w:after="60"/>
      </w:pPr>
      <w:r>
        <w:rPr/>
        <w:t>This ensures uniform application of financial principles, avoids duplication, and promotes synergy between both entities</w:t>
      </w:r>
    </w:p>
    <w:p>
      <w:pPr>
        <w:pStyle w:val="Heading2"/>
      </w:pPr>
      <w:r>
        <w:rPr/>
        <w:t>Internal Loan Policy</w:t>
      </w:r>
    </w:p>
    <w:p>
      <w:r>
        <w:rPr/>
        <w:t>The provision of Internal Loans/Internal Borrowings is applicable to both the HEI Association and the University. This policy establishes clear guidelines for the accounting, authorization, and processing of such transactions to ensure financial discipline, transparency, and accountability.</w:t>
      </w:r>
    </w:p>
    <w:p>
      <w:pPr>
        <w:numPr>
          <w:ilvl w:val="0"/>
          <w:numId w:val="90"/>
        </w:numPr>
        <w:spacing w:after="60"/>
      </w:pPr>
      <w:r>
        <w:rPr/>
        <w:t>Purpose</w:t>
      </w:r>
    </w:p>
    <w:p>
      <w:pPr>
        <w:numPr>
          <w:ilvl w:val="1"/>
          <w:numId w:val="90"/>
        </w:numPr>
        <w:spacing w:after="60"/>
      </w:pPr>
      <w:r>
        <w:rPr/>
        <w:t>To provide short-term or medium-term financial support between the HEI Association and University.</w:t>
      </w:r>
    </w:p>
    <w:p>
      <w:pPr>
        <w:numPr>
          <w:ilvl w:val="1"/>
          <w:numId w:val="90"/>
        </w:numPr>
        <w:spacing w:after="60"/>
      </w:pPr>
      <w:r>
        <w:rPr/>
        <w:t>To meet urgent operational, academic, or infrastructure-related financial requirements.</w:t>
      </w:r>
    </w:p>
    <w:p>
      <w:pPr>
        <w:numPr>
          <w:ilvl w:val="1"/>
          <w:numId w:val="90"/>
        </w:numPr>
        <w:spacing w:after="60"/>
      </w:pPr>
      <w:r>
        <w:rPr/>
        <w:t>To optimize available financial resources without relying solely on external borrowings.</w:t>
      </w:r>
    </w:p>
    <w:p>
      <w:pPr>
        <w:numPr>
          <w:ilvl w:val="0"/>
          <w:numId w:val="90"/>
        </w:numPr>
        <w:spacing w:after="60"/>
      </w:pPr>
      <w:r>
        <w:rPr/>
        <w:t>Loan Request and Documentation</w:t>
      </w:r>
    </w:p>
    <w:p>
      <w:pPr>
        <w:numPr>
          <w:ilvl w:val="1"/>
          <w:numId w:val="90"/>
        </w:numPr>
        <w:spacing w:after="60"/>
      </w:pPr>
      <w:r>
        <w:rPr/>
        <w:t>The Treasurer’s Office is responsible for receiving and processing internal loan requests.</w:t>
      </w:r>
    </w:p>
    <w:p>
      <w:pPr>
        <w:numPr>
          <w:ilvl w:val="1"/>
          <w:numId w:val="90"/>
        </w:numPr>
        <w:spacing w:after="60"/>
      </w:pPr>
      <w:r>
        <w:rPr/>
        <w:t>Each request must be supported by a formal loan application, clearly specifying:</w:t>
      </w:r>
    </w:p>
    <w:p>
      <w:pPr>
        <w:numPr>
          <w:ilvl w:val="2"/>
          <w:numId w:val="90"/>
        </w:numPr>
        <w:spacing w:after="60"/>
      </w:pPr>
      <w:r>
        <w:rPr/>
        <w:t>The purpose of the loan.</w:t>
      </w:r>
    </w:p>
    <w:p>
      <w:pPr>
        <w:numPr>
          <w:ilvl w:val="2"/>
          <w:numId w:val="90"/>
        </w:numPr>
        <w:spacing w:after="60"/>
      </w:pPr>
      <w:r>
        <w:rPr/>
        <w:t>The requested amount.</w:t>
      </w:r>
    </w:p>
    <w:p>
      <w:pPr>
        <w:numPr>
          <w:ilvl w:val="2"/>
          <w:numId w:val="90"/>
        </w:numPr>
        <w:spacing w:after="60"/>
      </w:pPr>
      <w:r>
        <w:rPr/>
        <w:t>Repayment schedule and terms.</w:t>
      </w:r>
    </w:p>
    <w:p>
      <w:pPr>
        <w:numPr>
          <w:ilvl w:val="2"/>
          <w:numId w:val="90"/>
        </w:numPr>
        <w:spacing w:after="60"/>
      </w:pPr>
      <w:r>
        <w:rPr/>
        <w:t>Authorizing signatures from the relevant authority (Registrar/Principal/COO).</w:t>
      </w:r>
    </w:p>
    <w:p>
      <w:pPr>
        <w:numPr>
          <w:ilvl w:val="1"/>
          <w:numId w:val="90"/>
        </w:numPr>
        <w:spacing w:after="60"/>
      </w:pPr>
      <w:r>
        <w:rPr/>
        <w:t>The Treasurer’s Office prepares the necessary loan documentation, which is filed for financial records and audit purposes.</w:t>
      </w:r>
    </w:p>
    <w:p>
      <w:pPr>
        <w:numPr>
          <w:ilvl w:val="0"/>
          <w:numId w:val="90"/>
        </w:numPr>
        <w:spacing w:after="60"/>
      </w:pPr>
      <w:r>
        <w:rPr/>
        <w:t>Review and Authorization</w:t>
      </w:r>
    </w:p>
    <w:p>
      <w:pPr>
        <w:numPr>
          <w:ilvl w:val="1"/>
          <w:numId w:val="90"/>
        </w:numPr>
        <w:spacing w:after="60"/>
      </w:pPr>
      <w:r>
        <w:rPr/>
        <w:t>The Treasury Office reviews all loan applications to ensure completeness and compliance with institutional policies.</w:t>
      </w:r>
    </w:p>
    <w:p>
      <w:pPr>
        <w:numPr>
          <w:ilvl w:val="1"/>
          <w:numId w:val="90"/>
        </w:numPr>
        <w:spacing w:after="60"/>
      </w:pPr>
      <w:r>
        <w:rPr/>
        <w:t>Verification includes:</w:t>
      </w:r>
    </w:p>
    <w:p>
      <w:pPr>
        <w:numPr>
          <w:ilvl w:val="2"/>
          <w:numId w:val="90"/>
        </w:numPr>
        <w:spacing w:after="60"/>
      </w:pPr>
      <w:r>
        <w:rPr/>
        <w:t>Checking budgetary provisions.</w:t>
      </w:r>
    </w:p>
    <w:p>
      <w:pPr>
        <w:numPr>
          <w:ilvl w:val="2"/>
          <w:numId w:val="90"/>
        </w:numPr>
        <w:spacing w:after="60"/>
      </w:pPr>
      <w:r>
        <w:rPr/>
        <w:t>Ensuring the loan is properly authorized by the designated authority.</w:t>
      </w:r>
    </w:p>
    <w:p>
      <w:pPr>
        <w:numPr>
          <w:ilvl w:val="2"/>
          <w:numId w:val="90"/>
        </w:numPr>
        <w:spacing w:after="60"/>
      </w:pPr>
      <w:r>
        <w:rPr/>
        <w:t>Confirming repayment capability.</w:t>
      </w:r>
    </w:p>
    <w:p>
      <w:pPr>
        <w:numPr>
          <w:ilvl w:val="1"/>
          <w:numId w:val="90"/>
        </w:numPr>
        <w:spacing w:after="60"/>
      </w:pPr>
      <w:r>
        <w:rPr/>
        <w:t>Loans shall only be approved once all necessary authorizations and documentation are verified.</w:t>
      </w:r>
    </w:p>
    <w:p>
      <w:pPr>
        <w:numPr>
          <w:ilvl w:val="0"/>
          <w:numId w:val="90"/>
        </w:numPr>
        <w:spacing w:after="60"/>
      </w:pPr>
      <w:r>
        <w:rPr/>
        <w:t>Fund Transfer</w:t>
      </w:r>
    </w:p>
    <w:p>
      <w:pPr>
        <w:numPr>
          <w:ilvl w:val="1"/>
          <w:numId w:val="90"/>
        </w:numPr>
        <w:spacing w:after="60"/>
      </w:pPr>
      <w:r>
        <w:rPr/>
        <w:t>Once the internal loan is approved, the Central Office of the HEI Association and University will arrange for the transfer of loan proceeds.</w:t>
      </w:r>
    </w:p>
    <w:p>
      <w:pPr>
        <w:numPr>
          <w:ilvl w:val="1"/>
          <w:numId w:val="90"/>
        </w:numPr>
        <w:spacing w:after="60"/>
      </w:pPr>
      <w:r>
        <w:rPr/>
        <w:t>Funds will be transferred only upon receipt of the approved loan application copies from the Treasurer’s Office.</w:t>
      </w:r>
    </w:p>
    <w:p>
      <w:pPr>
        <w:numPr>
          <w:ilvl w:val="1"/>
          <w:numId w:val="90"/>
        </w:numPr>
        <w:spacing w:after="60"/>
      </w:pPr>
      <w:r>
        <w:rPr/>
        <w:t>The transfer process will be recorded in both entities’ financial systems to maintain transparency and accountability.</w:t>
      </w:r>
    </w:p>
    <w:p>
      <w:pPr>
        <w:numPr>
          <w:ilvl w:val="0"/>
          <w:numId w:val="90"/>
        </w:numPr>
        <w:spacing w:after="60"/>
      </w:pPr>
      <w:r>
        <w:rPr/>
        <w:t>Accounting and Monitoring</w:t>
      </w:r>
    </w:p>
    <w:p>
      <w:pPr>
        <w:numPr>
          <w:ilvl w:val="1"/>
          <w:numId w:val="90"/>
        </w:numPr>
        <w:spacing w:after="60"/>
      </w:pPr>
      <w:r>
        <w:rPr/>
        <w:t>Internal loans will be recorded under “Internal Borrowings/Advances” in the books of accounts of both the lending and borrowing entity.</w:t>
      </w:r>
    </w:p>
    <w:p>
      <w:pPr>
        <w:numPr>
          <w:ilvl w:val="1"/>
          <w:numId w:val="90"/>
        </w:numPr>
        <w:spacing w:after="60"/>
      </w:pPr>
      <w:r>
        <w:rPr/>
        <w:t>The Treasurer’s Office will maintain a register of internal loans, including:</w:t>
      </w:r>
    </w:p>
    <w:p>
      <w:pPr>
        <w:numPr>
          <w:ilvl w:val="2"/>
          <w:numId w:val="90"/>
        </w:numPr>
        <w:spacing w:after="60"/>
      </w:pPr>
      <w:r>
        <w:rPr/>
        <w:t>Loan amount.</w:t>
      </w:r>
    </w:p>
    <w:p>
      <w:pPr>
        <w:numPr>
          <w:ilvl w:val="2"/>
          <w:numId w:val="90"/>
        </w:numPr>
        <w:spacing w:after="60"/>
      </w:pPr>
      <w:r>
        <w:rPr/>
        <w:t>Date of issue.</w:t>
      </w:r>
    </w:p>
    <w:p>
      <w:pPr>
        <w:numPr>
          <w:ilvl w:val="2"/>
          <w:numId w:val="90"/>
        </w:numPr>
        <w:spacing w:after="60"/>
      </w:pPr>
      <w:r>
        <w:rPr/>
        <w:t>Repayment terms.</w:t>
      </w:r>
    </w:p>
    <w:p>
      <w:pPr>
        <w:numPr>
          <w:ilvl w:val="2"/>
          <w:numId w:val="90"/>
        </w:numPr>
        <w:spacing w:after="60"/>
      </w:pPr>
      <w:r>
        <w:rPr/>
        <w:t>Outstanding balances.</w:t>
      </w:r>
    </w:p>
    <w:p>
      <w:pPr>
        <w:numPr>
          <w:ilvl w:val="1"/>
          <w:numId w:val="90"/>
        </w:numPr>
        <w:spacing w:after="60"/>
      </w:pPr>
      <w:r>
        <w:rPr/>
        <w:t>Regular monitoring will be undertaken to ensure timely repayment and to prevent overdue balances.</w:t>
      </w:r>
    </w:p>
    <w:p>
      <w:pPr>
        <w:numPr>
          <w:ilvl w:val="0"/>
          <w:numId w:val="90"/>
        </w:numPr>
        <w:spacing w:after="60"/>
      </w:pPr>
      <w:r>
        <w:rPr/>
        <w:t>Repayment Terms</w:t>
      </w:r>
    </w:p>
    <w:p>
      <w:pPr>
        <w:numPr>
          <w:ilvl w:val="1"/>
          <w:numId w:val="90"/>
        </w:numPr>
        <w:spacing w:after="60"/>
      </w:pPr>
      <w:r>
        <w:rPr/>
        <w:t>Repayments must follow the schedule defined in the approved loan documentation.</w:t>
      </w:r>
    </w:p>
    <w:p>
      <w:pPr>
        <w:numPr>
          <w:ilvl w:val="1"/>
          <w:numId w:val="90"/>
        </w:numPr>
        <w:spacing w:after="60"/>
      </w:pPr>
      <w:r>
        <w:rPr/>
        <w:t>The borrowing entity must ensure repayments are made within the agreed timelines.</w:t>
      </w:r>
    </w:p>
    <w:p>
      <w:pPr>
        <w:numPr>
          <w:ilvl w:val="1"/>
          <w:numId w:val="90"/>
        </w:numPr>
        <w:spacing w:after="60"/>
      </w:pPr>
      <w:r>
        <w:rPr/>
        <w:t>In case of default, corrective actions may be initiated, including adjustments against future allocations or funds due.</w:t>
      </w:r>
    </w:p>
    <w:p>
      <w:pPr>
        <w:pStyle w:val="Heading2"/>
      </w:pPr>
      <w:r>
        <w:rPr/>
        <w:t>Intra-Group Loan Template</w:t>
      </w:r>
    </w:p>
    <w:p>
      <w:r>
        <w:rPr/>
        <w:t>[LENDING COMPANY’S LETTERHEAD]</w:t>
      </w:r>
    </w:p>
    <w:p>
      <w:r>
        <w:rPr>
          <w:b/>
        </w:rPr>
        <w:t>Date:</w:t>
      </w:r>
      <w:r>
        <w:rPr/>
        <w:t xml:space="preserve"> ___ / ___ / ______</w:t>
      </w:r>
    </w:p>
    <w:p>
      <w:r>
        <w:rPr/>
        <w:t>To</w:t>
      </w:r>
    </w:p>
    <w:p>
      <w:r>
        <w:rPr/>
        <w:t>The Vice Chancellor</w:t>
      </w:r>
    </w:p>
    <w:p>
      <w:r>
        <w:rPr/>
        <w:t>[Name of University/Association]</w:t>
      </w:r>
    </w:p>
    <w:p>
      <w:r>
        <w:rPr/>
        <w:t>[Address]</w:t>
      </w:r>
    </w:p>
    <w:p>
      <w:r>
        <w:rPr>
          <w:b/>
        </w:rPr>
        <w:t>Subject:</w:t>
      </w:r>
      <w:r>
        <w:rPr/>
        <w:t xml:space="preserve"> Intra-Group Loan Facility</w:t>
      </w:r>
    </w:p>
    <w:p>
      <w:r>
        <w:rPr/>
        <w:t>Dear Sirs,</w:t>
      </w:r>
    </w:p>
    <w:p>
      <w:r>
        <w:rPr/>
        <w:t xml:space="preserve">We are pleased to advise you that [Name of Lending Entity] (hereinafter referred to as the </w:t>
      </w:r>
      <w:r>
        <w:rPr>
          <w:i/>
        </w:rPr>
        <w:t>“Lender”</w:t>
      </w:r>
      <w:r>
        <w:rPr/>
        <w:t xml:space="preserve">) is prepared to make a loan facility (the </w:t>
      </w:r>
      <w:r>
        <w:rPr>
          <w:i/>
        </w:rPr>
        <w:t>“Facility”</w:t>
      </w:r>
      <w:r>
        <w:rPr/>
        <w:t xml:space="preserve">) available to [Name of Borrowing Entity] (hereinafter referred to as the </w:t>
      </w:r>
      <w:r>
        <w:rPr>
          <w:i/>
        </w:rPr>
        <w:t>“Borrower”</w:t>
      </w:r>
      <w:r>
        <w:rPr/>
        <w:t>) under the following terms and conditions:</w:t>
      </w:r>
    </w:p>
    <w:p>
      <w:pPr>
        <w:tabs>
          <w:tab w:pos="425" w:val="left"/>
        </w:tabs>
        <w:spacing w:after="60"/>
        <w:ind w:left="425" w:hanging="425"/>
      </w:pPr>
      <w:r>
        <w:rPr/>
        <w:t>1.</w:t>
        <w:tab/>
        <w:t>Loan Amount</w:t>
      </w:r>
    </w:p>
    <w:p>
      <w:pPr>
        <w:numPr>
          <w:ilvl w:val="0"/>
          <w:numId w:val="90"/>
        </w:numPr>
        <w:spacing w:after="60"/>
      </w:pPr>
      <w:r>
        <w:rPr/>
        <w:t>The total loan facility shall be ₹[Amount in figures] (Rupees [Amount in words]).</w:t>
      </w:r>
    </w:p>
    <w:p>
      <w:pPr>
        <w:tabs>
          <w:tab w:pos="425" w:val="left"/>
        </w:tabs>
        <w:spacing w:after="60"/>
        <w:ind w:left="425" w:hanging="425"/>
      </w:pPr>
      <w:r>
        <w:rPr/>
        <w:t>2.</w:t>
        <w:tab/>
        <w:t>Purpose</w:t>
      </w:r>
    </w:p>
    <w:p>
      <w:pPr>
        <w:numPr>
          <w:ilvl w:val="0"/>
          <w:numId w:val="90"/>
        </w:numPr>
        <w:spacing w:after="60"/>
      </w:pPr>
      <w:r>
        <w:rPr/>
        <w:t>The loan shall be used exclusively for [specify purpose: e.g., infrastructure development, working capital, research project funding].</w:t>
      </w:r>
    </w:p>
    <w:p>
      <w:pPr>
        <w:tabs>
          <w:tab w:pos="425" w:val="left"/>
        </w:tabs>
        <w:spacing w:after="60"/>
        <w:ind w:left="425" w:hanging="425"/>
      </w:pPr>
      <w:r>
        <w:rPr/>
        <w:t>3.</w:t>
        <w:tab/>
        <w:t>Tenure</w:t>
      </w:r>
    </w:p>
    <w:p>
      <w:pPr>
        <w:numPr>
          <w:ilvl w:val="0"/>
          <w:numId w:val="90"/>
        </w:numPr>
        <w:spacing w:after="60"/>
      </w:pPr>
      <w:r>
        <w:rPr/>
        <w:t>The facility will be available for a period of [X months/years] commencing from the date of disbursement.</w:t>
      </w:r>
    </w:p>
    <w:p>
      <w:pPr>
        <w:tabs>
          <w:tab w:pos="425" w:val="left"/>
        </w:tabs>
        <w:spacing w:after="60"/>
        <w:ind w:left="425" w:hanging="425"/>
      </w:pPr>
      <w:r>
        <w:rPr/>
        <w:t>4.</w:t>
        <w:tab/>
        <w:t>Interest Rate</w:t>
      </w:r>
    </w:p>
    <w:p>
      <w:pPr>
        <w:numPr>
          <w:ilvl w:val="0"/>
          <w:numId w:val="90"/>
        </w:numPr>
        <w:spacing w:after="60"/>
      </w:pPr>
      <w:r>
        <w:rPr/>
        <w:t>The loan shall carry an interest rate of [X% per annum / interest-free if applicable], payable on a [monthly/quarterly/annual] basis.</w:t>
      </w:r>
    </w:p>
    <w:p>
      <w:pPr>
        <w:tabs>
          <w:tab w:pos="425" w:val="left"/>
        </w:tabs>
        <w:spacing w:after="60"/>
        <w:ind w:left="425" w:hanging="425"/>
      </w:pPr>
      <w:r>
        <w:rPr/>
        <w:t>5.</w:t>
        <w:tab/>
        <w:t>Repayment Terms</w:t>
      </w:r>
    </w:p>
    <w:p>
      <w:pPr>
        <w:numPr>
          <w:ilvl w:val="0"/>
          <w:numId w:val="90"/>
        </w:numPr>
        <w:spacing w:after="60"/>
      </w:pPr>
      <w:r>
        <w:rPr/>
        <w:t>Repayment of the principal shall be made in [equal instalments / bullet repayment at maturity].</w:t>
      </w:r>
    </w:p>
    <w:p>
      <w:pPr>
        <w:numPr>
          <w:ilvl w:val="0"/>
          <w:numId w:val="90"/>
        </w:numPr>
        <w:spacing w:after="60"/>
      </w:pPr>
      <w:r>
        <w:rPr/>
        <w:t>The repayment schedule will be attached as Annexure-A.</w:t>
      </w:r>
    </w:p>
    <w:p>
      <w:pPr>
        <w:tabs>
          <w:tab w:pos="425" w:val="left"/>
        </w:tabs>
        <w:spacing w:after="60"/>
        <w:ind w:left="425" w:hanging="425"/>
      </w:pPr>
      <w:r>
        <w:rPr/>
        <w:t>6.</w:t>
        <w:tab/>
        <w:t>Security (if applicable)</w:t>
      </w:r>
    </w:p>
    <w:p>
      <w:pPr>
        <w:numPr>
          <w:ilvl w:val="0"/>
          <w:numId w:val="90"/>
        </w:numPr>
        <w:spacing w:after="60"/>
      </w:pPr>
      <w:r>
        <w:rPr/>
        <w:t>The loan shall be [secured/unsecured].</w:t>
      </w:r>
    </w:p>
    <w:p>
      <w:pPr>
        <w:numPr>
          <w:ilvl w:val="0"/>
          <w:numId w:val="90"/>
        </w:numPr>
        <w:spacing w:after="60"/>
      </w:pPr>
      <w:r>
        <w:rPr/>
        <w:t>If secured, details of the security provided by the Borrower shall be specified in Annexure-B.</w:t>
      </w:r>
    </w:p>
    <w:p>
      <w:pPr>
        <w:tabs>
          <w:tab w:pos="425" w:val="left"/>
        </w:tabs>
        <w:spacing w:after="60"/>
        <w:ind w:left="425" w:hanging="425"/>
      </w:pPr>
      <w:r>
        <w:rPr/>
        <w:t>7.</w:t>
        <w:tab/>
        <w:t>Documentation</w:t>
      </w:r>
    </w:p>
    <w:p>
      <w:pPr>
        <w:numPr>
          <w:ilvl w:val="0"/>
          <w:numId w:val="90"/>
        </w:numPr>
        <w:spacing w:after="60"/>
      </w:pPr>
      <w:r>
        <w:rPr/>
        <w:t>The Borrower shall execute an acknowledgment of debt and repayment undertaking.</w:t>
      </w:r>
    </w:p>
    <w:p>
      <w:pPr>
        <w:numPr>
          <w:ilvl w:val="0"/>
          <w:numId w:val="90"/>
        </w:numPr>
        <w:spacing w:after="60"/>
      </w:pPr>
      <w:r>
        <w:rPr/>
        <w:t>All documentation must be signed by authorized representatives of both entities.</w:t>
      </w:r>
    </w:p>
    <w:p>
      <w:pPr>
        <w:tabs>
          <w:tab w:pos="425" w:val="left"/>
        </w:tabs>
        <w:spacing w:after="60"/>
        <w:ind w:left="425" w:hanging="425"/>
      </w:pPr>
      <w:r>
        <w:rPr/>
        <w:t>8.</w:t>
        <w:tab/>
        <w:t>Disbursement</w:t>
      </w:r>
    </w:p>
    <w:p>
      <w:pPr>
        <w:numPr>
          <w:ilvl w:val="0"/>
          <w:numId w:val="90"/>
        </w:numPr>
        <w:spacing w:after="60"/>
      </w:pPr>
      <w:r>
        <w:rPr/>
        <w:t>The Facility shall be disbursed by direct bank transfer to the Borrower’s designated account upon completion of formalities and receipt of approvals.</w:t>
      </w:r>
    </w:p>
    <w:p>
      <w:pPr>
        <w:tabs>
          <w:tab w:pos="425" w:val="left"/>
        </w:tabs>
        <w:spacing w:after="60"/>
        <w:ind w:left="425" w:hanging="425"/>
      </w:pPr>
      <w:r>
        <w:rPr/>
        <w:t>9.</w:t>
        <w:tab/>
        <w:t>Governing Approval</w:t>
      </w:r>
    </w:p>
    <w:p>
      <w:pPr>
        <w:numPr>
          <w:ilvl w:val="0"/>
          <w:numId w:val="90"/>
        </w:numPr>
        <w:spacing w:after="60"/>
      </w:pPr>
      <w:r>
        <w:rPr/>
        <w:t>The Facility is subject to approval by the Governing Bodies of both the Association and the University, in accordance with financial policies and statutory regulations.</w:t>
      </w:r>
    </w:p>
    <w:p>
      <w:pPr>
        <w:tabs>
          <w:tab w:pos="425" w:val="left"/>
        </w:tabs>
        <w:spacing w:after="60"/>
        <w:ind w:left="425" w:hanging="425"/>
      </w:pPr>
      <w:r>
        <w:rPr/>
        <w:t>10.</w:t>
        <w:tab/>
        <w:t>Default &amp; Remedies</w:t>
      </w:r>
    </w:p>
    <w:p>
      <w:pPr>
        <w:numPr>
          <w:ilvl w:val="0"/>
          <w:numId w:val="90"/>
        </w:numPr>
        <w:spacing w:after="60"/>
      </w:pPr>
      <w:r>
        <w:rPr/>
        <w:t>In case of delay or default in repayment, the Lender reserves the right to:</w:t>
      </w:r>
    </w:p>
    <w:p>
      <w:pPr>
        <w:numPr>
          <w:ilvl w:val="1"/>
          <w:numId w:val="90"/>
        </w:numPr>
        <w:spacing w:after="60"/>
      </w:pPr>
      <w:r>
        <w:rPr/>
        <w:t>Adjust the outstanding dues against future allocations.</w:t>
      </w:r>
    </w:p>
    <w:p>
      <w:pPr>
        <w:numPr>
          <w:ilvl w:val="1"/>
          <w:numId w:val="90"/>
        </w:numPr>
        <w:spacing w:after="60"/>
      </w:pPr>
      <w:r>
        <w:rPr/>
        <w:t>Charge additional interest/penalty as determined by the Governing Body.</w:t>
      </w:r>
    </w:p>
    <w:p>
      <w:pPr>
        <w:numPr>
          <w:ilvl w:val="1"/>
          <w:numId w:val="90"/>
        </w:numPr>
        <w:spacing w:after="60"/>
      </w:pPr>
      <w:r>
        <w:rPr/>
        <w:t>Initiate corrective action in line with institutional and statutory provisions.</w:t>
      </w:r>
    </w:p>
    <w:p>
      <w:r>
        <w:rPr/>
        <w:t>We trust that the above terms are acceptable to you. Kindly confirm your acceptance by signing and returning a duplicate of this letter.</w:t>
      </w:r>
    </w:p>
    <w:p>
      <w:r>
        <w:rPr/>
        <w:t>Yours faithfully,</w:t>
      </w:r>
    </w:p>
    <w:p>
      <w:r>
        <w:rPr/>
        <w:t>For [Lending Entity]</w:t>
      </w:r>
    </w:p>
    <w:p>
      <w:r>
        <w:rPr/>
        <w:t>Authorized Signatory</w:t>
      </w:r>
    </w:p>
    <w:p>
      <w:r>
        <w:rPr/>
        <w:t>(Name, Designation, Seal)</w:t>
      </w:r>
    </w:p>
    <w:p>
      <w:r>
        <w:rPr/>
        <w:t>Acknowledged and Accepted by [Borrower]</w:t>
      </w:r>
    </w:p>
    <w:p>
      <w:r>
        <w:rPr/>
        <w:t>Authorized Signatory</w:t>
      </w:r>
    </w:p>
    <w:p>
      <w:r>
        <w:rPr/>
        <w:t>(Name, Designation, Seal)</w:t>
      </w:r>
    </w:p>
    <w:p>
      <w:pPr>
        <w:pStyle w:val="Heading2"/>
      </w:pPr>
      <w:r>
        <w:rPr/>
        <w:t>Facility Amount</w:t>
      </w:r>
    </w:p>
    <w:p>
      <w:pPr>
        <w:numPr>
          <w:ilvl w:val="0"/>
          <w:numId w:val="90"/>
        </w:numPr>
        <w:spacing w:after="60"/>
      </w:pPr>
      <w:r>
        <w:rPr/>
        <w:t>The Facility Amount shall be up to ₹ __________ (Rupees __________ only).</w:t>
      </w:r>
    </w:p>
    <w:p>
      <w:pPr>
        <w:numPr>
          <w:ilvl w:val="0"/>
          <w:numId w:val="90"/>
        </w:numPr>
        <w:spacing w:after="60"/>
      </w:pPr>
      <w:r>
        <w:rPr/>
        <w:t>The exact amount to be disbursed will depend on the approved request submitted by the Borrower and vetted by the Treasurer’s Office.</w:t>
      </w:r>
    </w:p>
    <w:p>
      <w:pPr>
        <w:numPr>
          <w:ilvl w:val="0"/>
          <w:numId w:val="90"/>
        </w:numPr>
        <w:spacing w:after="60"/>
      </w:pPr>
      <w:r>
        <w:rPr/>
        <w:t>Disbursement shall not exceed the sanctioned limit approved by the Governing Body / Finance Committee.</w:t>
      </w:r>
    </w:p>
    <w:p>
      <w:pPr>
        <w:numPr>
          <w:ilvl w:val="0"/>
          <w:numId w:val="90"/>
        </w:numPr>
        <w:spacing w:after="60"/>
      </w:pPr>
      <w:r>
        <w:rPr/>
        <w:t>Any request to revise or increase the facility amount beyond the sanctioned limit will require:</w:t>
      </w:r>
    </w:p>
    <w:p>
      <w:pPr>
        <w:tabs>
          <w:tab w:pos="935" w:val="left"/>
        </w:tabs>
        <w:spacing w:after="60"/>
        <w:ind w:left="935" w:hanging="425"/>
      </w:pPr>
      <w:r>
        <w:rPr/>
        <w:t>1.</w:t>
        <w:tab/>
        <w:t>A fresh loan application.</w:t>
      </w:r>
    </w:p>
    <w:p>
      <w:pPr>
        <w:tabs>
          <w:tab w:pos="935" w:val="left"/>
        </w:tabs>
        <w:spacing w:after="60"/>
        <w:ind w:left="935" w:hanging="425"/>
      </w:pPr>
      <w:r>
        <w:rPr/>
        <w:t>2.</w:t>
        <w:tab/>
        <w:t>Justification of need (purpose, utilization, repayment capacity).</w:t>
      </w:r>
    </w:p>
    <w:p>
      <w:pPr>
        <w:tabs>
          <w:tab w:pos="935" w:val="left"/>
        </w:tabs>
        <w:spacing w:after="60"/>
        <w:ind w:left="935" w:hanging="425"/>
      </w:pPr>
      <w:r>
        <w:rPr/>
        <w:t>3.</w:t>
        <w:tab/>
        <w:t>Approval from both the Lender’s Governing Authority and the Borrower’s Governing Authority.</w:t>
      </w:r>
    </w:p>
    <w:p>
      <w:pPr>
        <w:pStyle w:val="Heading2"/>
      </w:pPr>
      <w:r>
        <w:rPr/>
        <w:t>Availability</w:t>
      </w:r>
    </w:p>
    <w:p>
      <w:pPr>
        <w:numPr>
          <w:ilvl w:val="0"/>
          <w:numId w:val="90"/>
        </w:numPr>
        <w:spacing w:after="60"/>
      </w:pPr>
      <w:r>
        <w:rPr/>
        <w:t>The Facility shall operate as a revolving line of credit, meaning the Borrower may draw, repay, and redraw funds within the sanctioned limit, subject to the terms of this agreement.</w:t>
      </w:r>
    </w:p>
    <w:p>
      <w:pPr>
        <w:numPr>
          <w:ilvl w:val="0"/>
          <w:numId w:val="90"/>
        </w:numPr>
        <w:spacing w:after="60"/>
      </w:pPr>
      <w:r>
        <w:rPr/>
        <w:t>The Facility will remain available at the Lender’s sole discretion from time to time until a formal notice of withdrawal is issued.</w:t>
      </w:r>
    </w:p>
    <w:p>
      <w:pPr>
        <w:numPr>
          <w:ilvl w:val="0"/>
          <w:numId w:val="90"/>
        </w:numPr>
        <w:spacing w:after="60"/>
      </w:pPr>
      <w:r>
        <w:rPr/>
        <w:t>Upon issuance of such notice, no further drawings will be permitted, but the Borrower will remain obligated to settle all outstanding amounts already drawn.</w:t>
      </w:r>
    </w:p>
    <w:p>
      <w:pPr>
        <w:numPr>
          <w:ilvl w:val="0"/>
          <w:numId w:val="90"/>
        </w:numPr>
        <w:spacing w:after="60"/>
      </w:pPr>
      <w:r>
        <w:rPr/>
        <w:t>The last date for any new drawing shall be [insert date], unless an earlier notice of withdrawal is communicated by the Lender.</w:t>
      </w:r>
    </w:p>
    <w:p>
      <w:pPr>
        <w:numPr>
          <w:ilvl w:val="0"/>
          <w:numId w:val="90"/>
        </w:numPr>
        <w:spacing w:after="60"/>
      </w:pPr>
      <w:r>
        <w:rPr/>
        <w:t>All amounts drawn under this Facility, together with the interest accrued thereon, shall be repayable in full no later than [insert final repayment date], regardless of whether the withdrawal notice has been given earlier.</w:t>
      </w:r>
    </w:p>
    <w:p>
      <w:pPr>
        <w:numPr>
          <w:ilvl w:val="0"/>
          <w:numId w:val="90"/>
        </w:numPr>
        <w:spacing w:after="60"/>
      </w:pPr>
      <w:r>
        <w:rPr/>
        <w:t>Any unpaid balance beyond the stipulated repayment date will be considered overdue and will attract default interest/penalty charges as determined by the Governing Body of the Lender.</w:t>
      </w:r>
    </w:p>
    <w:p>
      <w:pPr>
        <w:numPr>
          <w:ilvl w:val="0"/>
          <w:numId w:val="90"/>
        </w:numPr>
        <w:spacing w:after="60"/>
      </w:pPr>
      <w:r>
        <w:rPr/>
        <w:t>The Borrower must ensure timely repayments in accordance with the agreed schedule to retain continued access to the revolving facility.</w:t>
      </w:r>
    </w:p>
    <w:p>
      <w:pPr>
        <w:pStyle w:val="Heading2"/>
      </w:pPr>
      <w:r>
        <w:rPr/>
        <w:t>Drawings</w:t>
      </w:r>
    </w:p>
    <w:p>
      <w:pPr>
        <w:numPr>
          <w:ilvl w:val="0"/>
          <w:numId w:val="90"/>
        </w:numPr>
        <w:spacing w:after="60"/>
      </w:pPr>
      <w:r>
        <w:rPr/>
        <w:t>Fixture Periods</w:t>
      </w:r>
    </w:p>
    <w:p>
      <w:pPr>
        <w:numPr>
          <w:ilvl w:val="1"/>
          <w:numId w:val="90"/>
        </w:numPr>
        <w:spacing w:after="60"/>
      </w:pPr>
      <w:r>
        <w:rPr/>
        <w:t xml:space="preserve">Drawings under the Facility may be made for fixed periods (each a </w:t>
      </w:r>
      <w:r>
        <w:rPr>
          <w:i/>
        </w:rPr>
        <w:t>“Fixture Period”</w:t>
      </w:r>
      <w:r>
        <w:rPr/>
        <w:t>) of up to [] days ( days).</w:t>
      </w:r>
    </w:p>
    <w:p>
      <w:pPr>
        <w:numPr>
          <w:ilvl w:val="1"/>
          <w:numId w:val="90"/>
        </w:numPr>
        <w:spacing w:after="60"/>
      </w:pPr>
      <w:r>
        <w:rPr/>
        <w:t>The minimum amount of any drawing shall be ₹[] (Rupees [ only]).</w:t>
      </w:r>
    </w:p>
    <w:p>
      <w:pPr>
        <w:numPr>
          <w:ilvl w:val="1"/>
          <w:numId w:val="90"/>
        </w:numPr>
        <w:spacing w:after="60"/>
      </w:pPr>
      <w:r>
        <w:rPr/>
        <w:t>Each drawing will be documented with a formal request by the Borrower and confirmation by the Lender.</w:t>
      </w:r>
    </w:p>
    <w:p>
      <w:pPr>
        <w:numPr>
          <w:ilvl w:val="0"/>
          <w:numId w:val="90"/>
        </w:numPr>
        <w:spacing w:after="60"/>
      </w:pPr>
      <w:r>
        <w:rPr/>
        <w:t>Repayment of Drawings</w:t>
      </w:r>
    </w:p>
    <w:p>
      <w:pPr>
        <w:numPr>
          <w:ilvl w:val="1"/>
          <w:numId w:val="90"/>
        </w:numPr>
        <w:spacing w:after="60"/>
      </w:pPr>
      <w:r>
        <w:rPr/>
        <w:t>Unless renewed, repayment of each drawing shall be made on the last day of the relevant Fixture Period.</w:t>
      </w:r>
    </w:p>
    <w:p>
      <w:pPr>
        <w:numPr>
          <w:ilvl w:val="1"/>
          <w:numId w:val="90"/>
        </w:numPr>
        <w:spacing w:after="60"/>
      </w:pPr>
      <w:r>
        <w:rPr/>
        <w:t>Repayment shall include the principal amount together with interest accrued thereon in accordance Interest.</w:t>
      </w:r>
    </w:p>
    <w:p>
      <w:pPr>
        <w:numPr>
          <w:ilvl w:val="1"/>
          <w:numId w:val="90"/>
        </w:numPr>
        <w:spacing w:after="60"/>
      </w:pPr>
      <w:r>
        <w:rPr/>
        <w:t xml:space="preserve">If the last day of the Fixture Period falls on a day when banks in [insert city/country] are not open for business (a </w:t>
      </w:r>
      <w:r>
        <w:rPr>
          <w:i/>
        </w:rPr>
        <w:t>“Business Day”</w:t>
      </w:r>
      <w:r>
        <w:rPr/>
        <w:t>), then repayment shall be made on the immediately preceding Business Day.</w:t>
      </w:r>
    </w:p>
    <w:p>
      <w:pPr>
        <w:numPr>
          <w:ilvl w:val="0"/>
          <w:numId w:val="90"/>
        </w:numPr>
        <w:spacing w:after="60"/>
      </w:pPr>
      <w:r>
        <w:rPr/>
        <w:t>Automatic Renewal</w:t>
      </w:r>
    </w:p>
    <w:p>
      <w:pPr>
        <w:numPr>
          <w:ilvl w:val="1"/>
          <w:numId w:val="90"/>
        </w:numPr>
        <w:spacing w:after="60"/>
      </w:pPr>
      <w:r>
        <w:rPr/>
        <w:t>Each drawing will automatically be renewed for a further Fixture Period, subject to mutual agreement between the Borrower and the Lender.</w:t>
      </w:r>
    </w:p>
    <w:p>
      <w:pPr>
        <w:numPr>
          <w:ilvl w:val="1"/>
          <w:numId w:val="90"/>
        </w:numPr>
        <w:spacing w:after="60"/>
      </w:pPr>
      <w:r>
        <w:rPr/>
        <w:t>Renewal will occur unless:</w:t>
      </w:r>
    </w:p>
    <w:p>
      <w:pPr>
        <w:tabs>
          <w:tab w:pos="1361" w:val="left"/>
        </w:tabs>
        <w:spacing w:after="60"/>
        <w:ind w:left="1361" w:hanging="425"/>
      </w:pPr>
      <w:r>
        <w:rPr/>
        <w:t>1.</w:t>
        <w:tab/>
        <w:t>The Borrower repays the outstanding drawing; or</w:t>
      </w:r>
    </w:p>
    <w:p>
      <w:pPr>
        <w:tabs>
          <w:tab w:pos="1361" w:val="left"/>
        </w:tabs>
        <w:spacing w:after="60"/>
        <w:ind w:left="1361" w:hanging="425"/>
      </w:pPr>
      <w:r>
        <w:rPr/>
        <w:t>2.</w:t>
        <w:tab/>
        <w:t>The Lender issues a notice requiring repayment.</w:t>
      </w:r>
    </w:p>
    <w:p>
      <w:pPr>
        <w:numPr>
          <w:ilvl w:val="1"/>
          <w:numId w:val="90"/>
        </w:numPr>
        <w:spacing w:after="60"/>
      </w:pPr>
      <w:r>
        <w:rPr/>
        <w:t>Such repayment or notice must be made on or before the last day of the relevant Fixture Period (or the immediately preceding Business Day, as applicable).</w:t>
      </w:r>
    </w:p>
    <w:p>
      <w:pPr>
        <w:numPr>
          <w:ilvl w:val="0"/>
          <w:numId w:val="90"/>
        </w:numPr>
        <w:spacing w:after="60"/>
      </w:pPr>
      <w:r>
        <w:rPr/>
        <w:t>Interest Obligations</w:t>
      </w:r>
    </w:p>
    <w:p>
      <w:pPr>
        <w:numPr>
          <w:ilvl w:val="1"/>
          <w:numId w:val="90"/>
        </w:numPr>
        <w:spacing w:after="60"/>
      </w:pPr>
      <w:r>
        <w:rPr/>
        <w:t>Interest will continue to accrue and be payable in accordance with Paragraph 5 on all drawings, whether renewed or repaid.</w:t>
      </w:r>
    </w:p>
    <w:p>
      <w:pPr>
        <w:numPr>
          <w:ilvl w:val="1"/>
          <w:numId w:val="90"/>
        </w:numPr>
        <w:spacing w:after="60"/>
      </w:pPr>
      <w:r>
        <w:rPr/>
        <w:t>Interest obligations remain binding on the Borrower notwithstanding renewal or extension of Fixture Periods.</w:t>
      </w:r>
    </w:p>
    <w:p>
      <w:pPr>
        <w:pStyle w:val="Heading2"/>
      </w:pPr>
      <w:r>
        <w:rPr/>
        <w:t>Interest</w:t>
      </w:r>
    </w:p>
    <w:p>
      <w:pPr>
        <w:numPr>
          <w:ilvl w:val="0"/>
          <w:numId w:val="90"/>
        </w:numPr>
        <w:spacing w:after="60"/>
      </w:pPr>
      <w:r>
        <w:rPr/>
        <w:t>No interest shall be charged on drawings or borrowings between the HEI Association and the University under this Facility.</w:t>
      </w:r>
    </w:p>
    <w:p>
      <w:pPr>
        <w:numPr>
          <w:ilvl w:val="0"/>
          <w:numId w:val="90"/>
        </w:numPr>
        <w:spacing w:after="60"/>
      </w:pPr>
      <w:r>
        <w:rPr/>
        <w:t>The loan is extended on an interest-free basis in recognition of the shared objectives and collaborative relationship between the two entities.</w:t>
      </w:r>
    </w:p>
    <w:p>
      <w:pPr>
        <w:numPr>
          <w:ilvl w:val="0"/>
          <w:numId w:val="90"/>
        </w:numPr>
        <w:spacing w:after="60"/>
      </w:pPr>
      <w:r>
        <w:rPr/>
        <w:t>Notwithstanding the above, both parties agree that:</w:t>
      </w:r>
    </w:p>
    <w:p>
      <w:pPr>
        <w:numPr>
          <w:ilvl w:val="1"/>
          <w:numId w:val="90"/>
        </w:numPr>
        <w:spacing w:after="60"/>
      </w:pPr>
      <w:r>
        <w:rPr/>
        <w:t>Repayment obligations on principal shall remain binding and enforceable in accordance with the terms of this Agreement.</w:t>
      </w:r>
    </w:p>
    <w:p>
      <w:pPr>
        <w:numPr>
          <w:ilvl w:val="1"/>
          <w:numId w:val="90"/>
        </w:numPr>
        <w:spacing w:after="60"/>
      </w:pPr>
      <w:r>
        <w:rPr/>
        <w:t>Any delay or default in repayment may still attract administrative measures (e.g., payroll recovery, budgetary adjustments, or set-off against future allocations) as determined by the Governing Body.</w:t>
      </w:r>
    </w:p>
    <w:p>
      <w:pPr>
        <w:numPr>
          <w:ilvl w:val="1"/>
          <w:numId w:val="90"/>
        </w:numPr>
        <w:spacing w:after="60"/>
      </w:pPr>
      <w:r>
        <w:rPr/>
        <w:t>For accounting and audit purposes, such internal borrowings shall be recorded as interest-free intra-group loans in the books of accounts of both the lending and borrowing entity.</w:t>
      </w:r>
    </w:p>
    <w:p>
      <w:pPr>
        <w:numPr>
          <w:ilvl w:val="0"/>
          <w:numId w:val="90"/>
        </w:numPr>
        <w:spacing w:after="60"/>
      </w:pPr>
      <w:r>
        <w:rPr/>
        <w:t>This arrangement ensures that resource sharing within the group prioritizes financial sustainability, institutional support, and long-term collaboration, without creating additional cost burdens through interest charges.</w:t>
      </w:r>
    </w:p>
    <w:p>
      <w:pPr>
        <w:pStyle w:val="Heading2"/>
      </w:pPr>
      <w:r>
        <w:rPr/>
        <w:t>Payments</w:t>
      </w:r>
    </w:p>
    <w:p>
      <w:pPr>
        <w:numPr>
          <w:ilvl w:val="0"/>
          <w:numId w:val="90"/>
        </w:numPr>
        <w:spacing w:after="60"/>
      </w:pPr>
      <w:r>
        <w:rPr/>
        <w:t>All payments due from the Borrower to the Lender under this Facility shall be made in Indian Rupees (INR) or such other currency as may be mutually agreed in writing by both parties.</w:t>
      </w:r>
    </w:p>
    <w:p>
      <w:pPr>
        <w:numPr>
          <w:ilvl w:val="0"/>
          <w:numId w:val="90"/>
        </w:numPr>
        <w:spacing w:after="60"/>
      </w:pPr>
      <w:r>
        <w:rPr/>
        <w:t>Payments shall be made by way of electronic transfer (NEFT/RTGS/Bank Transfer) to the designated bank account of the Lender, the details of which shall be provided in writing at the time of execution of this Agreement.</w:t>
      </w:r>
    </w:p>
    <w:p>
      <w:pPr>
        <w:numPr>
          <w:ilvl w:val="0"/>
          <w:numId w:val="90"/>
        </w:numPr>
        <w:spacing w:after="60"/>
      </w:pPr>
      <w:r>
        <w:rPr/>
        <w:t>Payments shall be made in full, without set-off, counterclaim, or deduction, except for statutory deductions (if any) mandated by applicable laws.</w:t>
      </w:r>
    </w:p>
    <w:p>
      <w:pPr>
        <w:numPr>
          <w:ilvl w:val="0"/>
          <w:numId w:val="90"/>
        </w:numPr>
        <w:spacing w:after="60"/>
      </w:pPr>
      <w:r>
        <w:rPr/>
        <w:t>The effective date of payment shall be the date on which cleared funds are received in the Lender’s designated bank account.</w:t>
      </w:r>
    </w:p>
    <w:p>
      <w:pPr>
        <w:numPr>
          <w:ilvl w:val="0"/>
          <w:numId w:val="90"/>
        </w:numPr>
        <w:spacing w:after="60"/>
      </w:pPr>
      <w:r>
        <w:rPr/>
        <w:t>If any payment is due on a day that is not a Business Day, payment shall be made on the immediately preceding Business Day.</w:t>
      </w:r>
    </w:p>
    <w:p>
      <w:pPr>
        <w:numPr>
          <w:ilvl w:val="0"/>
          <w:numId w:val="90"/>
        </w:numPr>
        <w:spacing w:after="60"/>
      </w:pPr>
      <w:r>
        <w:rPr/>
        <w:t>In case of any delay in payment, the Borrower shall notify the Lender in writing, stating reasons for the delay and a revised timeline for settlement.</w:t>
      </w:r>
    </w:p>
    <w:p>
      <w:pPr>
        <w:numPr>
          <w:ilvl w:val="0"/>
          <w:numId w:val="90"/>
        </w:numPr>
        <w:spacing w:after="60"/>
      </w:pPr>
      <w:r>
        <w:rPr/>
        <w:t>Both entities agree that such payments will be recorded in their respective books of accounts as intra-group loan transactions, ensuring compliance with statutory, audit, and reporting requirements.</w:t>
      </w:r>
    </w:p>
    <w:p>
      <w:pPr>
        <w:pStyle w:val="Heading2"/>
      </w:pPr>
      <w:r>
        <w:rPr/>
        <w:t>Overriding Events</w:t>
      </w:r>
    </w:p>
    <w:p>
      <w:pPr>
        <w:numPr>
          <w:ilvl w:val="0"/>
          <w:numId w:val="90"/>
        </w:numPr>
        <w:spacing w:after="60"/>
      </w:pPr>
      <w:r>
        <w:rPr/>
        <w:t>In the event that any new law, regulation, directive, or guideline is introduced, or if there is any change in the interpretation or enforcement of an existing law by a competent authority:</w:t>
      </w:r>
    </w:p>
    <w:p>
      <w:pPr>
        <w:numPr>
          <w:ilvl w:val="1"/>
          <w:numId w:val="90"/>
        </w:numPr>
        <w:spacing w:after="60"/>
      </w:pPr>
      <w:r>
        <w:rPr/>
        <w:t>If such change results in an increase in the cost incurred by the Lender in making or maintaining amounts available under this Facility, or</w:t>
      </w:r>
    </w:p>
    <w:p>
      <w:pPr>
        <w:numPr>
          <w:ilvl w:val="1"/>
          <w:numId w:val="90"/>
        </w:numPr>
        <w:spacing w:after="60"/>
      </w:pPr>
      <w:r>
        <w:rPr/>
        <w:t>If it leads to a reduction in the amount of any payment (principal, interest, or any other monies) receivable by the Lender,</w:t>
      </w:r>
    </w:p>
    <w:p>
      <w:r>
        <w:rPr/>
        <w:t>then the Borrower shall be liable to compensate the Lender for the additional costs or reductions incurred as a direct consequence of such change.</w:t>
      </w:r>
    </w:p>
    <w:p>
      <w:pPr>
        <w:numPr>
          <w:ilvl w:val="0"/>
          <w:numId w:val="90"/>
        </w:numPr>
        <w:spacing w:after="60"/>
      </w:pPr>
      <w:r>
        <w:rPr/>
        <w:t>Any such additional payment will:</w:t>
      </w:r>
    </w:p>
    <w:p>
      <w:pPr>
        <w:numPr>
          <w:ilvl w:val="1"/>
          <w:numId w:val="90"/>
        </w:numPr>
        <w:spacing w:after="60"/>
      </w:pPr>
      <w:r>
        <w:rPr/>
        <w:t>Be calculated by the Lender, based on the actual incremental costs or reductions suffered.</w:t>
      </w:r>
    </w:p>
    <w:p>
      <w:pPr>
        <w:numPr>
          <w:ilvl w:val="1"/>
          <w:numId w:val="90"/>
        </w:numPr>
        <w:spacing w:after="60"/>
      </w:pPr>
      <w:r>
        <w:rPr/>
        <w:t>Be effective from the date on which the new law or directive comes into force or the interpretation/change becomes applicable.</w:t>
      </w:r>
    </w:p>
    <w:p>
      <w:pPr>
        <w:numPr>
          <w:ilvl w:val="1"/>
          <w:numId w:val="90"/>
        </w:numPr>
        <w:spacing w:after="60"/>
      </w:pPr>
      <w:r>
        <w:rPr/>
        <w:t>Be supported with documentation or evidence, if required, for audit and record purposes.</w:t>
      </w:r>
    </w:p>
    <w:p>
      <w:pPr>
        <w:numPr>
          <w:ilvl w:val="0"/>
          <w:numId w:val="90"/>
        </w:numPr>
        <w:spacing w:after="60"/>
      </w:pPr>
      <w:r>
        <w:rPr/>
        <w:t>The Borrower undertakes to make such compensatory payments within the agreed timelines so that the Lender is kept whole and does not suffer financial disadvantage due to regulatory changes.</w:t>
      </w:r>
    </w:p>
    <w:p>
      <w:pPr>
        <w:numPr>
          <w:ilvl w:val="0"/>
          <w:numId w:val="90"/>
        </w:numPr>
        <w:spacing w:after="60"/>
      </w:pPr>
      <w:r>
        <w:rPr/>
        <w:t>This clause ensures that the financial equilibrium of the arrangement is maintained, notwithstanding changes in legal or regulatory environments that are beyond the control of either party.</w:t>
      </w:r>
    </w:p>
    <w:p>
      <w:pPr>
        <w:pStyle w:val="Heading2"/>
      </w:pPr>
      <w:r>
        <w:rPr/>
        <w:t>Default</w:t>
      </w:r>
    </w:p>
    <w:p>
      <w:r>
        <w:rPr/>
        <w:t>The Lender reserves the right to terminate this Facility or any specific drawings made hereunder if the Borrower fails to comply with the obligations of this Agreement. Upon termination, all outstanding drawings (or those specifically terminated) shall become immediately due and repayable, together with any accrued interest, in the following circumstances:</w:t>
      </w:r>
    </w:p>
    <w:p>
      <w:pPr>
        <w:tabs>
          <w:tab w:pos="425" w:val="left"/>
        </w:tabs>
        <w:spacing w:after="60"/>
        <w:ind w:left="425" w:hanging="425"/>
      </w:pPr>
      <w:r>
        <w:rPr/>
        <w:t>a.</w:t>
        <w:tab/>
        <w:t>Payment Defaults</w:t>
      </w:r>
    </w:p>
    <w:p>
      <w:pPr>
        <w:numPr>
          <w:ilvl w:val="0"/>
          <w:numId w:val="90"/>
        </w:numPr>
        <w:spacing w:after="60"/>
      </w:pPr>
      <w:r>
        <w:rPr/>
        <w:t>If the Borrower fails to make any payment required under this Facility on the due date.</w:t>
      </w:r>
    </w:p>
    <w:p>
      <w:pPr>
        <w:numPr>
          <w:ilvl w:val="0"/>
          <w:numId w:val="90"/>
        </w:numPr>
        <w:spacing w:after="60"/>
      </w:pPr>
      <w:r>
        <w:rPr/>
        <w:t>If the Borrower defaults on any repayment obligation under any other loan or credit facility granted by the Lender.</w:t>
      </w:r>
    </w:p>
    <w:p>
      <w:pPr>
        <w:tabs>
          <w:tab w:pos="425" w:val="left"/>
        </w:tabs>
        <w:spacing w:after="60"/>
        <w:ind w:left="425" w:hanging="425"/>
      </w:pPr>
      <w:r>
        <w:rPr/>
        <w:t>b.</w:t>
        <w:tab/>
        <w:t>Cross-Default</w:t>
      </w:r>
    </w:p>
    <w:p>
      <w:pPr>
        <w:numPr>
          <w:ilvl w:val="0"/>
          <w:numId w:val="90"/>
        </w:numPr>
        <w:spacing w:after="60"/>
      </w:pPr>
      <w:r>
        <w:rPr/>
        <w:t>If the Borrower defaults in payments due under any loan or credit facility granted by any other financial institution or creditor, thereby affecting its repayment capacity.</w:t>
      </w:r>
    </w:p>
    <w:p>
      <w:pPr>
        <w:tabs>
          <w:tab w:pos="425" w:val="left"/>
        </w:tabs>
        <w:spacing w:after="60"/>
        <w:ind w:left="425" w:hanging="425"/>
      </w:pPr>
      <w:r>
        <w:rPr/>
        <w:t>c.</w:t>
        <w:tab/>
        <w:t>Insolvency and Creditor Arrangements</w:t>
      </w:r>
    </w:p>
    <w:p>
      <w:pPr>
        <w:numPr>
          <w:ilvl w:val="0"/>
          <w:numId w:val="90"/>
        </w:numPr>
        <w:spacing w:after="60"/>
      </w:pPr>
      <w:r>
        <w:rPr/>
        <w:t>If the Borrower makes, or proposes to make, any voluntary arrangement with its creditors.</w:t>
      </w:r>
    </w:p>
    <w:p>
      <w:pPr>
        <w:numPr>
          <w:ilvl w:val="0"/>
          <w:numId w:val="90"/>
        </w:numPr>
        <w:spacing w:after="60"/>
      </w:pPr>
      <w:r>
        <w:rPr/>
        <w:t>If the Borrower becomes bankrupt, goes into liquidation, or is subject to winding-up proceedings.</w:t>
      </w:r>
    </w:p>
    <w:p>
      <w:pPr>
        <w:numPr>
          <w:ilvl w:val="0"/>
          <w:numId w:val="90"/>
        </w:numPr>
        <w:spacing w:after="60"/>
      </w:pPr>
      <w:r>
        <w:rPr/>
        <w:t>If an encumbrancer takes possession of, or a receiver is appointed over, any property or assets of the Borrower.</w:t>
      </w:r>
    </w:p>
    <w:p>
      <w:pPr>
        <w:tabs>
          <w:tab w:pos="425" w:val="left"/>
        </w:tabs>
        <w:spacing w:after="60"/>
        <w:ind w:left="425" w:hanging="425"/>
      </w:pPr>
      <w:r>
        <w:rPr/>
        <w:t>d.</w:t>
        <w:tab/>
        <w:t>Inability to Pay Debts</w:t>
      </w:r>
    </w:p>
    <w:p>
      <w:pPr>
        <w:numPr>
          <w:ilvl w:val="0"/>
          <w:numId w:val="90"/>
        </w:numPr>
        <w:spacing w:after="60"/>
      </w:pPr>
      <w:r>
        <w:rPr/>
        <w:t>If the Borrower becomes unable to satisfy its debts as they fall due.</w:t>
      </w:r>
    </w:p>
    <w:p>
      <w:pPr>
        <w:numPr>
          <w:ilvl w:val="0"/>
          <w:numId w:val="90"/>
        </w:numPr>
        <w:spacing w:after="60"/>
      </w:pPr>
      <w:r>
        <w:rPr/>
        <w:t>If the Borrower ceases, or threatens to cease, to carry on its operations or business.</w:t>
      </w:r>
    </w:p>
    <w:p>
      <w:pPr>
        <w:tabs>
          <w:tab w:pos="425" w:val="left"/>
        </w:tabs>
        <w:spacing w:after="60"/>
        <w:ind w:left="425" w:hanging="425"/>
      </w:pPr>
      <w:r>
        <w:rPr/>
        <w:t>e.</w:t>
        <w:tab/>
        <w:t>Anticipated Default</w:t>
      </w:r>
    </w:p>
    <w:p>
      <w:pPr>
        <w:numPr>
          <w:ilvl w:val="0"/>
          <w:numId w:val="90"/>
        </w:numPr>
        <w:spacing w:after="60"/>
      </w:pPr>
      <w:r>
        <w:rPr/>
        <w:t>If the Lender reasonably believes or apprehends that any of the events mentioned above, or any equivalent event under applicable law, has occurred or may occur in the near future.</w:t>
      </w:r>
    </w:p>
    <w:p>
      <w:pPr>
        <w:pStyle w:val="Heading2"/>
      </w:pPr>
      <w:r>
        <w:rPr/>
        <w:t>Default Interest</w:t>
      </w:r>
    </w:p>
    <w:p>
      <w:pPr>
        <w:numPr>
          <w:ilvl w:val="0"/>
          <w:numId w:val="90"/>
        </w:numPr>
        <w:spacing w:after="60"/>
      </w:pPr>
      <w:r>
        <w:rPr/>
        <w:t>If any repayment of principal or interest is not made when due under this Facility (including in the event of termination), the Borrower shall be liable to pay default interest.</w:t>
      </w:r>
    </w:p>
    <w:p>
      <w:pPr>
        <w:numPr>
          <w:ilvl w:val="0"/>
          <w:numId w:val="90"/>
        </w:numPr>
        <w:spacing w:after="60"/>
      </w:pPr>
      <w:r>
        <w:rPr/>
        <w:t>Default interest shall be charged at a rate of 2% above the agreed interest rate under Paragraph 5 (Interest).</w:t>
      </w:r>
    </w:p>
    <w:p>
      <w:pPr>
        <w:numPr>
          <w:ilvl w:val="0"/>
          <w:numId w:val="90"/>
        </w:numPr>
        <w:spacing w:after="60"/>
      </w:pPr>
      <w:r>
        <w:rPr/>
        <w:t>Default interest shall accrue on all overdue amounts from the due date until the date of actual payment, both before and after judgment.</w:t>
      </w:r>
    </w:p>
    <w:p>
      <w:pPr>
        <w:pStyle w:val="Heading2"/>
      </w:pPr>
      <w:r>
        <w:rPr/>
        <w:t>Governing Law and Jurisdiction</w:t>
      </w:r>
    </w:p>
    <w:p>
      <w:pPr>
        <w:numPr>
          <w:ilvl w:val="0"/>
          <w:numId w:val="90"/>
        </w:numPr>
        <w:spacing w:after="60"/>
      </w:pPr>
      <w:r>
        <w:rPr/>
        <w:t>This Facility shall be governed by and construed in accordance with the laws of [insert jurisdiction, e.g., India].</w:t>
      </w:r>
    </w:p>
    <w:p>
      <w:pPr>
        <w:numPr>
          <w:ilvl w:val="0"/>
          <w:numId w:val="90"/>
        </w:numPr>
        <w:spacing w:after="60"/>
      </w:pPr>
      <w:r>
        <w:rPr/>
        <w:t>The Borrower irrevocably submits to the non-exclusive jurisdiction of the courts of [insert city/country, e.g., Bengaluru, India] in respect of any dispute, claim, or matter arising out of or relating to this Facility.</w:t>
      </w:r>
    </w:p>
    <w:p>
      <w:pPr>
        <w:numPr>
          <w:ilvl w:val="0"/>
          <w:numId w:val="90"/>
        </w:numPr>
        <w:spacing w:after="60"/>
      </w:pPr>
      <w:r>
        <w:rPr/>
        <w:t>The choice of jurisdiction shall not limit the right of the Lender to initiate proceedings in any other competent court, if necessary, to enforce its rights.</w:t>
      </w:r>
    </w:p>
    <w:p>
      <w:pPr>
        <w:pStyle w:val="Heading2"/>
      </w:pPr>
      <w:r>
        <w:rPr/>
        <w:t>Acceptance of Facility</w:t>
      </w:r>
    </w:p>
    <w:p>
      <w:r>
        <w:rPr/>
        <w:t>Please indicate your acceptance of the Facility on the foregoing terms and conditions by returning to us the duplicate of this letter with the attached Memorandum of Acceptance duly signed and sealed by an authorized representative of the Borrower.</w:t>
      </w:r>
    </w:p>
    <w:p>
      <w:r>
        <w:rPr/>
        <w:t>This offer will lapse if such acceptance is not received on or before [insert date].</w:t>
      </w:r>
    </w:p>
    <w:p>
      <w:r>
        <w:rPr/>
        <w:t>For and on behalf of the Lender</w:t>
      </w:r>
    </w:p>
    <w:p>
      <w:r>
        <w:rPr/>
        <w:t>Authorized Signatory</w:t>
      </w:r>
    </w:p>
    <w:p>
      <w:r>
        <w:rPr/>
        <w:t>(Name &amp; Designation)</w:t>
      </w:r>
    </w:p>
    <w:p>
      <w:r>
        <w:rPr>
          <w:b/>
        </w:rPr>
        <w:t>Date:</w:t>
      </w:r>
      <w:r>
        <w:rPr/>
        <w:t xml:space="preserve"> __________</w:t>
      </w:r>
    </w:p>
    <w:p>
      <w:r>
        <w:rPr/>
        <w:t>MEMORANDUM OF ACCEPTANCE</w:t>
      </w:r>
    </w:p>
    <w:p>
      <w:r>
        <w:rPr/>
        <w:t>I, _________________________, being duly authorized by the Borrower, hereby acknowledge and accept the terms and conditions of the Facility as set out in this Agreement.</w:t>
      </w:r>
    </w:p>
    <w:p>
      <w:r>
        <w:rPr/>
        <w:t>For and on behalf of the Borrower:</w:t>
      </w:r>
    </w:p>
    <w:p>
      <w:r>
        <w:rPr/>
        <w:t>Authorized Signatory</w:t>
      </w:r>
    </w:p>
    <w:p>
      <w:r>
        <w:rPr/>
        <w:t>(Name &amp; Designation)</w:t>
      </w:r>
    </w:p>
    <w:p>
      <w:r>
        <w:rPr/>
        <w:t>Seal/Stamp of Borrower</w:t>
      </w:r>
    </w:p>
    <w:p>
      <w:r>
        <w:rPr>
          <w:b/>
        </w:rPr>
        <w:t>Date:</w:t>
      </w:r>
      <w:r>
        <w:rPr/>
        <w:t xml:space="preserve"> __________</w:t>
      </w:r>
    </w:p>
    <w:p>
      <w:pPr>
        <w:pStyle w:val="Heading2"/>
      </w:pPr>
      <w:r>
        <w:rPr/>
        <w:t>Intragroup Payment Terms – Standard Operating Procedure (SOP)</w:t>
      </w:r>
    </w:p>
    <w:p>
      <w:pPr>
        <w:tabs>
          <w:tab w:pos="425" w:val="left"/>
        </w:tabs>
        <w:spacing w:after="60"/>
        <w:ind w:left="425" w:hanging="425"/>
      </w:pPr>
      <w:r>
        <w:rPr/>
        <w:t>a.</w:t>
        <w:tab/>
        <w:t>Overview</w:t>
      </w:r>
    </w:p>
    <w:p>
      <w:pPr>
        <w:numPr>
          <w:ilvl w:val="0"/>
          <w:numId w:val="90"/>
        </w:numPr>
        <w:spacing w:after="60"/>
      </w:pPr>
      <w:r>
        <w:rPr/>
        <w:t>This SOP establishes the minimum standards for managing intragroup charge payment terms between the HEI their related entities.</w:t>
      </w:r>
    </w:p>
    <w:p>
      <w:pPr>
        <w:numPr>
          <w:ilvl w:val="0"/>
          <w:numId w:val="90"/>
        </w:numPr>
        <w:spacing w:after="60"/>
      </w:pPr>
      <w:r>
        <w:rPr/>
        <w:t>The purpose is to ensure that outstanding intragroup balances are settled efficiently, thereby supporting smooth operations, financial discipline, and compliance with audit requirements.</w:t>
      </w:r>
    </w:p>
    <w:p>
      <w:pPr>
        <w:numPr>
          <w:ilvl w:val="0"/>
          <w:numId w:val="90"/>
        </w:numPr>
        <w:spacing w:after="60"/>
      </w:pPr>
      <w:r>
        <w:rPr/>
        <w:t>While Divisions or Local Operating Businesses may impose stricter guidelines or additional procedures, under no circumstances may these minimum standards be relaxed.</w:t>
      </w:r>
    </w:p>
    <w:p>
      <w:pPr>
        <w:tabs>
          <w:tab w:pos="425" w:val="left"/>
        </w:tabs>
        <w:spacing w:after="60"/>
        <w:ind w:left="425" w:hanging="425"/>
      </w:pPr>
      <w:r>
        <w:rPr/>
        <w:t>b.</w:t>
        <w:tab/>
        <w:t>Scope</w:t>
      </w:r>
    </w:p>
    <w:p>
      <w:pPr>
        <w:numPr>
          <w:ilvl w:val="0"/>
          <w:numId w:val="90"/>
        </w:numPr>
        <w:spacing w:after="60"/>
      </w:pPr>
      <w:r>
        <w:rPr/>
        <w:t>This SOP applies to all divisions, faculties, departments, and business units of HEI.</w:t>
      </w:r>
    </w:p>
    <w:p>
      <w:pPr>
        <w:numPr>
          <w:ilvl w:val="0"/>
          <w:numId w:val="90"/>
        </w:numPr>
        <w:spacing w:after="60"/>
      </w:pPr>
      <w:r>
        <w:rPr/>
        <w:t>It covers all intragroup charges and transactions, including:</w:t>
      </w:r>
    </w:p>
    <w:p>
      <w:pPr>
        <w:numPr>
          <w:ilvl w:val="1"/>
          <w:numId w:val="90"/>
        </w:numPr>
        <w:spacing w:after="60"/>
      </w:pPr>
      <w:r>
        <w:rPr/>
        <w:t>Service charges raised for shared/common services.</w:t>
      </w:r>
    </w:p>
    <w:p>
      <w:pPr>
        <w:numPr>
          <w:ilvl w:val="1"/>
          <w:numId w:val="90"/>
        </w:numPr>
        <w:spacing w:after="60"/>
      </w:pPr>
      <w:r>
        <w:rPr/>
        <w:t>Resource-sharing costs (facilities, ICT systems, utilities).</w:t>
      </w:r>
    </w:p>
    <w:p>
      <w:pPr>
        <w:numPr>
          <w:ilvl w:val="1"/>
          <w:numId w:val="90"/>
        </w:numPr>
        <w:spacing w:after="60"/>
      </w:pPr>
      <w:r>
        <w:rPr/>
        <w:t>Academic and research collaboration charges.</w:t>
      </w:r>
    </w:p>
    <w:p>
      <w:pPr>
        <w:numPr>
          <w:ilvl w:val="1"/>
          <w:numId w:val="90"/>
        </w:numPr>
        <w:spacing w:after="60"/>
      </w:pPr>
      <w:r>
        <w:rPr/>
        <w:t>Administrative and operational overheads.</w:t>
      </w:r>
    </w:p>
    <w:p>
      <w:pPr>
        <w:numPr>
          <w:ilvl w:val="1"/>
          <w:numId w:val="90"/>
        </w:numPr>
        <w:spacing w:after="60"/>
      </w:pPr>
      <w:r>
        <w:rPr/>
        <w:t>Any other chargeable items between the HEI.</w:t>
      </w:r>
    </w:p>
    <w:p>
      <w:pPr>
        <w:tabs>
          <w:tab w:pos="425" w:val="left"/>
        </w:tabs>
        <w:spacing w:after="60"/>
        <w:ind w:left="425" w:hanging="425"/>
      </w:pPr>
      <w:r>
        <w:rPr/>
        <w:t>c.</w:t>
        <w:tab/>
        <w:t>Payment Terms for Intragroup Charges</w:t>
      </w:r>
    </w:p>
    <w:p>
      <w:pPr>
        <w:numPr>
          <w:ilvl w:val="0"/>
          <w:numId w:val="90"/>
        </w:numPr>
        <w:spacing w:after="60"/>
      </w:pPr>
      <w:r>
        <w:rPr>
          <w:b/>
        </w:rPr>
        <w:t>Standard Payment Term:</w:t>
      </w:r>
      <w:r>
        <w:rPr/>
        <w:t xml:space="preserve"> All group charges shall become due for payment within 30 days from the end of the month in which the charge was raised.</w:t>
      </w:r>
    </w:p>
    <w:p>
      <w:pPr>
        <w:numPr>
          <w:ilvl w:val="0"/>
          <w:numId w:val="90"/>
        </w:numPr>
        <w:spacing w:after="60"/>
      </w:pPr>
      <w:r>
        <w:rPr>
          <w:b/>
        </w:rPr>
        <w:t>Repetitive/Recurring Charges:</w:t>
      </w:r>
      <w:r>
        <w:rPr/>
        <w:t xml:space="preserve"> For charges of a recurring nature (e.g., annual software licenses, ICT infrastructure maintenance, research subscription costs):</w:t>
      </w:r>
    </w:p>
    <w:p>
      <w:pPr>
        <w:numPr>
          <w:ilvl w:val="1"/>
          <w:numId w:val="90"/>
        </w:numPr>
        <w:spacing w:after="60"/>
      </w:pPr>
      <w:r>
        <w:rPr/>
        <w:t>Institutions may opt for annual or semi-annual settlements to reduce unnecessary bureaucracy and administrative burden.</w:t>
      </w:r>
    </w:p>
    <w:p>
      <w:pPr>
        <w:numPr>
          <w:ilvl w:val="1"/>
          <w:numId w:val="90"/>
        </w:numPr>
        <w:spacing w:after="60"/>
      </w:pPr>
      <w:r>
        <w:rPr/>
        <w:t>Such arrangements must be pre-approved by the Finance Officer / Treasurer’s Office.</w:t>
      </w:r>
    </w:p>
    <w:p>
      <w:pPr>
        <w:numPr>
          <w:ilvl w:val="0"/>
          <w:numId w:val="90"/>
        </w:numPr>
        <w:spacing w:after="60"/>
      </w:pPr>
      <w:r>
        <w:rPr>
          <w:b/>
        </w:rPr>
        <w:t>Supporting Documentation:</w:t>
      </w:r>
    </w:p>
    <w:p>
      <w:pPr>
        <w:numPr>
          <w:ilvl w:val="1"/>
          <w:numId w:val="90"/>
        </w:numPr>
        <w:spacing w:after="60"/>
      </w:pPr>
      <w:r>
        <w:rPr/>
        <w:t>All intragroup charges must be supported by appropriate documentation, including invoices, charge-back schedules, and service-level agreements.</w:t>
      </w:r>
    </w:p>
    <w:p>
      <w:pPr>
        <w:numPr>
          <w:ilvl w:val="1"/>
          <w:numId w:val="90"/>
        </w:numPr>
        <w:spacing w:after="60"/>
      </w:pPr>
      <w:r>
        <w:rPr/>
        <w:t>Copies of approved intragroup charges shall be shared with both the paying and receiving entities.</w:t>
      </w:r>
    </w:p>
    <w:p>
      <w:pPr>
        <w:numPr>
          <w:ilvl w:val="0"/>
          <w:numId w:val="90"/>
        </w:numPr>
        <w:spacing w:after="60"/>
      </w:pPr>
      <w:r>
        <w:rPr>
          <w:b/>
        </w:rPr>
        <w:t>Authorization &amp; Compliance:</w:t>
      </w:r>
    </w:p>
    <w:p>
      <w:pPr>
        <w:numPr>
          <w:ilvl w:val="1"/>
          <w:numId w:val="90"/>
        </w:numPr>
        <w:spacing w:after="60"/>
      </w:pPr>
      <w:r>
        <w:rPr/>
        <w:t>Charges must be authorized by the Finance Heads of both the charging and receiving entity before processing.</w:t>
      </w:r>
    </w:p>
    <w:p>
      <w:pPr>
        <w:numPr>
          <w:ilvl w:val="1"/>
          <w:numId w:val="90"/>
        </w:numPr>
        <w:spacing w:after="60"/>
      </w:pPr>
      <w:r>
        <w:rPr/>
        <w:t>Non-compliance or delays will be escalated to the Registrar/Principal for resolution.</w:t>
      </w:r>
    </w:p>
    <w:p>
      <w:pPr>
        <w:numPr>
          <w:ilvl w:val="0"/>
          <w:numId w:val="90"/>
        </w:numPr>
        <w:spacing w:after="60"/>
      </w:pPr>
      <w:r>
        <w:rPr>
          <w:b/>
        </w:rPr>
        <w:t>Monitoring &amp; Reporting:</w:t>
      </w:r>
    </w:p>
    <w:p>
      <w:pPr>
        <w:numPr>
          <w:ilvl w:val="1"/>
          <w:numId w:val="90"/>
        </w:numPr>
        <w:spacing w:after="60"/>
      </w:pPr>
      <w:r>
        <w:rPr/>
        <w:t>The Treasurer’s Office shall maintain a consolidated register of all intragroup charges and payments.</w:t>
      </w:r>
    </w:p>
    <w:p>
      <w:pPr>
        <w:numPr>
          <w:ilvl w:val="1"/>
          <w:numId w:val="90"/>
        </w:numPr>
        <w:spacing w:after="60"/>
      </w:pPr>
      <w:r>
        <w:rPr/>
        <w:t>A quarterly reconciliation report will be prepared to ensure all balances are up to date.</w:t>
      </w:r>
    </w:p>
    <w:p>
      <w:pPr>
        <w:pStyle w:val="Heading2"/>
      </w:pPr>
      <w:r>
        <w:rPr/>
        <w:t>Monthly Internal Loan Program Reporting</w:t>
      </w:r>
    </w:p>
    <w:p>
      <w:pPr>
        <w:numPr>
          <w:ilvl w:val="0"/>
          <w:numId w:val="90"/>
        </w:numPr>
        <w:spacing w:after="60"/>
      </w:pPr>
      <w:r>
        <w:rPr/>
        <w:t>Preparation of Reports</w:t>
      </w:r>
    </w:p>
    <w:p>
      <w:pPr>
        <w:numPr>
          <w:ilvl w:val="1"/>
          <w:numId w:val="90"/>
        </w:numPr>
        <w:spacing w:after="60"/>
      </w:pPr>
      <w:r>
        <w:rPr/>
        <w:t>On a monthly basis, the HEI Office prepares a comprehensive loan report summarizing all internal loan activities.</w:t>
      </w:r>
    </w:p>
    <w:p>
      <w:pPr>
        <w:numPr>
          <w:ilvl w:val="1"/>
          <w:numId w:val="90"/>
        </w:numPr>
        <w:spacing w:after="60"/>
      </w:pPr>
      <w:r>
        <w:rPr/>
        <w:t>This report serves as a managerial control tool, providing assurance about the accuracy, completeness, and timeliness of the loan-related activities.</w:t>
      </w:r>
    </w:p>
    <w:p>
      <w:pPr>
        <w:numPr>
          <w:ilvl w:val="0"/>
          <w:numId w:val="90"/>
        </w:numPr>
        <w:spacing w:after="60"/>
      </w:pPr>
      <w:r>
        <w:rPr/>
        <w:t>Content of the Report</w:t>
      </w:r>
    </w:p>
    <w:p>
      <w:r>
        <w:rPr/>
        <w:t>The report includes summarized information on:</w:t>
      </w:r>
    </w:p>
    <w:p>
      <w:pPr>
        <w:numPr>
          <w:ilvl w:val="1"/>
          <w:numId w:val="90"/>
        </w:numPr>
        <w:spacing w:after="60"/>
      </w:pPr>
      <w:r>
        <w:rPr>
          <w:b/>
        </w:rPr>
        <w:t>Campus / Entity:</w:t>
      </w:r>
      <w:r>
        <w:rPr/>
        <w:t xml:space="preserve"> The HEI involved in the loan.</w:t>
      </w:r>
    </w:p>
    <w:p>
      <w:pPr>
        <w:numPr>
          <w:ilvl w:val="1"/>
          <w:numId w:val="90"/>
        </w:numPr>
        <w:spacing w:after="60"/>
      </w:pPr>
      <w:r>
        <w:rPr>
          <w:b/>
        </w:rPr>
        <w:t>Property Description:</w:t>
      </w:r>
      <w:r>
        <w:rPr/>
        <w:t xml:space="preserve"> The asset, project, or purpose associated with the loan.</w:t>
      </w:r>
    </w:p>
    <w:p>
      <w:pPr>
        <w:numPr>
          <w:ilvl w:val="1"/>
          <w:numId w:val="90"/>
        </w:numPr>
        <w:spacing w:after="60"/>
      </w:pPr>
      <w:r>
        <w:rPr>
          <w:b/>
        </w:rPr>
        <w:t>Loan Term:</w:t>
      </w:r>
      <w:r>
        <w:rPr/>
        <w:t xml:space="preserve"> Duration of the loan facility.</w:t>
      </w:r>
    </w:p>
    <w:p>
      <w:pPr>
        <w:numPr>
          <w:ilvl w:val="1"/>
          <w:numId w:val="90"/>
        </w:numPr>
        <w:spacing w:after="60"/>
      </w:pPr>
      <w:r>
        <w:rPr>
          <w:b/>
        </w:rPr>
        <w:t>Loan Amount:</w:t>
      </w:r>
      <w:r>
        <w:rPr/>
        <w:t xml:space="preserve"> Sanctioned loan amount for each facility.</w:t>
      </w:r>
    </w:p>
    <w:p>
      <w:pPr>
        <w:numPr>
          <w:ilvl w:val="1"/>
          <w:numId w:val="90"/>
        </w:numPr>
        <w:spacing w:after="60"/>
      </w:pPr>
      <w:r>
        <w:rPr>
          <w:b/>
        </w:rPr>
        <w:t>Month-End Outstanding Loan Balance:</w:t>
      </w:r>
      <w:r>
        <w:rPr/>
        <w:t xml:space="preserve"> Principal amount still due at the end of the month.</w:t>
      </w:r>
    </w:p>
    <w:p>
      <w:pPr>
        <w:numPr>
          <w:ilvl w:val="1"/>
          <w:numId w:val="90"/>
        </w:numPr>
        <w:spacing w:after="60"/>
      </w:pPr>
      <w:r>
        <w:rPr>
          <w:b/>
        </w:rPr>
        <w:t>Potential Loans:</w:t>
      </w:r>
      <w:r>
        <w:rPr/>
        <w:t xml:space="preserve"> New loans under consideration or pending approval.</w:t>
      </w:r>
    </w:p>
    <w:p>
      <w:pPr>
        <w:numPr>
          <w:ilvl w:val="0"/>
          <w:numId w:val="90"/>
        </w:numPr>
        <w:spacing w:after="60"/>
      </w:pPr>
      <w:r>
        <w:rPr/>
        <w:t>Excel File Structure</w:t>
      </w:r>
    </w:p>
    <w:p>
      <w:pPr>
        <w:numPr>
          <w:ilvl w:val="1"/>
          <w:numId w:val="90"/>
        </w:numPr>
        <w:spacing w:after="60"/>
      </w:pPr>
      <w:r>
        <w:rPr/>
        <w:t>The report is maintained in an Excel spreadsheet by HEI Office.</w:t>
      </w:r>
    </w:p>
    <w:p>
      <w:pPr>
        <w:numPr>
          <w:ilvl w:val="1"/>
          <w:numId w:val="90"/>
        </w:numPr>
        <w:spacing w:after="60"/>
      </w:pPr>
      <w:r>
        <w:rPr/>
        <w:t>In addition to printed/summary columns, the Excel file contains six non-printed columns for internal use:</w:t>
      </w:r>
    </w:p>
    <w:p>
      <w:pPr>
        <w:tabs>
          <w:tab w:pos="1361" w:val="left"/>
        </w:tabs>
        <w:spacing w:after="60"/>
        <w:ind w:left="1361" w:hanging="425"/>
      </w:pPr>
      <w:r>
        <w:rPr/>
        <w:t>1.</w:t>
        <w:tab/>
        <w:t>Serial Number</w:t>
      </w:r>
    </w:p>
    <w:p>
      <w:pPr>
        <w:tabs>
          <w:tab w:pos="1361" w:val="left"/>
        </w:tabs>
        <w:spacing w:after="60"/>
        <w:ind w:left="1361" w:hanging="425"/>
      </w:pPr>
      <w:r>
        <w:rPr/>
        <w:t>2.</w:t>
        <w:tab/>
        <w:t>Date</w:t>
      </w:r>
    </w:p>
    <w:p>
      <w:pPr>
        <w:tabs>
          <w:tab w:pos="1361" w:val="left"/>
        </w:tabs>
        <w:spacing w:after="60"/>
        <w:ind w:left="1361" w:hanging="425"/>
      </w:pPr>
      <w:r>
        <w:rPr/>
        <w:t>3.</w:t>
        <w:tab/>
        <w:t>Description</w:t>
      </w:r>
    </w:p>
    <w:p>
      <w:pPr>
        <w:tabs>
          <w:tab w:pos="1361" w:val="left"/>
        </w:tabs>
        <w:spacing w:after="60"/>
        <w:ind w:left="1361" w:hanging="425"/>
      </w:pPr>
      <w:r>
        <w:rPr/>
        <w:t>4.</w:t>
        <w:tab/>
        <w:t>Debit Amount</w:t>
      </w:r>
    </w:p>
    <w:p>
      <w:pPr>
        <w:tabs>
          <w:tab w:pos="1361" w:val="left"/>
        </w:tabs>
        <w:spacing w:after="60"/>
        <w:ind w:left="1361" w:hanging="425"/>
      </w:pPr>
      <w:r>
        <w:rPr/>
        <w:t>5.</w:t>
        <w:tab/>
        <w:t>Credit Amount</w:t>
      </w:r>
    </w:p>
    <w:p>
      <w:pPr>
        <w:tabs>
          <w:tab w:pos="1361" w:val="left"/>
        </w:tabs>
        <w:spacing w:after="60"/>
        <w:ind w:left="1361" w:hanging="425"/>
      </w:pPr>
      <w:r>
        <w:rPr/>
        <w:t>6.</w:t>
        <w:tab/>
        <w:t>Net Loan Amount</w:t>
      </w:r>
    </w:p>
    <w:p>
      <w:pPr>
        <w:numPr>
          <w:ilvl w:val="1"/>
          <w:numId w:val="90"/>
        </w:numPr>
        <w:spacing w:after="60"/>
      </w:pPr>
      <w:r>
        <w:rPr/>
        <w:t>These columns ensure detailed tracking of loan movements and provide a clear audit trail.</w:t>
      </w:r>
    </w:p>
    <w:p>
      <w:pPr>
        <w:numPr>
          <w:ilvl w:val="0"/>
          <w:numId w:val="90"/>
        </w:numPr>
        <w:spacing w:after="60"/>
      </w:pPr>
      <w:r>
        <w:rPr/>
        <w:t>Reconciliation Process</w:t>
      </w:r>
    </w:p>
    <w:p>
      <w:pPr>
        <w:numPr>
          <w:ilvl w:val="1"/>
          <w:numId w:val="90"/>
        </w:numPr>
        <w:spacing w:after="60"/>
      </w:pPr>
      <w:r>
        <w:rPr/>
        <w:t>Every month, a reconciliation exercise is conducted between:</w:t>
      </w:r>
    </w:p>
    <w:p>
      <w:pPr>
        <w:tabs>
          <w:tab w:pos="425" w:val="left"/>
        </w:tabs>
        <w:spacing w:after="60"/>
        <w:ind w:left="425" w:hanging="425"/>
      </w:pPr>
      <w:r>
        <w:rPr/>
        <w:t>1.</w:t>
        <w:tab/>
        <w:t>The total loan payment amount and outstanding principal balance in the General Ledger (GL).</w:t>
      </w:r>
    </w:p>
    <w:p>
      <w:pPr>
        <w:tabs>
          <w:tab w:pos="425" w:val="left"/>
        </w:tabs>
        <w:spacing w:after="60"/>
        <w:ind w:left="425" w:hanging="425"/>
      </w:pPr>
      <w:r>
        <w:rPr/>
        <w:t>2.</w:t>
        <w:tab/>
        <w:t>The totals recorded in the Loan Program Spreadsheet.</w:t>
      </w:r>
    </w:p>
    <w:p>
      <w:pPr>
        <w:numPr>
          <w:ilvl w:val="1"/>
          <w:numId w:val="90"/>
        </w:numPr>
        <w:spacing w:after="60"/>
      </w:pPr>
      <w:r>
        <w:rPr/>
        <w:t>This reconciliation ensures that all loans are accurately reflected in both financial systems and no discrepancies exist.</w:t>
      </w:r>
    </w:p>
    <w:p>
      <w:pPr>
        <w:numPr>
          <w:ilvl w:val="0"/>
          <w:numId w:val="90"/>
        </w:numPr>
        <w:spacing w:after="60"/>
      </w:pPr>
      <w:r>
        <w:rPr/>
        <w:t>Managerial Review and Control</w:t>
      </w:r>
    </w:p>
    <w:p>
      <w:pPr>
        <w:numPr>
          <w:ilvl w:val="1"/>
          <w:numId w:val="90"/>
        </w:numPr>
        <w:spacing w:after="60"/>
      </w:pPr>
      <w:r>
        <w:rPr/>
        <w:t>The reconciled report is subject to review by the Treasurer’s Office, Finance Officer, and Registrar/Principal.</w:t>
      </w:r>
    </w:p>
    <w:p>
      <w:pPr>
        <w:numPr>
          <w:ilvl w:val="1"/>
          <w:numId w:val="90"/>
        </w:numPr>
        <w:spacing w:after="60"/>
      </w:pPr>
      <w:r>
        <w:rPr/>
        <w:t>The review acts as a managerial control mechanism, confirming that:</w:t>
      </w:r>
    </w:p>
    <w:p>
      <w:pPr>
        <w:tabs>
          <w:tab w:pos="425" w:val="left"/>
        </w:tabs>
        <w:spacing w:after="60"/>
        <w:ind w:left="425" w:hanging="425"/>
      </w:pPr>
      <w:r>
        <w:rPr/>
        <w:t>1.</w:t>
        <w:tab/>
        <w:t>All loan transactions have been recorded correctly.</w:t>
      </w:r>
    </w:p>
    <w:p>
      <w:pPr>
        <w:tabs>
          <w:tab w:pos="425" w:val="left"/>
        </w:tabs>
        <w:spacing w:after="60"/>
        <w:ind w:left="425" w:hanging="425"/>
      </w:pPr>
      <w:r>
        <w:rPr/>
        <w:t>2.</w:t>
        <w:tab/>
        <w:t>Outstanding balances are accurate.</w:t>
      </w:r>
    </w:p>
    <w:p>
      <w:pPr>
        <w:tabs>
          <w:tab w:pos="425" w:val="left"/>
        </w:tabs>
        <w:spacing w:after="60"/>
        <w:ind w:left="425" w:hanging="425"/>
      </w:pPr>
      <w:r>
        <w:rPr/>
        <w:t>3.</w:t>
        <w:tab/>
        <w:t>Potential loan exposures are tracked and monitored.</w:t>
      </w:r>
    </w:p>
    <w:p>
      <w:pPr>
        <w:numPr>
          <w:ilvl w:val="1"/>
          <w:numId w:val="90"/>
        </w:numPr>
        <w:spacing w:after="60"/>
      </w:pPr>
      <w:r>
        <w:rPr/>
        <w:t>Any variances identified during the review must be investigated and resolved before report finalization.</w:t>
      </w:r>
    </w:p>
    <w:p>
      <w:pPr>
        <w:numPr>
          <w:ilvl w:val="0"/>
          <w:numId w:val="90"/>
        </w:numPr>
        <w:spacing w:after="60"/>
      </w:pPr>
      <w:r>
        <w:rPr/>
        <w:t>Archival and Reporting</w:t>
      </w:r>
    </w:p>
    <w:p>
      <w:pPr>
        <w:numPr>
          <w:ilvl w:val="1"/>
          <w:numId w:val="90"/>
        </w:numPr>
        <w:spacing w:after="60"/>
      </w:pPr>
      <w:r>
        <w:rPr/>
        <w:t>A copy of the finalized monthly report is archived digitally and physically for audit and compliance purposes.</w:t>
      </w:r>
    </w:p>
    <w:p>
      <w:pPr>
        <w:numPr>
          <w:ilvl w:val="1"/>
          <w:numId w:val="90"/>
        </w:numPr>
        <w:spacing w:after="60"/>
      </w:pPr>
      <w:r>
        <w:rPr/>
        <w:t>Quarterly summaries are submitted to the Governing Body to provide oversight on internal loan activities.</w:t>
      </w:r>
    </w:p>
    <w:p>
      <w:pPr>
        <w:pStyle w:val="Heading2"/>
      </w:pPr>
      <w:r>
        <w:rPr/>
        <w:t>Loans to Employees / External People</w:t>
      </w:r>
    </w:p>
    <w:p>
      <w:pPr>
        <w:numPr>
          <w:ilvl w:val="0"/>
          <w:numId w:val="90"/>
        </w:numPr>
        <w:spacing w:after="60"/>
      </w:pPr>
      <w:r>
        <w:rPr/>
        <w:t>Definition of Loan</w:t>
      </w:r>
    </w:p>
    <w:p>
      <w:pPr>
        <w:numPr>
          <w:ilvl w:val="1"/>
          <w:numId w:val="90"/>
        </w:numPr>
        <w:spacing w:after="60"/>
      </w:pPr>
      <w:r>
        <w:rPr/>
        <w:t>A loan is defined as a financial arrangement in which a lender provides funds to a borrower with an obligation for repayment, either in a lump sum or in installments, over an agreed period of time.</w:t>
      </w:r>
    </w:p>
    <w:p>
      <w:pPr>
        <w:numPr>
          <w:ilvl w:val="1"/>
          <w:numId w:val="90"/>
        </w:numPr>
        <w:spacing w:after="60"/>
      </w:pPr>
      <w:r>
        <w:rPr/>
        <w:t>Loans may be short-term (repayable within one year) or long-term (repayable over more than one year).</w:t>
      </w:r>
    </w:p>
    <w:p>
      <w:pPr>
        <w:numPr>
          <w:ilvl w:val="0"/>
          <w:numId w:val="90"/>
        </w:numPr>
        <w:spacing w:after="60"/>
      </w:pPr>
      <w:r>
        <w:rPr/>
        <w:t>Restriction on Loans to Employees and External Parties</w:t>
      </w:r>
    </w:p>
    <w:p>
      <w:pPr>
        <w:numPr>
          <w:ilvl w:val="1"/>
          <w:numId w:val="90"/>
        </w:numPr>
        <w:spacing w:after="60"/>
      </w:pPr>
      <w:r>
        <w:rPr/>
        <w:t>As a matter of policy, the Higher Education Institution (HEI) shall not provide loans of any nature (short-term or long-term) to:</w:t>
      </w:r>
    </w:p>
    <w:p>
      <w:pPr>
        <w:numPr>
          <w:ilvl w:val="2"/>
          <w:numId w:val="90"/>
        </w:numPr>
        <w:spacing w:after="60"/>
      </w:pPr>
      <w:r>
        <w:rPr/>
        <w:t>Employees (teaching and non-teaching staff).</w:t>
      </w:r>
    </w:p>
    <w:p>
      <w:pPr>
        <w:numPr>
          <w:ilvl w:val="2"/>
          <w:numId w:val="90"/>
        </w:numPr>
        <w:spacing w:after="60"/>
      </w:pPr>
      <w:r>
        <w:rPr/>
        <w:t>Vendors, suppliers, or contractors.</w:t>
      </w:r>
    </w:p>
    <w:p>
      <w:pPr>
        <w:numPr>
          <w:ilvl w:val="2"/>
          <w:numId w:val="90"/>
        </w:numPr>
        <w:spacing w:after="60"/>
      </w:pPr>
      <w:r>
        <w:rPr/>
        <w:t>Alumni, students, or any external stakeholders.</w:t>
      </w:r>
    </w:p>
    <w:p>
      <w:pPr>
        <w:numPr>
          <w:ilvl w:val="1"/>
          <w:numId w:val="90"/>
        </w:numPr>
        <w:spacing w:after="60"/>
      </w:pPr>
      <w:r>
        <w:rPr/>
        <w:t>This restriction ensures avoidance of conflicts of interest, financial risk exposure, and diversion of institutional funds away from its primary mission of education, research, and community service.</w:t>
      </w:r>
    </w:p>
    <w:p>
      <w:pPr>
        <w:numPr>
          <w:ilvl w:val="0"/>
          <w:numId w:val="90"/>
        </w:numPr>
        <w:spacing w:after="60"/>
      </w:pPr>
      <w:r>
        <w:rPr/>
        <w:t>Permissible Loans / Borrowings</w:t>
      </w:r>
    </w:p>
    <w:p>
      <w:pPr>
        <w:numPr>
          <w:ilvl w:val="1"/>
          <w:numId w:val="90"/>
        </w:numPr>
        <w:spacing w:after="60"/>
      </w:pPr>
      <w:r>
        <w:rPr/>
        <w:t>The HEI is permitted to raise loans (short-term and long-term) from external financial institutions, banks, or government bodies to support:</w:t>
      </w:r>
    </w:p>
    <w:p>
      <w:pPr>
        <w:numPr>
          <w:ilvl w:val="2"/>
          <w:numId w:val="90"/>
        </w:numPr>
        <w:spacing w:after="60"/>
      </w:pPr>
      <w:r>
        <w:rPr/>
        <w:t>Infrastructure development.</w:t>
      </w:r>
    </w:p>
    <w:p>
      <w:pPr>
        <w:numPr>
          <w:ilvl w:val="2"/>
          <w:numId w:val="90"/>
        </w:numPr>
        <w:spacing w:after="60"/>
      </w:pPr>
      <w:r>
        <w:rPr/>
        <w:t>Academic and research activities.</w:t>
      </w:r>
    </w:p>
    <w:p>
      <w:pPr>
        <w:numPr>
          <w:ilvl w:val="2"/>
          <w:numId w:val="90"/>
        </w:numPr>
        <w:spacing w:after="60"/>
      </w:pPr>
      <w:r>
        <w:rPr/>
        <w:t>Institutional expansion projects.</w:t>
      </w:r>
    </w:p>
    <w:p>
      <w:pPr>
        <w:numPr>
          <w:ilvl w:val="1"/>
          <w:numId w:val="90"/>
        </w:numPr>
        <w:spacing w:after="60"/>
      </w:pPr>
      <w:r>
        <w:rPr/>
        <w:t>The HEI may also enter into intragroup loan arrangements with the Association, University, or related entities, subject to approval and compliance with the Finance Policy.</w:t>
      </w:r>
    </w:p>
    <w:p>
      <w:pPr>
        <w:numPr>
          <w:ilvl w:val="0"/>
          <w:numId w:val="90"/>
        </w:numPr>
        <w:spacing w:after="60"/>
      </w:pPr>
      <w:r>
        <w:rPr/>
        <w:t xml:space="preserve">Employee and Vendor Advances </w:t>
      </w:r>
      <w:r>
        <w:rPr>
          <w:i/>
        </w:rPr>
        <w:t>(not considered as loans)</w:t>
      </w:r>
    </w:p>
    <w:p>
      <w:pPr>
        <w:numPr>
          <w:ilvl w:val="1"/>
          <w:numId w:val="90"/>
        </w:numPr>
        <w:spacing w:after="60"/>
      </w:pPr>
      <w:r>
        <w:rPr/>
        <w:t>While loans are prohibited, the HEI may provide:</w:t>
      </w:r>
    </w:p>
    <w:p>
      <w:pPr>
        <w:numPr>
          <w:ilvl w:val="2"/>
          <w:numId w:val="90"/>
        </w:numPr>
        <w:spacing w:after="60"/>
      </w:pPr>
      <w:r>
        <w:rPr/>
        <w:t>Travel advances for employees undertaking official duties.</w:t>
      </w:r>
    </w:p>
    <w:p>
      <w:pPr>
        <w:numPr>
          <w:ilvl w:val="2"/>
          <w:numId w:val="90"/>
        </w:numPr>
        <w:spacing w:after="60"/>
      </w:pPr>
      <w:r>
        <w:rPr/>
        <w:t>Festival or salary advances for non-teaching staff, strictly as per the Loans, Advances &amp; Deposits Policy.</w:t>
      </w:r>
    </w:p>
    <w:p>
      <w:pPr>
        <w:numPr>
          <w:ilvl w:val="2"/>
          <w:numId w:val="90"/>
        </w:numPr>
        <w:spacing w:after="60"/>
      </w:pPr>
      <w:r>
        <w:rPr/>
        <w:t>Vendor advances against contracts or purchase orders, provided these are duly approved and settled against invoices.</w:t>
      </w:r>
    </w:p>
    <w:p>
      <w:pPr>
        <w:numPr>
          <w:ilvl w:val="1"/>
          <w:numId w:val="90"/>
        </w:numPr>
        <w:spacing w:after="60"/>
      </w:pPr>
      <w:r>
        <w:rPr/>
        <w:t>These advances must be treated separately from loans and accounted for under short-term advances in the financial statements.</w:t>
      </w:r>
    </w:p>
    <w:p>
      <w:pPr>
        <w:numPr>
          <w:ilvl w:val="0"/>
          <w:numId w:val="90"/>
        </w:numPr>
        <w:spacing w:after="60"/>
      </w:pPr>
      <w:r>
        <w:rPr/>
        <w:t>Compliance and Monitoring</w:t>
      </w:r>
    </w:p>
    <w:p>
      <w:pPr>
        <w:numPr>
          <w:ilvl w:val="1"/>
          <w:numId w:val="90"/>
        </w:numPr>
        <w:spacing w:after="60"/>
      </w:pPr>
      <w:r>
        <w:rPr/>
        <w:t>Any violation of this restriction (e.g., extending a loan to an employee or external party) will be treated as a policy breach and subject to corrective action by the Finance Committee.</w:t>
      </w:r>
    </w:p>
    <w:p>
      <w:pPr>
        <w:numPr>
          <w:ilvl w:val="1"/>
          <w:numId w:val="90"/>
        </w:numPr>
        <w:spacing w:after="60"/>
      </w:pPr>
      <w:r>
        <w:rPr/>
        <w:t>All borrowing activities by the HEI (internal or external) must be approved by the Governing Body and documented in financial records for audit and compliance purposes.</w:t>
      </w:r>
    </w:p>
    <w:p>
      <w:pPr>
        <w:pStyle w:val="Heading2"/>
      </w:pPr>
      <w:r>
        <w:rPr/>
        <w:t>Policies on Advances</w:t>
      </w:r>
    </w:p>
    <w:p>
      <w:pPr>
        <w:pStyle w:val="Heading3"/>
      </w:pPr>
      <w:r>
        <w:rPr/>
        <w:t>1. Advances to Suppliers or Service Organizations:</w:t>
      </w:r>
    </w:p>
    <w:p>
      <w:pPr>
        <w:numPr>
          <w:ilvl w:val="1"/>
          <w:numId w:val="90"/>
        </w:numPr>
        <w:spacing w:after="60"/>
      </w:pPr>
      <w:r>
        <w:rPr>
          <w:b/>
        </w:rPr>
        <w:t>Conditions for Payment:</w:t>
      </w:r>
      <w:r>
        <w:rPr/>
        <w:t xml:space="preserve"> Advances can only be paid to suppliers or service organizations if the terms are explicitly mentioned in the service contract or purchase orders.</w:t>
      </w:r>
    </w:p>
    <w:p>
      <w:pPr>
        <w:numPr>
          <w:ilvl w:val="1"/>
          <w:numId w:val="90"/>
        </w:numPr>
        <w:spacing w:after="60"/>
      </w:pPr>
      <w:r>
        <w:rPr>
          <w:b/>
        </w:rPr>
        <w:t>Bank Guarantees Requirement:</w:t>
      </w:r>
      <w:r>
        <w:rPr/>
        <w:t xml:space="preserve"> Any advance paid to suppliers or service organizations must be secured against bank guarantees, ensuring that the institution's funds are protected.</w:t>
      </w:r>
    </w:p>
    <w:p>
      <w:pPr>
        <w:pStyle w:val="Heading3"/>
      </w:pPr>
      <w:r>
        <w:rPr/>
        <w:t>2. Advances to Employees:</w:t>
      </w:r>
    </w:p>
    <w:p>
      <w:pPr>
        <w:numPr>
          <w:ilvl w:val="1"/>
          <w:numId w:val="90"/>
        </w:numPr>
        <w:spacing w:after="60"/>
      </w:pPr>
      <w:r>
        <w:rPr>
          <w:b/>
        </w:rPr>
        <w:t>Employee Advances:</w:t>
      </w:r>
      <w:r>
        <w:rPr/>
        <w:t xml:space="preserve"> Employees can request advances for specific purposes (such as travel, project-related expenses, etc.), but they must obtain approval from the President prior to drawing such advances.</w:t>
      </w:r>
    </w:p>
    <w:p>
      <w:pPr>
        <w:numPr>
          <w:ilvl w:val="1"/>
          <w:numId w:val="90"/>
        </w:numPr>
        <w:spacing w:after="60"/>
      </w:pPr>
      <w:r>
        <w:rPr>
          <w:b/>
        </w:rPr>
        <w:t>Approval Process:</w:t>
      </w:r>
      <w:r>
        <w:rPr/>
        <w:t xml:space="preserve"> The President must authorize the payment of advances, ensuring that the requested advance is for legitimate and authorized purposes.</w:t>
      </w:r>
    </w:p>
    <w:p>
      <w:pPr>
        <w:pStyle w:val="Heading3"/>
      </w:pPr>
      <w:r>
        <w:rPr/>
        <w:t>3. Outstanding Advances Monitoring:</w:t>
      </w:r>
    </w:p>
    <w:p>
      <w:pPr>
        <w:numPr>
          <w:ilvl w:val="1"/>
          <w:numId w:val="90"/>
        </w:numPr>
        <w:spacing w:after="60"/>
      </w:pPr>
      <w:r>
        <w:rPr>
          <w:b/>
        </w:rPr>
        <w:t>Monthly Statement Submission:</w:t>
      </w:r>
      <w:r>
        <w:rPr/>
        <w:t xml:space="preserve"> The Finance Officer is responsible for submitting a monthly statement of all outstanding advances to the President. This allows the institution to monitor the status of advances and take any necessary corrective actions.</w:t>
      </w:r>
    </w:p>
    <w:p>
      <w:pPr>
        <w:numPr>
          <w:ilvl w:val="1"/>
          <w:numId w:val="90"/>
        </w:numPr>
        <w:spacing w:after="60"/>
      </w:pPr>
      <w:r>
        <w:rPr>
          <w:b/>
        </w:rPr>
        <w:t>Corrective Actions:</w:t>
      </w:r>
      <w:r>
        <w:rPr/>
        <w:t xml:space="preserve"> The President reviews the statement and may take corrective actions if there are unutilized or unaccounted advances, ensuring that funds are being used properly.</w:t>
      </w:r>
    </w:p>
    <w:p>
      <w:pPr>
        <w:pStyle w:val="Heading3"/>
      </w:pPr>
      <w:r>
        <w:rPr/>
        <w:t>4. Settlement of Advances:</w:t>
      </w:r>
    </w:p>
    <w:p>
      <w:pPr>
        <w:numPr>
          <w:ilvl w:val="1"/>
          <w:numId w:val="90"/>
        </w:numPr>
        <w:spacing w:after="60"/>
      </w:pPr>
      <w:r>
        <w:rPr>
          <w:b/>
        </w:rPr>
        <w:t>Timely Settlement:</w:t>
      </w:r>
      <w:r>
        <w:rPr/>
        <w:t xml:space="preserve"> Any advances drawn for approved expenditure must be settled within two weeks of being issued. If the advance is not settled within this period, it is considered overdue.</w:t>
      </w:r>
    </w:p>
    <w:p>
      <w:pPr>
        <w:numPr>
          <w:ilvl w:val="1"/>
          <w:numId w:val="90"/>
        </w:numPr>
        <w:spacing w:after="60"/>
      </w:pPr>
      <w:r>
        <w:rPr>
          <w:b/>
        </w:rPr>
        <w:t>Salary Deduction:</w:t>
      </w:r>
      <w:r>
        <w:rPr/>
        <w:t xml:space="preserve"> Advances that are not settled within the stipulated period will be deducted from the salary of the employee who received the advance, without any further intimation. This serves as a corrective measure to ensure timely settlement.</w:t>
      </w:r>
    </w:p>
    <w:p>
      <w:pPr>
        <w:pStyle w:val="Heading3"/>
      </w:pPr>
      <w:r>
        <w:rPr/>
        <w:t>5. Audit and Compliance:</w:t>
      </w:r>
    </w:p>
    <w:p>
      <w:pPr>
        <w:numPr>
          <w:ilvl w:val="1"/>
          <w:numId w:val="90"/>
        </w:numPr>
        <w:spacing w:after="60"/>
      </w:pPr>
      <w:r>
        <w:rPr/>
        <w:t>Advances are subject to regular audit checks to ensure that they are being issued for legitimate reasons and settled in a timely manner.</w:t>
      </w:r>
    </w:p>
    <w:p>
      <w:pPr>
        <w:numPr>
          <w:ilvl w:val="1"/>
          <w:numId w:val="90"/>
        </w:numPr>
        <w:spacing w:after="60"/>
      </w:pPr>
      <w:r>
        <w:rPr/>
        <w:t>The Finance Officer will also ensure that all advances are properly recorded and monitored to avoid financial discrepancies.</w:t>
      </w:r>
    </w:p>
    <w:p>
      <w:pPr>
        <w:pStyle w:val="Heading3"/>
      </w:pPr>
      <w:r>
        <w:rPr/>
        <w:t>6. Documentation and Transparency:</w:t>
      </w:r>
    </w:p>
    <w:p>
      <w:pPr>
        <w:numPr>
          <w:ilvl w:val="1"/>
          <w:numId w:val="90"/>
        </w:numPr>
        <w:spacing w:after="60"/>
      </w:pPr>
      <w:r>
        <w:rPr/>
        <w:t>Proper documentation for each advance (including the purpose, approval, amount, and terms) must be maintained. This ensures transparency and accountability in the issuance and settlement of advances.</w:t>
      </w:r>
    </w:p>
    <w:p>
      <w:pPr>
        <w:pStyle w:val="Heading2"/>
      </w:pPr>
      <w:r>
        <w:rPr/>
        <w:t>Advances &amp; Deposits Policy</w:t>
      </w:r>
    </w:p>
    <w:p>
      <w:r>
        <w:rPr/>
        <w:t>The HEI may grant advances and collect deposits under specific categories. These are strictly regulated to ensure accountability, financial discipline, and transparency.</w:t>
      </w:r>
    </w:p>
    <w:p>
      <w:pPr>
        <w:pStyle w:val="Heading3"/>
      </w:pPr>
      <w:r>
        <w:rPr>
          <w:i/>
        </w:rPr>
        <w:t>a. Festival Advance</w:t>
      </w:r>
    </w:p>
    <w:p>
      <w:pPr>
        <w:numPr>
          <w:ilvl w:val="0"/>
          <w:numId w:val="90"/>
        </w:numPr>
        <w:spacing w:after="60"/>
      </w:pPr>
      <w:r>
        <w:rPr>
          <w:b/>
        </w:rPr>
        <w:t>Eligibility:</w:t>
      </w:r>
      <w:r>
        <w:rPr/>
        <w:t xml:space="preserve"> Non-teaching staff and Class IV employees only.</w:t>
      </w:r>
    </w:p>
    <w:p>
      <w:pPr>
        <w:numPr>
          <w:ilvl w:val="0"/>
          <w:numId w:val="90"/>
        </w:numPr>
        <w:spacing w:after="60"/>
      </w:pPr>
      <w:r>
        <w:rPr>
          <w:b/>
        </w:rPr>
        <w:t>Limit:</w:t>
      </w:r>
    </w:p>
    <w:p>
      <w:pPr>
        <w:numPr>
          <w:ilvl w:val="1"/>
          <w:numId w:val="90"/>
        </w:numPr>
        <w:spacing w:after="60"/>
      </w:pPr>
      <w:r>
        <w:rPr>
          <w:b/>
        </w:rPr>
        <w:t>Non-teaching staff:</w:t>
      </w:r>
      <w:r>
        <w:rPr/>
        <w:t xml:space="preserve"> ₹5,000/-</w:t>
      </w:r>
    </w:p>
    <w:p>
      <w:pPr>
        <w:numPr>
          <w:ilvl w:val="1"/>
          <w:numId w:val="90"/>
        </w:numPr>
        <w:spacing w:after="60"/>
      </w:pPr>
      <w:r>
        <w:rPr>
          <w:b/>
        </w:rPr>
        <w:t>Class IV employees:</w:t>
      </w:r>
      <w:r>
        <w:rPr/>
        <w:t xml:space="preserve"> ₹3,000/-</w:t>
      </w:r>
    </w:p>
    <w:p>
      <w:pPr>
        <w:numPr>
          <w:ilvl w:val="0"/>
          <w:numId w:val="90"/>
        </w:numPr>
        <w:spacing w:after="60"/>
      </w:pPr>
      <w:r>
        <w:rPr>
          <w:b/>
        </w:rPr>
        <w:t>Frequency:</w:t>
      </w:r>
      <w:r>
        <w:rPr/>
        <w:t xml:space="preserve"> Once in a year.</w:t>
      </w:r>
    </w:p>
    <w:p>
      <w:pPr>
        <w:numPr>
          <w:ilvl w:val="0"/>
          <w:numId w:val="90"/>
        </w:numPr>
        <w:spacing w:after="60"/>
      </w:pPr>
      <w:r>
        <w:rPr>
          <w:b/>
        </w:rPr>
        <w:t>Recovery:</w:t>
      </w:r>
      <w:r>
        <w:rPr/>
        <w:t xml:space="preserve"> To be recovered in six equal monthly instalments from salary.</w:t>
      </w:r>
    </w:p>
    <w:p>
      <w:pPr>
        <w:numPr>
          <w:ilvl w:val="0"/>
          <w:numId w:val="90"/>
        </w:numPr>
        <w:spacing w:after="60"/>
      </w:pPr>
      <w:r>
        <w:rPr>
          <w:b/>
        </w:rPr>
        <w:t>Approval:</w:t>
      </w:r>
      <w:r>
        <w:rPr/>
        <w:t xml:space="preserve"> Requires prior approval from the Registrar/Finance Officer (FO).</w:t>
      </w:r>
    </w:p>
    <w:p>
      <w:pPr>
        <w:numPr>
          <w:ilvl w:val="0"/>
          <w:numId w:val="90"/>
        </w:numPr>
        <w:spacing w:after="60"/>
      </w:pPr>
      <w:r>
        <w:rPr>
          <w:b/>
        </w:rPr>
        <w:t>Exclusions:</w:t>
      </w:r>
      <w:r>
        <w:rPr/>
        <w:t xml:space="preserve"> Advances like furniture, car purchase, and salary advances are not allowed.</w:t>
      </w:r>
    </w:p>
    <w:p>
      <w:pPr>
        <w:pStyle w:val="Heading3"/>
      </w:pPr>
      <w:r>
        <w:rPr>
          <w:i/>
        </w:rPr>
        <w:t>b. Travel Advance</w:t>
      </w:r>
    </w:p>
    <w:p>
      <w:pPr>
        <w:numPr>
          <w:ilvl w:val="0"/>
          <w:numId w:val="90"/>
        </w:numPr>
        <w:spacing w:after="60"/>
      </w:pPr>
      <w:r>
        <w:rPr>
          <w:b/>
        </w:rPr>
        <w:t>Eligibility:</w:t>
      </w:r>
      <w:r>
        <w:rPr/>
        <w:t xml:space="preserve"> All University employees traveling for official duty.</w:t>
      </w:r>
    </w:p>
    <w:p>
      <w:pPr>
        <w:numPr>
          <w:ilvl w:val="0"/>
          <w:numId w:val="90"/>
        </w:numPr>
        <w:spacing w:after="60"/>
      </w:pPr>
      <w:r>
        <w:rPr>
          <w:b/>
        </w:rPr>
        <w:t>Limit:</w:t>
      </w:r>
      <w:r>
        <w:rPr/>
        <w:t xml:space="preserve"> As per the Travel Policy.</w:t>
      </w:r>
    </w:p>
    <w:p>
      <w:pPr>
        <w:numPr>
          <w:ilvl w:val="0"/>
          <w:numId w:val="90"/>
        </w:numPr>
        <w:spacing w:after="60"/>
      </w:pPr>
      <w:r>
        <w:rPr>
          <w:b/>
        </w:rPr>
        <w:t>Approval:</w:t>
      </w:r>
      <w:r>
        <w:rPr/>
        <w:t xml:space="preserve"> Requires prior approval from the Vice-Chancellor (VC) / Registrar.</w:t>
      </w:r>
    </w:p>
    <w:p>
      <w:pPr>
        <w:numPr>
          <w:ilvl w:val="0"/>
          <w:numId w:val="90"/>
        </w:numPr>
        <w:spacing w:after="60"/>
      </w:pPr>
      <w:r>
        <w:rPr>
          <w:b/>
        </w:rPr>
        <w:t>Settlement:</w:t>
      </w:r>
      <w:r>
        <w:rPr/>
        <w:t xml:space="preserve"> Must be settled within one week of return by submitting:</w:t>
      </w:r>
    </w:p>
    <w:p>
      <w:pPr>
        <w:numPr>
          <w:ilvl w:val="1"/>
          <w:numId w:val="90"/>
        </w:numPr>
        <w:spacing w:after="60"/>
      </w:pPr>
      <w:r>
        <w:rPr/>
        <w:t>Expense report,</w:t>
      </w:r>
    </w:p>
    <w:p>
      <w:pPr>
        <w:numPr>
          <w:ilvl w:val="1"/>
          <w:numId w:val="90"/>
        </w:numPr>
        <w:spacing w:after="60"/>
      </w:pPr>
      <w:r>
        <w:rPr/>
        <w:t>Original supporting bills/receipts,</w:t>
      </w:r>
    </w:p>
    <w:p>
      <w:pPr>
        <w:numPr>
          <w:ilvl w:val="1"/>
          <w:numId w:val="90"/>
        </w:numPr>
        <w:spacing w:after="60"/>
      </w:pPr>
      <w:r>
        <w:rPr/>
        <w:t>Any unspent balance returned to Finance.</w:t>
      </w:r>
    </w:p>
    <w:p>
      <w:pPr>
        <w:pStyle w:val="Heading3"/>
      </w:pPr>
      <w:r>
        <w:rPr>
          <w:i/>
        </w:rPr>
        <w:t>c. Advances towards Academic Activity</w:t>
      </w:r>
    </w:p>
    <w:p>
      <w:pPr>
        <w:numPr>
          <w:ilvl w:val="0"/>
          <w:numId w:val="90"/>
        </w:numPr>
        <w:spacing w:after="60"/>
      </w:pPr>
      <w:r>
        <w:rPr>
          <w:b/>
        </w:rPr>
        <w:t>Applicability:</w:t>
      </w:r>
      <w:r>
        <w:rPr/>
        <w:t xml:space="preserve"> Department-level academic activities (workshops, seminars, guest lectures, etc.).</w:t>
      </w:r>
    </w:p>
    <w:p>
      <w:pPr>
        <w:numPr>
          <w:ilvl w:val="0"/>
          <w:numId w:val="90"/>
        </w:numPr>
        <w:spacing w:after="60"/>
      </w:pPr>
      <w:r>
        <w:rPr>
          <w:b/>
        </w:rPr>
        <w:t>Limit:</w:t>
      </w:r>
    </w:p>
    <w:p>
      <w:pPr>
        <w:numPr>
          <w:ilvl w:val="1"/>
          <w:numId w:val="90"/>
        </w:numPr>
        <w:spacing w:after="60"/>
      </w:pPr>
      <w:r>
        <w:rPr>
          <w:b/>
        </w:rPr>
        <w:t>Minimum:</w:t>
      </w:r>
      <w:r>
        <w:rPr/>
        <w:t xml:space="preserve"> ₹5,000/-</w:t>
      </w:r>
    </w:p>
    <w:p>
      <w:pPr>
        <w:numPr>
          <w:ilvl w:val="1"/>
          <w:numId w:val="90"/>
        </w:numPr>
        <w:spacing w:after="60"/>
      </w:pPr>
      <w:r>
        <w:rPr>
          <w:b/>
        </w:rPr>
        <w:t>Maximum:</w:t>
      </w:r>
      <w:r>
        <w:rPr/>
        <w:t xml:space="preserve"> ₹20,000/-</w:t>
      </w:r>
    </w:p>
    <w:p>
      <w:pPr>
        <w:numPr>
          <w:ilvl w:val="0"/>
          <w:numId w:val="90"/>
        </w:numPr>
        <w:spacing w:after="60"/>
      </w:pPr>
      <w:r>
        <w:rPr>
          <w:b/>
        </w:rPr>
        <w:t>Approval:</w:t>
      </w:r>
      <w:r>
        <w:rPr/>
        <w:t xml:space="preserve"> Prior approval from the VC / Registrar.</w:t>
      </w:r>
    </w:p>
    <w:p>
      <w:pPr>
        <w:numPr>
          <w:ilvl w:val="0"/>
          <w:numId w:val="90"/>
        </w:numPr>
        <w:spacing w:after="60"/>
      </w:pPr>
      <w:r>
        <w:rPr>
          <w:b/>
        </w:rPr>
        <w:t>Civil Contractors:</w:t>
      </w:r>
      <w:r>
        <w:rPr/>
        <w:t xml:space="preserve"> Advances to contractors for construction require approvals from:</w:t>
      </w:r>
    </w:p>
    <w:p>
      <w:pPr>
        <w:numPr>
          <w:ilvl w:val="1"/>
          <w:numId w:val="90"/>
        </w:numPr>
        <w:spacing w:after="60"/>
      </w:pPr>
      <w:r>
        <w:rPr/>
        <w:t>Chief Engineer (Construction Cell),</w:t>
      </w:r>
    </w:p>
    <w:p>
      <w:pPr>
        <w:numPr>
          <w:ilvl w:val="1"/>
          <w:numId w:val="90"/>
        </w:numPr>
        <w:spacing w:after="60"/>
      </w:pPr>
      <w:r>
        <w:rPr/>
        <w:t>Vice-Chancellor (VC),</w:t>
      </w:r>
    </w:p>
    <w:p>
      <w:pPr>
        <w:numPr>
          <w:ilvl w:val="1"/>
          <w:numId w:val="90"/>
        </w:numPr>
        <w:spacing w:after="60"/>
      </w:pPr>
      <w:r>
        <w:rPr/>
        <w:t>Finance Officer (FO).</w:t>
      </w:r>
    </w:p>
    <w:p>
      <w:pPr>
        <w:numPr>
          <w:ilvl w:val="0"/>
          <w:numId w:val="90"/>
        </w:numPr>
        <w:spacing w:after="60"/>
      </w:pPr>
      <w:r>
        <w:rPr>
          <w:b/>
        </w:rPr>
        <w:t>Disbursement:</w:t>
      </w:r>
      <w:r>
        <w:rPr/>
        <w:t xml:space="preserve"> Advances are released only after all three approvals.</w:t>
      </w:r>
    </w:p>
    <w:p>
      <w:pPr>
        <w:pStyle w:val="Heading3"/>
      </w:pPr>
      <w:r>
        <w:rPr>
          <w:i/>
        </w:rPr>
        <w:t>d. Advances to Vendors</w:t>
      </w:r>
    </w:p>
    <w:p>
      <w:pPr>
        <w:numPr>
          <w:ilvl w:val="0"/>
          <w:numId w:val="90"/>
        </w:numPr>
        <w:spacing w:after="60"/>
      </w:pPr>
      <w:r>
        <w:rPr>
          <w:b/>
        </w:rPr>
        <w:t>Purpose:</w:t>
      </w:r>
      <w:r>
        <w:rPr/>
        <w:t xml:space="preserve"> Only against the purchase of capital goods/assets.</w:t>
      </w:r>
    </w:p>
    <w:p>
      <w:pPr>
        <w:numPr>
          <w:ilvl w:val="0"/>
          <w:numId w:val="90"/>
        </w:numPr>
        <w:spacing w:after="60"/>
      </w:pPr>
      <w:r>
        <w:rPr>
          <w:b/>
        </w:rPr>
        <w:t>Approval Matrix:</w:t>
      </w:r>
      <w:r>
        <w:rPr/>
        <w:t xml:space="preserve"> VC, Registrar, and Finance Officer must all approve before release.</w:t>
      </w:r>
    </w:p>
    <w:p>
      <w:pPr>
        <w:numPr>
          <w:ilvl w:val="0"/>
          <w:numId w:val="90"/>
        </w:numPr>
        <w:spacing w:after="60"/>
      </w:pPr>
      <w:r>
        <w:rPr>
          <w:b/>
        </w:rPr>
        <w:t>Control:</w:t>
      </w:r>
      <w:r>
        <w:rPr/>
        <w:t xml:space="preserve"> Payment released directly to vendor’s account after authorization.</w:t>
      </w:r>
    </w:p>
    <w:p>
      <w:pPr>
        <w:pStyle w:val="Heading3"/>
      </w:pPr>
      <w:r>
        <w:rPr>
          <w:i/>
        </w:rPr>
        <w:t>e. Deposits</w:t>
      </w:r>
    </w:p>
    <w:p>
      <w:pPr>
        <w:tabs>
          <w:tab w:pos="425" w:val="left"/>
        </w:tabs>
        <w:spacing w:after="60"/>
        <w:ind w:left="425" w:hanging="425"/>
      </w:pPr>
      <w:r>
        <w:rPr/>
        <w:t>1.</w:t>
        <w:tab/>
        <w:t>Caution Deposits (Students):</w:t>
      </w:r>
    </w:p>
    <w:p>
      <w:pPr>
        <w:numPr>
          <w:ilvl w:val="1"/>
          <w:numId w:val="90"/>
        </w:numPr>
        <w:spacing w:after="60"/>
      </w:pPr>
      <w:r>
        <w:rPr/>
        <w:t>Collected at the time of admission.</w:t>
      </w:r>
    </w:p>
    <w:p>
      <w:pPr>
        <w:numPr>
          <w:ilvl w:val="1"/>
          <w:numId w:val="90"/>
        </w:numPr>
        <w:spacing w:after="60"/>
      </w:pPr>
      <w:r>
        <w:rPr/>
        <w:t>Refundable at the end of the course after submission/return of ID card.</w:t>
      </w:r>
    </w:p>
    <w:p>
      <w:pPr>
        <w:numPr>
          <w:ilvl w:val="1"/>
          <w:numId w:val="90"/>
        </w:numPr>
        <w:spacing w:after="60"/>
      </w:pPr>
      <w:r>
        <w:rPr/>
        <w:t>Any unclaimed balance after the course completion period will be transferred to Miscellaneous Revenue and cannot be refunded.</w:t>
      </w:r>
    </w:p>
    <w:p>
      <w:pPr>
        <w:tabs>
          <w:tab w:pos="425" w:val="left"/>
        </w:tabs>
        <w:spacing w:after="60"/>
        <w:ind w:left="425" w:hanging="425"/>
      </w:pPr>
      <w:r>
        <w:rPr/>
        <w:t>2.</w:t>
        <w:tab/>
        <w:t>Hostel Deposits (Students in Hostel):</w:t>
      </w:r>
    </w:p>
    <w:p>
      <w:pPr>
        <w:numPr>
          <w:ilvl w:val="1"/>
          <w:numId w:val="90"/>
        </w:numPr>
        <w:spacing w:after="60"/>
      </w:pPr>
      <w:r>
        <w:rPr/>
        <w:t>Collected from students availing hostel facilities.</w:t>
      </w:r>
    </w:p>
    <w:p>
      <w:pPr>
        <w:numPr>
          <w:ilvl w:val="1"/>
          <w:numId w:val="90"/>
        </w:numPr>
        <w:spacing w:after="60"/>
      </w:pPr>
      <w:r>
        <w:rPr/>
        <w:t>Refundable at the end of the course after submission/return of Hostel ID card.</w:t>
      </w:r>
    </w:p>
    <w:p>
      <w:pPr>
        <w:numPr>
          <w:ilvl w:val="1"/>
          <w:numId w:val="90"/>
        </w:numPr>
        <w:spacing w:after="60"/>
      </w:pPr>
      <w:r>
        <w:rPr/>
        <w:t>Unclaimed balances after course completion transferred to Miscellaneous Revenue.</w:t>
      </w:r>
    </w:p>
    <w:p>
      <w:pPr>
        <w:tabs>
          <w:tab w:pos="425" w:val="left"/>
        </w:tabs>
        <w:spacing w:after="60"/>
        <w:ind w:left="425" w:hanging="425"/>
      </w:pPr>
      <w:r>
        <w:rPr/>
        <w:t>3.</w:t>
        <w:tab/>
        <w:t>Mess Deposits (Vendors):</w:t>
      </w:r>
    </w:p>
    <w:p>
      <w:pPr>
        <w:numPr>
          <w:ilvl w:val="1"/>
          <w:numId w:val="90"/>
        </w:numPr>
        <w:spacing w:after="60"/>
      </w:pPr>
      <w:r>
        <w:rPr/>
        <w:t>Collected from mess vendors as a security deposit during contract initiation.</w:t>
      </w:r>
    </w:p>
    <w:p>
      <w:pPr>
        <w:numPr>
          <w:ilvl w:val="1"/>
          <w:numId w:val="90"/>
        </w:numPr>
        <w:spacing w:after="60"/>
      </w:pPr>
      <w:r>
        <w:rPr/>
        <w:t>Refundable at the end of the vendor’s contract if not renewed/extended.</w:t>
      </w:r>
    </w:p>
    <w:p>
      <w:pPr>
        <w:numPr>
          <w:ilvl w:val="1"/>
          <w:numId w:val="90"/>
        </w:numPr>
        <w:spacing w:after="60"/>
      </w:pPr>
      <w:r>
        <w:rPr/>
        <w:t>Vendors are responsible for rent, electricity, and water charges.</w:t>
      </w:r>
    </w:p>
    <w:p>
      <w:pPr>
        <w:numPr>
          <w:ilvl w:val="1"/>
          <w:numId w:val="90"/>
        </w:numPr>
        <w:spacing w:after="60"/>
      </w:pPr>
      <w:r>
        <w:rPr/>
        <w:t>HEI must renew or replace vendor contracts annually, based on student feedback.</w:t>
      </w:r>
    </w:p>
    <w:p>
      <w:pPr>
        <w:pStyle w:val="Heading2"/>
      </w:pPr>
      <w:r>
        <w:rPr/>
        <w:t>Caution Deposits Policy</w:t>
      </w:r>
    </w:p>
    <w:p>
      <w:r>
        <w:rPr>
          <w:i/>
        </w:rPr>
        <w:t>Refund Procedure:</w:t>
      </w:r>
    </w:p>
    <w:p>
      <w:pPr>
        <w:numPr>
          <w:ilvl w:val="0"/>
          <w:numId w:val="90"/>
        </w:numPr>
        <w:spacing w:after="60"/>
      </w:pPr>
      <w:r>
        <w:rPr/>
        <w:t>Caution deposits made by students will be refunded when the student leaves the college.</w:t>
      </w:r>
    </w:p>
    <w:p>
      <w:pPr>
        <w:numPr>
          <w:ilvl w:val="0"/>
          <w:numId w:val="90"/>
        </w:numPr>
        <w:spacing w:after="60"/>
      </w:pPr>
      <w:r>
        <w:rPr/>
        <w:t>Before refunding, the following charges (if applicable) will be deducted:</w:t>
      </w:r>
    </w:p>
    <w:p>
      <w:pPr>
        <w:tabs>
          <w:tab w:pos="425" w:val="left"/>
        </w:tabs>
        <w:spacing w:after="60"/>
        <w:ind w:left="425" w:hanging="425"/>
      </w:pPr>
      <w:r>
        <w:rPr/>
        <w:t>1.</w:t>
        <w:tab/>
        <w:t>ID Card replacement or charges.</w:t>
      </w:r>
    </w:p>
    <w:p>
      <w:pPr>
        <w:tabs>
          <w:tab w:pos="425" w:val="left"/>
        </w:tabs>
        <w:spacing w:after="60"/>
        <w:ind w:left="425" w:hanging="425"/>
      </w:pPr>
      <w:r>
        <w:rPr/>
        <w:t>2.</w:t>
        <w:tab/>
        <w:t>Industrial Visit charges.</w:t>
      </w:r>
    </w:p>
    <w:p>
      <w:pPr>
        <w:tabs>
          <w:tab w:pos="425" w:val="left"/>
        </w:tabs>
        <w:spacing w:after="60"/>
        <w:ind w:left="425" w:hanging="425"/>
      </w:pPr>
      <w:r>
        <w:rPr/>
        <w:t>3.</w:t>
        <w:tab/>
        <w:t>Alumni Membership fee.</w:t>
      </w:r>
    </w:p>
    <w:p>
      <w:pPr>
        <w:tabs>
          <w:tab w:pos="425" w:val="left"/>
        </w:tabs>
        <w:spacing w:after="60"/>
        <w:ind w:left="425" w:hanging="425"/>
      </w:pPr>
      <w:r>
        <w:rPr/>
        <w:t>4.</w:t>
        <w:tab/>
        <w:t>Souvenir charges.</w:t>
      </w:r>
    </w:p>
    <w:p>
      <w:pPr>
        <w:tabs>
          <w:tab w:pos="425" w:val="left"/>
        </w:tabs>
        <w:spacing w:after="60"/>
        <w:ind w:left="425" w:hanging="425"/>
      </w:pPr>
      <w:r>
        <w:rPr/>
        <w:t>5.</w:t>
        <w:tab/>
        <w:t>Any dues pending from labs, library, or college facilities.</w:t>
      </w:r>
    </w:p>
    <w:p>
      <w:r>
        <w:rPr>
          <w:i/>
        </w:rPr>
        <w:t>Account Reconciliation:</w:t>
      </w:r>
    </w:p>
    <w:p>
      <w:pPr>
        <w:numPr>
          <w:ilvl w:val="0"/>
          <w:numId w:val="90"/>
        </w:numPr>
        <w:spacing w:after="60"/>
      </w:pPr>
      <w:r>
        <w:rPr/>
        <w:t>The Caution Deposit Account must be reconciled at the end of every financial year to ensure:</w:t>
      </w:r>
    </w:p>
    <w:p>
      <w:pPr>
        <w:numPr>
          <w:ilvl w:val="1"/>
          <w:numId w:val="90"/>
        </w:numPr>
        <w:spacing w:after="60"/>
      </w:pPr>
      <w:r>
        <w:rPr/>
        <w:t>Proper accounting of all dues and refunds.</w:t>
      </w:r>
    </w:p>
    <w:p>
      <w:pPr>
        <w:numPr>
          <w:ilvl w:val="1"/>
          <w:numId w:val="90"/>
        </w:numPr>
        <w:spacing w:after="60"/>
      </w:pPr>
      <w:r>
        <w:rPr/>
        <w:t>Transparency and correctness in the handling of student deposits.</w:t>
      </w:r>
    </w:p>
    <w:p>
      <w:pPr>
        <w:spacing w:after="0"/>
      </w:pPr>
      <w:r>
        <w:br w:type="page"/>
      </w:r>
    </w:p>
    <w:p>
      <w:pPr>
        <w:pStyle w:val="Heading1"/>
        <w:spacing w:before="0"/>
      </w:pPr>
      <w:r>
        <w:rPr/>
        <w:t>46. Gifts &amp; Donation Policy</w:t>
      </w:r>
    </w:p>
    <w:p>
      <w:pPr>
        <w:pStyle w:val="Heading2"/>
      </w:pPr>
      <w:r>
        <w:rPr/>
        <w:t>Objective</w:t>
      </w:r>
    </w:p>
    <w:p>
      <w:pPr>
        <w:numPr>
          <w:ilvl w:val="0"/>
          <w:numId w:val="90"/>
        </w:numPr>
        <w:spacing w:after="60"/>
      </w:pPr>
      <w:r>
        <w:rPr/>
        <w:t>The objective of this policy is to establish clear guidelines for the receipt, management, and utilization of donations and gifts received by the Higher Education Institution (HEI) from individuals, corporate entities, philanthropic organizations, alumni, and other stakeholders.</w:t>
      </w:r>
    </w:p>
    <w:p>
      <w:pPr>
        <w:numPr>
          <w:ilvl w:val="0"/>
          <w:numId w:val="90"/>
        </w:numPr>
        <w:spacing w:after="60"/>
      </w:pPr>
      <w:r>
        <w:rPr/>
        <w:t>This policy ensures that donations and gifts are:</w:t>
      </w:r>
    </w:p>
    <w:p>
      <w:pPr>
        <w:numPr>
          <w:ilvl w:val="1"/>
          <w:numId w:val="90"/>
        </w:numPr>
        <w:spacing w:after="60"/>
      </w:pPr>
      <w:r>
        <w:rPr/>
        <w:t>Used responsibly and transparently in alignment with the mission, vision, and strategic priorities of the HEI.</w:t>
      </w:r>
    </w:p>
    <w:p>
      <w:pPr>
        <w:numPr>
          <w:ilvl w:val="1"/>
          <w:numId w:val="90"/>
        </w:numPr>
        <w:spacing w:after="60"/>
      </w:pPr>
      <w:r>
        <w:rPr/>
        <w:t>Directed towards academic, research, student welfare, and infrastructure development activities that enhance institutional quality and reputation.</w:t>
      </w:r>
    </w:p>
    <w:p>
      <w:pPr>
        <w:numPr>
          <w:ilvl w:val="1"/>
          <w:numId w:val="90"/>
        </w:numPr>
        <w:spacing w:after="60"/>
      </w:pPr>
      <w:r>
        <w:rPr/>
        <w:t>Compliant with statutory requirements, donor stipulations, and institutional governance frameworks.</w:t>
      </w:r>
    </w:p>
    <w:p>
      <w:pPr>
        <w:numPr>
          <w:ilvl w:val="0"/>
          <w:numId w:val="90"/>
        </w:numPr>
        <w:spacing w:after="60"/>
      </w:pPr>
      <w:r>
        <w:rPr/>
        <w:t>The policy also aims to:</w:t>
      </w:r>
    </w:p>
    <w:p>
      <w:pPr>
        <w:numPr>
          <w:ilvl w:val="1"/>
          <w:numId w:val="90"/>
        </w:numPr>
        <w:spacing w:after="60"/>
      </w:pPr>
      <w:r>
        <w:rPr/>
        <w:t>Promote trust and accountability between the institution and its donors.</w:t>
      </w:r>
    </w:p>
    <w:p>
      <w:pPr>
        <w:numPr>
          <w:ilvl w:val="1"/>
          <w:numId w:val="90"/>
        </w:numPr>
        <w:spacing w:after="60"/>
      </w:pPr>
      <w:r>
        <w:rPr/>
        <w:t>Ensure that donations and gifts contribute to long-term sustainability and value creation for the HEI.</w:t>
      </w:r>
    </w:p>
    <w:p>
      <w:pPr>
        <w:numPr>
          <w:ilvl w:val="1"/>
          <w:numId w:val="90"/>
        </w:numPr>
        <w:spacing w:after="60"/>
      </w:pPr>
      <w:r>
        <w:rPr/>
        <w:t>Provide a structured process for acceptance, acknowledgment, allocation, monitoring, and reporting of all contributions.</w:t>
      </w:r>
    </w:p>
    <w:p>
      <w:pPr>
        <w:pStyle w:val="Heading2"/>
      </w:pPr>
      <w:r>
        <w:rPr/>
        <w:t>Funds from Donators</w:t>
      </w:r>
    </w:p>
    <w:p>
      <w:pPr>
        <w:pStyle w:val="Heading3"/>
      </w:pPr>
      <w:r>
        <w:rPr/>
        <w:t>1. Purpose of Donations:</w:t>
      </w:r>
    </w:p>
    <w:p>
      <w:pPr>
        <w:numPr>
          <w:ilvl w:val="1"/>
          <w:numId w:val="90"/>
        </w:numPr>
        <w:spacing w:after="60"/>
      </w:pPr>
      <w:r>
        <w:rPr/>
        <w:t>Donations can be collected for various purposes, including but not limited to:</w:t>
      </w:r>
    </w:p>
    <w:p>
      <w:pPr>
        <w:numPr>
          <w:ilvl w:val="2"/>
          <w:numId w:val="90"/>
        </w:numPr>
        <w:spacing w:after="60"/>
      </w:pPr>
      <w:r>
        <w:rPr>
          <w:b/>
        </w:rPr>
        <w:t>Research Funding:</w:t>
      </w:r>
      <w:r>
        <w:rPr/>
        <w:t xml:space="preserve"> Supporting research projects and academic initiatives.</w:t>
      </w:r>
    </w:p>
    <w:p>
      <w:pPr>
        <w:numPr>
          <w:ilvl w:val="2"/>
          <w:numId w:val="90"/>
        </w:numPr>
        <w:spacing w:after="60"/>
      </w:pPr>
      <w:r>
        <w:rPr>
          <w:b/>
        </w:rPr>
        <w:t>Infrastructure Development:</w:t>
      </w:r>
      <w:r>
        <w:rPr/>
        <w:t xml:space="preserve"> Enhancing and expanding the physical infrastructure of the institution.</w:t>
      </w:r>
    </w:p>
    <w:p>
      <w:pPr>
        <w:numPr>
          <w:ilvl w:val="2"/>
          <w:numId w:val="90"/>
        </w:numPr>
        <w:spacing w:after="60"/>
      </w:pPr>
      <w:r>
        <w:rPr>
          <w:b/>
        </w:rPr>
        <w:t>Development of Amenities:</w:t>
      </w:r>
      <w:r>
        <w:rPr/>
        <w:t xml:space="preserve"> Improving facilities such as libraries, labs, sports facilities, and student welfare programs.</w:t>
      </w:r>
    </w:p>
    <w:p>
      <w:pPr>
        <w:numPr>
          <w:ilvl w:val="2"/>
          <w:numId w:val="90"/>
        </w:numPr>
        <w:spacing w:after="60"/>
      </w:pPr>
      <w:r>
        <w:rPr>
          <w:b/>
        </w:rPr>
        <w:t>Scholarships:</w:t>
      </w:r>
      <w:r>
        <w:rPr/>
        <w:t xml:space="preserve"> Funding scholarships to support deserving students financially and encourage academic excellence.</w:t>
      </w:r>
    </w:p>
    <w:p>
      <w:pPr>
        <w:pStyle w:val="Heading3"/>
      </w:pPr>
      <w:r>
        <w:rPr/>
        <w:t>2. Donation Management:</w:t>
      </w:r>
    </w:p>
    <w:p>
      <w:pPr>
        <w:numPr>
          <w:ilvl w:val="1"/>
          <w:numId w:val="90"/>
        </w:numPr>
        <w:spacing w:after="60"/>
      </w:pPr>
      <w:r>
        <w:rPr/>
        <w:t>All donations must be properly documented, specifying the purpose for which the funds are intended.</w:t>
      </w:r>
    </w:p>
    <w:p>
      <w:pPr>
        <w:numPr>
          <w:ilvl w:val="1"/>
          <w:numId w:val="90"/>
        </w:numPr>
        <w:spacing w:after="60"/>
      </w:pPr>
      <w:r>
        <w:rPr/>
        <w:t>A transparent system should be in place to manage and allocate donations in accordance with the specified objectives.</w:t>
      </w:r>
    </w:p>
    <w:p>
      <w:pPr>
        <w:pStyle w:val="Heading3"/>
      </w:pPr>
      <w:r>
        <w:rPr/>
        <w:t>3. Acknowledgement of Donations:</w:t>
      </w:r>
    </w:p>
    <w:p>
      <w:pPr>
        <w:numPr>
          <w:ilvl w:val="1"/>
          <w:numId w:val="90"/>
        </w:numPr>
        <w:spacing w:after="60"/>
      </w:pPr>
      <w:r>
        <w:rPr/>
        <w:t>Donors should receive proper acknowledgment for their contributions, including receipts and recognition in relevant institutional communications (annual reports, websites, etc.).</w:t>
      </w:r>
    </w:p>
    <w:p>
      <w:pPr>
        <w:numPr>
          <w:ilvl w:val="1"/>
          <w:numId w:val="90"/>
        </w:numPr>
        <w:spacing w:after="60"/>
      </w:pPr>
      <w:r>
        <w:rPr/>
        <w:t>Special appreciation or recognition can be given to major donors, including naming rights for certain facilities or scholarships.</w:t>
      </w:r>
    </w:p>
    <w:p>
      <w:pPr>
        <w:pStyle w:val="Heading3"/>
      </w:pPr>
      <w:r>
        <w:rPr/>
        <w:t>4. Utilization of Funds:</w:t>
      </w:r>
    </w:p>
    <w:p>
      <w:pPr>
        <w:numPr>
          <w:ilvl w:val="1"/>
          <w:numId w:val="90"/>
        </w:numPr>
        <w:spacing w:after="60"/>
      </w:pPr>
      <w:r>
        <w:rPr/>
        <w:t>Donations will be strictly utilized for the designated purposes as agreed upon by the institution and the donors.</w:t>
      </w:r>
    </w:p>
    <w:p>
      <w:pPr>
        <w:numPr>
          <w:ilvl w:val="1"/>
          <w:numId w:val="90"/>
        </w:numPr>
        <w:spacing w:after="60"/>
      </w:pPr>
      <w:r>
        <w:rPr/>
        <w:t>The institution should ensure proper auditing of the funds to ensure transparency and accountability in their use.</w:t>
      </w:r>
    </w:p>
    <w:p>
      <w:pPr>
        <w:pStyle w:val="Heading2"/>
      </w:pPr>
      <w:r>
        <w:rPr/>
        <w:t>Receipt of Cash Gifts from Non-Employees</w:t>
      </w:r>
    </w:p>
    <w:p>
      <w:pPr>
        <w:numPr>
          <w:ilvl w:val="0"/>
          <w:numId w:val="90"/>
        </w:numPr>
        <w:spacing w:after="60"/>
      </w:pPr>
      <w:r>
        <w:rPr/>
        <w:t>Eligible Donors</w:t>
      </w:r>
    </w:p>
    <w:p>
      <w:pPr>
        <w:numPr>
          <w:ilvl w:val="1"/>
          <w:numId w:val="90"/>
        </w:numPr>
        <w:spacing w:after="60"/>
      </w:pPr>
      <w:r>
        <w:rPr/>
        <w:t>Cash gifts may be received from alumni, parents, corporations, foundations, philanthropic organizations, and individual well-wishers.</w:t>
      </w:r>
    </w:p>
    <w:p>
      <w:pPr>
        <w:numPr>
          <w:ilvl w:val="1"/>
          <w:numId w:val="90"/>
        </w:numPr>
        <w:spacing w:after="60"/>
      </w:pPr>
      <w:r>
        <w:rPr/>
        <w:t>These contributions must be voluntary, unconditional (unless specific donor instructions are provided), and aligned with the mission and values of the HEI.</w:t>
      </w:r>
    </w:p>
    <w:p>
      <w:pPr>
        <w:numPr>
          <w:ilvl w:val="0"/>
          <w:numId w:val="90"/>
        </w:numPr>
        <w:spacing w:after="60"/>
      </w:pPr>
      <w:r>
        <w:rPr/>
        <w:t>Receiving Points</w:t>
      </w:r>
    </w:p>
    <w:p>
      <w:pPr>
        <w:numPr>
          <w:ilvl w:val="1"/>
          <w:numId w:val="90"/>
        </w:numPr>
        <w:spacing w:after="60"/>
      </w:pPr>
      <w:r>
        <w:rPr/>
        <w:t>Gifts may be received directly by the Institute Office or through other departments across the HEI.</w:t>
      </w:r>
    </w:p>
    <w:p>
      <w:pPr>
        <w:numPr>
          <w:ilvl w:val="1"/>
          <w:numId w:val="90"/>
        </w:numPr>
        <w:spacing w:after="60"/>
      </w:pPr>
      <w:r>
        <w:rPr/>
        <w:t>Regardless of the initial receiving point, all gifts must be reported to and processed through the Accounts Department for financial recording and compliance.</w:t>
      </w:r>
    </w:p>
    <w:p>
      <w:pPr>
        <w:numPr>
          <w:ilvl w:val="0"/>
          <w:numId w:val="90"/>
        </w:numPr>
        <w:spacing w:after="60"/>
      </w:pPr>
      <w:r>
        <w:rPr/>
        <w:t>Deposit and Recording</w:t>
      </w:r>
    </w:p>
    <w:p>
      <w:pPr>
        <w:numPr>
          <w:ilvl w:val="1"/>
          <w:numId w:val="90"/>
        </w:numPr>
        <w:spacing w:after="60"/>
      </w:pPr>
      <w:r>
        <w:rPr/>
        <w:t>The Accounts Department shall:</w:t>
      </w:r>
    </w:p>
    <w:p>
      <w:pPr>
        <w:numPr>
          <w:ilvl w:val="2"/>
          <w:numId w:val="90"/>
        </w:numPr>
        <w:spacing w:after="60"/>
      </w:pPr>
      <w:r>
        <w:rPr/>
        <w:t>Record all cash gifts received with complete donor details (name, address, purpose, donor’s instructions if any).</w:t>
      </w:r>
    </w:p>
    <w:p>
      <w:pPr>
        <w:numPr>
          <w:ilvl w:val="2"/>
          <w:numId w:val="90"/>
        </w:numPr>
        <w:spacing w:after="60"/>
      </w:pPr>
      <w:r>
        <w:rPr/>
        <w:t>Deposit the funds directly into the HEI’s designated bank account under the name/reference of the donor.</w:t>
      </w:r>
    </w:p>
    <w:p>
      <w:pPr>
        <w:numPr>
          <w:ilvl w:val="2"/>
          <w:numId w:val="90"/>
        </w:numPr>
        <w:spacing w:after="60"/>
      </w:pPr>
      <w:r>
        <w:rPr/>
        <w:t>Issue an official receipt/acknowledgment to the donor for audit and donor-relations purposes.</w:t>
      </w:r>
    </w:p>
    <w:p>
      <w:pPr>
        <w:numPr>
          <w:ilvl w:val="0"/>
          <w:numId w:val="90"/>
        </w:numPr>
        <w:spacing w:after="60"/>
      </w:pPr>
      <w:r>
        <w:rPr/>
        <w:t>Utilization of Funds</w:t>
      </w:r>
    </w:p>
    <w:p>
      <w:pPr>
        <w:numPr>
          <w:ilvl w:val="1"/>
          <w:numId w:val="90"/>
        </w:numPr>
        <w:spacing w:after="60"/>
      </w:pPr>
      <w:r>
        <w:rPr/>
        <w:t>Gifted funds shall be utilized:</w:t>
      </w:r>
    </w:p>
    <w:p>
      <w:pPr>
        <w:numPr>
          <w:ilvl w:val="2"/>
          <w:numId w:val="90"/>
        </w:numPr>
        <w:spacing w:after="60"/>
      </w:pPr>
      <w:r>
        <w:rPr/>
        <w:t>As per the donor’s instructions, if a specific purpose (e.g., scholarships, infrastructure, research, cultural activities) has been indicated.</w:t>
      </w:r>
    </w:p>
    <w:p>
      <w:pPr>
        <w:numPr>
          <w:ilvl w:val="2"/>
          <w:numId w:val="90"/>
        </w:numPr>
        <w:spacing w:after="60"/>
      </w:pPr>
      <w:r>
        <w:rPr/>
        <w:t>For institutional development purposes, if the donation is unrestricted.</w:t>
      </w:r>
    </w:p>
    <w:p>
      <w:pPr>
        <w:numPr>
          <w:ilvl w:val="1"/>
          <w:numId w:val="90"/>
        </w:numPr>
        <w:spacing w:after="60"/>
      </w:pPr>
      <w:r>
        <w:rPr/>
        <w:t>All utilizations must be authorized by the Registrar/Finance Officer, ensuring compliance with both donor intent and institutional policy.</w:t>
      </w:r>
    </w:p>
    <w:p>
      <w:pPr>
        <w:numPr>
          <w:ilvl w:val="0"/>
          <w:numId w:val="90"/>
        </w:numPr>
        <w:spacing w:after="60"/>
      </w:pPr>
      <w:r>
        <w:rPr/>
        <w:t>Transparency and Accountability</w:t>
      </w:r>
    </w:p>
    <w:p>
      <w:pPr>
        <w:numPr>
          <w:ilvl w:val="1"/>
          <w:numId w:val="90"/>
        </w:numPr>
        <w:spacing w:after="60"/>
      </w:pPr>
      <w:r>
        <w:rPr/>
        <w:t>A separate ledger/accounting head shall be maintained for tracking cash gifts to ensure clarity in utilization and reporting.</w:t>
      </w:r>
    </w:p>
    <w:p>
      <w:pPr>
        <w:numPr>
          <w:ilvl w:val="1"/>
          <w:numId w:val="90"/>
        </w:numPr>
        <w:spacing w:after="60"/>
      </w:pPr>
      <w:r>
        <w:rPr/>
        <w:t>Periodic reports (quarterly/annual) on donations received and utilized must be prepared for submission to the Governing Body and shared with donors, where applicable.</w:t>
      </w:r>
    </w:p>
    <w:p>
      <w:pPr>
        <w:numPr>
          <w:ilvl w:val="1"/>
          <w:numId w:val="90"/>
        </w:numPr>
        <w:spacing w:after="60"/>
      </w:pPr>
      <w:r>
        <w:rPr/>
        <w:t>Any unutilized funds should remain in the designated account until used for the specified purpose.</w:t>
      </w:r>
    </w:p>
    <w:p>
      <w:pPr>
        <w:pStyle w:val="Heading2"/>
      </w:pPr>
      <w:r>
        <w:rPr/>
        <w:t>Receipt of Gifts from Retired Employees</w:t>
      </w:r>
    </w:p>
    <w:p>
      <w:pPr>
        <w:numPr>
          <w:ilvl w:val="0"/>
          <w:numId w:val="90"/>
        </w:numPr>
        <w:spacing w:after="60"/>
      </w:pPr>
      <w:r>
        <w:rPr/>
        <w:t>Source of Gifts</w:t>
      </w:r>
    </w:p>
    <w:p>
      <w:pPr>
        <w:numPr>
          <w:ilvl w:val="1"/>
          <w:numId w:val="90"/>
        </w:numPr>
        <w:spacing w:after="60"/>
      </w:pPr>
      <w:r>
        <w:rPr/>
        <w:t>Retired employees of the HEI may voluntarily contribute cash gifts to their respective institutes as a gesture of goodwill, gratitude, or support for ongoing institutional development.</w:t>
      </w:r>
    </w:p>
    <w:p>
      <w:pPr>
        <w:numPr>
          <w:ilvl w:val="0"/>
          <w:numId w:val="90"/>
        </w:numPr>
        <w:spacing w:after="60"/>
      </w:pPr>
      <w:r>
        <w:rPr/>
        <w:t>Process of Receipt</w:t>
      </w:r>
    </w:p>
    <w:p>
      <w:pPr>
        <w:numPr>
          <w:ilvl w:val="1"/>
          <w:numId w:val="90"/>
        </w:numPr>
        <w:spacing w:after="60"/>
      </w:pPr>
      <w:r>
        <w:rPr/>
        <w:t>Cash gifts may be received directly by the respective institutes from retired employees.</w:t>
      </w:r>
    </w:p>
    <w:p>
      <w:pPr>
        <w:numPr>
          <w:ilvl w:val="1"/>
          <w:numId w:val="90"/>
        </w:numPr>
        <w:spacing w:after="60"/>
      </w:pPr>
      <w:r>
        <w:rPr/>
        <w:t>Immediately upon receipt, the institute must:</w:t>
      </w:r>
    </w:p>
    <w:p>
      <w:pPr>
        <w:numPr>
          <w:ilvl w:val="2"/>
          <w:numId w:val="90"/>
        </w:numPr>
        <w:spacing w:after="60"/>
      </w:pPr>
      <w:r>
        <w:rPr/>
        <w:t>Generate an official receipt in the name of the donor.</w:t>
      </w:r>
    </w:p>
    <w:p>
      <w:pPr>
        <w:numPr>
          <w:ilvl w:val="2"/>
          <w:numId w:val="90"/>
        </w:numPr>
        <w:spacing w:after="60"/>
      </w:pPr>
      <w:r>
        <w:rPr/>
        <w:t>Record donor details (name, employee ID/retirement details, purpose of donation, if specified).</w:t>
      </w:r>
    </w:p>
    <w:p>
      <w:pPr>
        <w:numPr>
          <w:ilvl w:val="2"/>
          <w:numId w:val="90"/>
        </w:numPr>
        <w:spacing w:after="60"/>
      </w:pPr>
      <w:r>
        <w:rPr/>
        <w:t>Ensure that the amount is deposited without delay into the designated bank account of the institute.</w:t>
      </w:r>
    </w:p>
    <w:p>
      <w:pPr>
        <w:numPr>
          <w:ilvl w:val="0"/>
          <w:numId w:val="90"/>
        </w:numPr>
        <w:spacing w:after="60"/>
      </w:pPr>
      <w:r>
        <w:rPr/>
        <w:t>Utilization of Funds</w:t>
      </w:r>
    </w:p>
    <w:p>
      <w:pPr>
        <w:numPr>
          <w:ilvl w:val="1"/>
          <w:numId w:val="90"/>
        </w:numPr>
        <w:spacing w:after="60"/>
      </w:pPr>
      <w:r>
        <w:rPr/>
        <w:t>Funds contributed shall be used:</w:t>
      </w:r>
    </w:p>
    <w:p>
      <w:pPr>
        <w:numPr>
          <w:ilvl w:val="2"/>
          <w:numId w:val="90"/>
        </w:numPr>
        <w:spacing w:after="60"/>
      </w:pPr>
      <w:r>
        <w:rPr/>
        <w:t>As per the donor’s wishes, if a specific purpose is indicated (e.g., scholarships, student welfare, library enrichment, or infrastructure improvements).</w:t>
      </w:r>
    </w:p>
    <w:p>
      <w:pPr>
        <w:numPr>
          <w:ilvl w:val="2"/>
          <w:numId w:val="90"/>
        </w:numPr>
        <w:spacing w:after="60"/>
      </w:pPr>
      <w:r>
        <w:rPr/>
        <w:t>For institutional needs and development activities, if the donation is unrestricted.</w:t>
      </w:r>
    </w:p>
    <w:p>
      <w:pPr>
        <w:numPr>
          <w:ilvl w:val="1"/>
          <w:numId w:val="90"/>
        </w:numPr>
        <w:spacing w:after="60"/>
      </w:pPr>
      <w:r>
        <w:rPr/>
        <w:t>Utilization must be authorized by the Registrar/Finance Officer, in alignment with donor intent and institutional priorities.</w:t>
      </w:r>
    </w:p>
    <w:p>
      <w:pPr>
        <w:numPr>
          <w:ilvl w:val="0"/>
          <w:numId w:val="90"/>
        </w:numPr>
        <w:spacing w:after="60"/>
      </w:pPr>
      <w:r>
        <w:rPr/>
        <w:t>Transparency &amp; Accountability</w:t>
      </w:r>
    </w:p>
    <w:p>
      <w:pPr>
        <w:numPr>
          <w:ilvl w:val="1"/>
          <w:numId w:val="90"/>
        </w:numPr>
        <w:spacing w:after="60"/>
      </w:pPr>
      <w:r>
        <w:rPr/>
        <w:t>All gifts from retired employees shall be tracked in a Donations Register maintained by the Accounts Department of the institute.</w:t>
      </w:r>
    </w:p>
    <w:p>
      <w:pPr>
        <w:numPr>
          <w:ilvl w:val="1"/>
          <w:numId w:val="90"/>
        </w:numPr>
        <w:spacing w:after="60"/>
      </w:pPr>
      <w:r>
        <w:rPr/>
        <w:t>Annual statements of such contributions and their utilization shall be reported to the University Finance Committee / Governing Body.</w:t>
      </w:r>
    </w:p>
    <w:p>
      <w:pPr>
        <w:numPr>
          <w:ilvl w:val="1"/>
          <w:numId w:val="90"/>
        </w:numPr>
        <w:spacing w:after="60"/>
      </w:pPr>
      <w:r>
        <w:rPr/>
        <w:t>Any unutilized balance shall remain earmarked under the donation fund until it is used for the intended purpose.</w:t>
      </w:r>
    </w:p>
    <w:p>
      <w:pPr>
        <w:pStyle w:val="Heading2"/>
      </w:pPr>
      <w:r>
        <w:rPr/>
        <w:t>Detail Policy and Procedure</w:t>
      </w:r>
    </w:p>
    <w:p>
      <w:pPr>
        <w:numPr>
          <w:ilvl w:val="0"/>
          <w:numId w:val="90"/>
        </w:numPr>
        <w:spacing w:after="60"/>
      </w:pPr>
      <w:r>
        <w:rPr/>
        <w:t>Non-Cash Gifts Below Threshold</w:t>
      </w:r>
    </w:p>
    <w:p>
      <w:pPr>
        <w:numPr>
          <w:ilvl w:val="1"/>
          <w:numId w:val="90"/>
        </w:numPr>
        <w:spacing w:after="60"/>
      </w:pPr>
      <w:r>
        <w:rPr/>
        <w:t>Non-cash gifts valued at less than ₹5,000 (as per prevailing market rates) are excluded from the Risk Review Process.</w:t>
      </w:r>
    </w:p>
    <w:p>
      <w:pPr>
        <w:numPr>
          <w:ilvl w:val="1"/>
          <w:numId w:val="90"/>
        </w:numPr>
        <w:spacing w:after="60"/>
      </w:pPr>
      <w:r>
        <w:rPr/>
        <w:t>This exemption applies because such gifts are usually:</w:t>
      </w:r>
    </w:p>
    <w:p>
      <w:pPr>
        <w:numPr>
          <w:ilvl w:val="2"/>
          <w:numId w:val="90"/>
        </w:numPr>
        <w:spacing w:after="60"/>
      </w:pPr>
      <w:r>
        <w:rPr/>
        <w:t>Donated for charitable fundraising events, or</w:t>
      </w:r>
    </w:p>
    <w:p>
      <w:pPr>
        <w:numPr>
          <w:ilvl w:val="2"/>
          <w:numId w:val="90"/>
        </w:numPr>
        <w:spacing w:after="60"/>
      </w:pPr>
      <w:r>
        <w:rPr/>
        <w:t>Disposable/low-value items used for daily operational or advancement activities.</w:t>
      </w:r>
    </w:p>
    <w:p>
      <w:pPr>
        <w:numPr>
          <w:ilvl w:val="0"/>
          <w:numId w:val="90"/>
        </w:numPr>
        <w:spacing w:after="60"/>
      </w:pPr>
      <w:r>
        <w:rPr/>
        <w:t>Repetitive Low-Value Non-Cash Gifts</w:t>
      </w:r>
    </w:p>
    <w:p>
      <w:pPr>
        <w:numPr>
          <w:ilvl w:val="1"/>
          <w:numId w:val="90"/>
        </w:numPr>
        <w:spacing w:after="60"/>
      </w:pPr>
      <w:r>
        <w:rPr/>
        <w:t>If multiple non-cash gifts each valued below ₹5,000 are received more than once during a financial year, the aggregate falls under the Risk Review Process.</w:t>
      </w:r>
    </w:p>
    <w:p>
      <w:pPr>
        <w:numPr>
          <w:ilvl w:val="1"/>
          <w:numId w:val="90"/>
        </w:numPr>
        <w:spacing w:after="60"/>
      </w:pPr>
      <w:r>
        <w:rPr/>
        <w:t>This ensures that repetitive smaller donations are properly reviewed to avoid misuse or underreporting.</w:t>
      </w:r>
    </w:p>
    <w:p>
      <w:pPr>
        <w:numPr>
          <w:ilvl w:val="0"/>
          <w:numId w:val="90"/>
        </w:numPr>
        <w:spacing w:after="60"/>
      </w:pPr>
      <w:r>
        <w:rPr/>
        <w:t>Authorization &amp; Recording Process</w:t>
      </w:r>
    </w:p>
    <w:p>
      <w:pPr>
        <w:numPr>
          <w:ilvl w:val="1"/>
          <w:numId w:val="90"/>
        </w:numPr>
        <w:spacing w:after="60"/>
      </w:pPr>
      <w:r>
        <w:rPr/>
        <w:t>The receiving department must prepare an “Advice of Gift Received” form to authorize the preliminary acceptance of the gift.</w:t>
      </w:r>
    </w:p>
    <w:p>
      <w:pPr>
        <w:numPr>
          <w:ilvl w:val="1"/>
          <w:numId w:val="90"/>
        </w:numPr>
        <w:spacing w:after="60"/>
      </w:pPr>
      <w:r>
        <w:rPr/>
        <w:t>If the gift is received close to the fiscal year-end:</w:t>
      </w:r>
    </w:p>
    <w:p>
      <w:pPr>
        <w:numPr>
          <w:ilvl w:val="2"/>
          <w:numId w:val="90"/>
        </w:numPr>
        <w:spacing w:after="60"/>
      </w:pPr>
      <w:r>
        <w:rPr/>
        <w:t>A preliminary valuation is made by the receiving department.</w:t>
      </w:r>
    </w:p>
    <w:p>
      <w:pPr>
        <w:numPr>
          <w:ilvl w:val="2"/>
          <w:numId w:val="90"/>
        </w:numPr>
        <w:spacing w:after="60"/>
      </w:pPr>
      <w:r>
        <w:rPr/>
        <w:t>The Accounts Department obtains a valuation from the donor initially, which will later be adjusted to match an independent appraisal once available.</w:t>
      </w:r>
    </w:p>
    <w:p>
      <w:pPr>
        <w:numPr>
          <w:ilvl w:val="1"/>
          <w:numId w:val="90"/>
        </w:numPr>
        <w:spacing w:after="60"/>
      </w:pPr>
      <w:r>
        <w:rPr/>
        <w:t>The Accounts Department records the gift in the Advance Register and posts the transaction to the General Ledger (GL) through a journal entry feed.</w:t>
      </w:r>
    </w:p>
    <w:p>
      <w:pPr>
        <w:numPr>
          <w:ilvl w:val="1"/>
          <w:numId w:val="90"/>
        </w:numPr>
        <w:spacing w:after="60"/>
      </w:pPr>
      <w:r>
        <w:rPr/>
        <w:t>Daily gift transactions must be balanced, reviewed, and reconciled with supporting documents.</w:t>
      </w:r>
    </w:p>
    <w:p>
      <w:pPr>
        <w:numPr>
          <w:ilvl w:val="0"/>
          <w:numId w:val="90"/>
        </w:numPr>
        <w:spacing w:after="60"/>
      </w:pPr>
      <w:r>
        <w:rPr/>
        <w:t>Acknowledgment &amp; Donor Communication</w:t>
      </w:r>
    </w:p>
    <w:p>
      <w:pPr>
        <w:numPr>
          <w:ilvl w:val="1"/>
          <w:numId w:val="90"/>
        </w:numPr>
        <w:spacing w:after="60"/>
      </w:pPr>
      <w:r>
        <w:rPr/>
        <w:t>The Accounts Department issues an official acknowledgment and receipt to the donor for all gifts received.</w:t>
      </w:r>
    </w:p>
    <w:p>
      <w:pPr>
        <w:numPr>
          <w:ilvl w:val="1"/>
          <w:numId w:val="90"/>
        </w:numPr>
        <w:spacing w:after="60"/>
      </w:pPr>
      <w:r>
        <w:rPr/>
        <w:t>This builds transparency, strengthens donor relations, and supports compliance with audit requirements.</w:t>
      </w:r>
    </w:p>
    <w:p>
      <w:pPr>
        <w:numPr>
          <w:ilvl w:val="0"/>
          <w:numId w:val="90"/>
        </w:numPr>
        <w:spacing w:after="60"/>
      </w:pPr>
      <w:r>
        <w:rPr/>
        <w:t>Non-Cash Gifts Above Threshold (₹5,000 and above)</w:t>
      </w:r>
    </w:p>
    <w:p>
      <w:pPr>
        <w:numPr>
          <w:ilvl w:val="1"/>
          <w:numId w:val="90"/>
        </w:numPr>
        <w:spacing w:after="60"/>
      </w:pPr>
      <w:r>
        <w:rPr/>
        <w:t>For non-cash gifts valued at more than ₹5,000 (excluding marketable securities):</w:t>
      </w:r>
    </w:p>
    <w:p>
      <w:pPr>
        <w:numPr>
          <w:ilvl w:val="2"/>
          <w:numId w:val="90"/>
        </w:numPr>
        <w:spacing w:after="60"/>
      </w:pPr>
      <w:r>
        <w:rPr/>
        <w:t>If the HEI sells the donated item(s) within three years of receipt, the receiving department must notify the Finance Department immediately.</w:t>
      </w:r>
    </w:p>
    <w:p>
      <w:pPr>
        <w:numPr>
          <w:ilvl w:val="2"/>
          <w:numId w:val="90"/>
        </w:numPr>
        <w:spacing w:after="60"/>
      </w:pPr>
      <w:r>
        <w:rPr/>
        <w:t>Such disclosure ensures compliance with institutional governance, donor agreements, and regulatory requirements.</w:t>
      </w:r>
    </w:p>
    <w:p>
      <w:pPr>
        <w:pStyle w:val="Heading2"/>
      </w:pPr>
      <w:r>
        <w:rPr/>
        <w:t>Receipt of Non-Cash Gifts – Marketable Securities</w:t>
      </w:r>
    </w:p>
    <w:p>
      <w:pPr>
        <w:numPr>
          <w:ilvl w:val="0"/>
          <w:numId w:val="90"/>
        </w:numPr>
        <w:spacing w:after="60"/>
      </w:pPr>
      <w:r>
        <w:rPr/>
        <w:t>Types of Securities Accepted</w:t>
      </w:r>
    </w:p>
    <w:p>
      <w:pPr>
        <w:numPr>
          <w:ilvl w:val="1"/>
          <w:numId w:val="90"/>
        </w:numPr>
        <w:spacing w:after="60"/>
      </w:pPr>
      <w:r>
        <w:rPr/>
        <w:t>Gifts may be received in the form of stocks, bonds, and mutual funds.</w:t>
      </w:r>
    </w:p>
    <w:p>
      <w:pPr>
        <w:numPr>
          <w:ilvl w:val="0"/>
          <w:numId w:val="90"/>
        </w:numPr>
        <w:spacing w:after="60"/>
      </w:pPr>
      <w:r>
        <w:rPr/>
        <w:t>Acceptance &amp; Valuation</w:t>
      </w:r>
    </w:p>
    <w:p>
      <w:pPr>
        <w:numPr>
          <w:ilvl w:val="1"/>
          <w:numId w:val="90"/>
        </w:numPr>
        <w:spacing w:after="60"/>
      </w:pPr>
      <w:r>
        <w:rPr/>
        <w:t>The Treasurer’s Office is the designated authority to accept all gifts of securities.</w:t>
      </w:r>
    </w:p>
    <w:p>
      <w:pPr>
        <w:numPr>
          <w:ilvl w:val="1"/>
          <w:numId w:val="90"/>
        </w:numPr>
        <w:spacing w:after="60"/>
      </w:pPr>
      <w:r>
        <w:rPr/>
        <w:t>The gift is valued as of the date the securities are irrevocably transferred into the HEI’s ownership.</w:t>
      </w:r>
    </w:p>
    <w:p>
      <w:pPr>
        <w:numPr>
          <w:ilvl w:val="1"/>
          <w:numId w:val="90"/>
        </w:numPr>
        <w:spacing w:after="60"/>
      </w:pPr>
      <w:r>
        <w:rPr/>
        <w:t>The valuation is determined as follows:</w:t>
      </w:r>
    </w:p>
    <w:p>
      <w:pPr>
        <w:numPr>
          <w:ilvl w:val="2"/>
          <w:numId w:val="90"/>
        </w:numPr>
        <w:spacing w:after="60"/>
      </w:pPr>
      <w:r>
        <w:rPr>
          <w:b/>
        </w:rPr>
        <w:t>Stocks/Bonds:</w:t>
      </w:r>
      <w:r>
        <w:rPr/>
        <w:t xml:space="preserve"> Number of shares × average of the high and low price on the appropriate exchange on the date of transfer.</w:t>
      </w:r>
    </w:p>
    <w:p>
      <w:pPr>
        <w:numPr>
          <w:ilvl w:val="2"/>
          <w:numId w:val="90"/>
        </w:numPr>
        <w:spacing w:after="60"/>
      </w:pPr>
      <w:r>
        <w:rPr>
          <w:b/>
        </w:rPr>
        <w:t>Mutual Funds:</w:t>
      </w:r>
      <w:r>
        <w:rPr/>
        <w:t xml:space="preserve"> Net Asset Value (NAV) on the date of transfer.</w:t>
      </w:r>
    </w:p>
    <w:p>
      <w:pPr>
        <w:numPr>
          <w:ilvl w:val="0"/>
          <w:numId w:val="90"/>
        </w:numPr>
        <w:spacing w:after="60"/>
      </w:pPr>
      <w:r>
        <w:rPr/>
        <w:t>Recording the Gift</w:t>
      </w:r>
    </w:p>
    <w:p>
      <w:pPr>
        <w:numPr>
          <w:ilvl w:val="1"/>
          <w:numId w:val="90"/>
        </w:numPr>
        <w:spacing w:after="60"/>
      </w:pPr>
      <w:r>
        <w:rPr/>
        <w:t>Once valued, the Treasurer’s Office processes the securities and records the transaction through a journal entry/CRR (Cash Receipt Record).</w:t>
      </w:r>
    </w:p>
    <w:p>
      <w:pPr>
        <w:numPr>
          <w:ilvl w:val="1"/>
          <w:numId w:val="90"/>
        </w:numPr>
        <w:spacing w:after="60"/>
      </w:pPr>
      <w:r>
        <w:rPr/>
        <w:t>Standard entry format:</w:t>
      </w:r>
    </w:p>
    <w:p>
      <w:pPr>
        <w:numPr>
          <w:ilvl w:val="2"/>
          <w:numId w:val="90"/>
        </w:numPr>
        <w:spacing w:after="60"/>
      </w:pPr>
      <w:r>
        <w:rPr/>
        <w:t>Investments A/c – Dr (XXXX.XX)</w:t>
      </w:r>
    </w:p>
    <w:p>
      <w:pPr>
        <w:numPr>
          <w:ilvl w:val="2"/>
          <w:numId w:val="90"/>
        </w:numPr>
        <w:spacing w:after="60"/>
      </w:pPr>
      <w:r>
        <w:rPr/>
        <w:t>To Gifts A/c – Cr (XXXX.XX)</w:t>
      </w:r>
    </w:p>
    <w:p>
      <w:pPr>
        <w:numPr>
          <w:ilvl w:val="1"/>
          <w:numId w:val="90"/>
        </w:numPr>
        <w:spacing w:after="60"/>
      </w:pPr>
      <w:r>
        <w:rPr/>
        <w:t>The securities are credited to the appropriate securities account under HEI’s financial records.</w:t>
      </w:r>
    </w:p>
    <w:p>
      <w:pPr>
        <w:pStyle w:val="Heading2"/>
      </w:pPr>
      <w:r>
        <w:rPr/>
        <w:t>Receipt of Non-Cash Gifts – Real Estate (Land &amp; Building)</w:t>
      </w:r>
    </w:p>
    <w:p>
      <w:pPr>
        <w:numPr>
          <w:ilvl w:val="0"/>
          <w:numId w:val="90"/>
        </w:numPr>
        <w:spacing w:after="60"/>
      </w:pPr>
      <w:r>
        <w:rPr/>
        <w:t>Preliminary Review</w:t>
      </w:r>
    </w:p>
    <w:p>
      <w:pPr>
        <w:numPr>
          <w:ilvl w:val="1"/>
          <w:numId w:val="90"/>
        </w:numPr>
        <w:spacing w:after="60"/>
      </w:pPr>
      <w:r>
        <w:rPr/>
        <w:t>When real estate is offered as a gift, the receiving department must obtain detailed information about the property.</w:t>
      </w:r>
    </w:p>
    <w:p>
      <w:pPr>
        <w:numPr>
          <w:ilvl w:val="1"/>
          <w:numId w:val="90"/>
        </w:numPr>
        <w:spacing w:after="60"/>
      </w:pPr>
      <w:r>
        <w:rPr/>
        <w:t>The Administrative Office and Head Office assist in evaluating the feasibility and risks associated with accepting the property.</w:t>
      </w:r>
    </w:p>
    <w:p>
      <w:pPr>
        <w:numPr>
          <w:ilvl w:val="0"/>
          <w:numId w:val="90"/>
        </w:numPr>
        <w:spacing w:after="60"/>
      </w:pPr>
      <w:r>
        <w:rPr/>
        <w:t>Authorization of Acceptance</w:t>
      </w:r>
    </w:p>
    <w:p>
      <w:pPr>
        <w:numPr>
          <w:ilvl w:val="1"/>
          <w:numId w:val="90"/>
        </w:numPr>
        <w:spacing w:after="60"/>
      </w:pPr>
      <w:r>
        <w:rPr/>
        <w:t>No valuation or accounting entry is made until the gift is formally accepted by the HEI.</w:t>
      </w:r>
    </w:p>
    <w:p>
      <w:pPr>
        <w:numPr>
          <w:ilvl w:val="1"/>
          <w:numId w:val="90"/>
        </w:numPr>
        <w:spacing w:after="60"/>
      </w:pPr>
      <w:r>
        <w:rPr/>
        <w:t>The Vice Chancellor (VC) must provide written authorization for the acceptance of all real estate gifts.</w:t>
      </w:r>
    </w:p>
    <w:p>
      <w:pPr>
        <w:numPr>
          <w:ilvl w:val="0"/>
          <w:numId w:val="90"/>
        </w:numPr>
        <w:spacing w:after="60"/>
      </w:pPr>
      <w:r>
        <w:rPr/>
        <w:t>Valuation &amp; Recording</w:t>
      </w:r>
    </w:p>
    <w:p>
      <w:pPr>
        <w:numPr>
          <w:ilvl w:val="1"/>
          <w:numId w:val="90"/>
        </w:numPr>
        <w:spacing w:after="60"/>
      </w:pPr>
      <w:r>
        <w:rPr/>
        <w:t>Once accepted, the value of the real estate is determined as of the date of legal transfer of ownership.</w:t>
      </w:r>
    </w:p>
    <w:p>
      <w:pPr>
        <w:numPr>
          <w:ilvl w:val="1"/>
          <w:numId w:val="90"/>
        </w:numPr>
        <w:spacing w:after="60"/>
      </w:pPr>
      <w:r>
        <w:rPr/>
        <w:t>The Finance Department records the gift under Capital Accounts in the General Ledger at the appraised value.</w:t>
      </w:r>
    </w:p>
    <w:p>
      <w:pPr>
        <w:numPr>
          <w:ilvl w:val="1"/>
          <w:numId w:val="90"/>
        </w:numPr>
        <w:spacing w:after="60"/>
      </w:pPr>
      <w:r>
        <w:rPr/>
        <w:t>The Finance Department also forwards a copy of the real estate gift documentation to the Head Office for institutional records.</w:t>
      </w:r>
    </w:p>
    <w:p>
      <w:pPr>
        <w:numPr>
          <w:ilvl w:val="0"/>
          <w:numId w:val="90"/>
        </w:numPr>
        <w:spacing w:after="60"/>
      </w:pPr>
      <w:r>
        <w:rPr/>
        <w:t>Asset Management</w:t>
      </w:r>
    </w:p>
    <w:p>
      <w:pPr>
        <w:numPr>
          <w:ilvl w:val="1"/>
          <w:numId w:val="90"/>
        </w:numPr>
        <w:spacing w:after="60"/>
      </w:pPr>
      <w:r>
        <w:rPr/>
        <w:t>The Campus Accounting Office ensures that the real estate is entered into the Asset Management System, enabling proper tracking, depreciation (if applicable), and reporting.</w:t>
      </w:r>
    </w:p>
    <w:p>
      <w:pPr>
        <w:pStyle w:val="Heading2"/>
      </w:pPr>
      <w:r>
        <w:rPr/>
        <w:t>Receipt of Non-Cash Gifts – Vehicle Donations</w:t>
      </w:r>
    </w:p>
    <w:p>
      <w:pPr>
        <w:numPr>
          <w:ilvl w:val="0"/>
          <w:numId w:val="90"/>
        </w:numPr>
        <w:spacing w:after="60"/>
      </w:pPr>
      <w:r>
        <w:rPr/>
        <w:t>Initial Notification &amp; Information Gathering</w:t>
      </w:r>
    </w:p>
    <w:p>
      <w:pPr>
        <w:numPr>
          <w:ilvl w:val="1"/>
          <w:numId w:val="90"/>
        </w:numPr>
        <w:spacing w:after="60"/>
      </w:pPr>
      <w:r>
        <w:rPr/>
        <w:t>When a donor offers a vehicle as a gift, the first individual notified of the donor’s intent must collect key details:</w:t>
      </w:r>
    </w:p>
    <w:p>
      <w:pPr>
        <w:numPr>
          <w:ilvl w:val="2"/>
          <w:numId w:val="90"/>
        </w:numPr>
        <w:spacing w:after="60"/>
      </w:pPr>
      <w:r>
        <w:rPr/>
        <w:t>Make, model, and year of manufacture.</w:t>
      </w:r>
    </w:p>
    <w:p>
      <w:pPr>
        <w:numPr>
          <w:ilvl w:val="2"/>
          <w:numId w:val="90"/>
        </w:numPr>
        <w:spacing w:after="60"/>
      </w:pPr>
      <w:r>
        <w:rPr/>
        <w:t>Mileage and condition of the vehicle.</w:t>
      </w:r>
    </w:p>
    <w:p>
      <w:pPr>
        <w:numPr>
          <w:ilvl w:val="2"/>
          <w:numId w:val="90"/>
        </w:numPr>
        <w:spacing w:after="60"/>
      </w:pPr>
      <w:r>
        <w:rPr/>
        <w:t>Confirmation of a signed clear title (legal ownership).</w:t>
      </w:r>
    </w:p>
    <w:p>
      <w:pPr>
        <w:numPr>
          <w:ilvl w:val="0"/>
          <w:numId w:val="90"/>
        </w:numPr>
        <w:spacing w:after="60"/>
      </w:pPr>
      <w:r>
        <w:rPr/>
        <w:t>Authorization &amp; Delivery</w:t>
      </w:r>
    </w:p>
    <w:p>
      <w:pPr>
        <w:numPr>
          <w:ilvl w:val="1"/>
          <w:numId w:val="90"/>
        </w:numPr>
        <w:spacing w:after="60"/>
      </w:pPr>
      <w:r>
        <w:rPr/>
        <w:t>Acceptance of the gift must be authorized by Procurement Services.</w:t>
      </w:r>
    </w:p>
    <w:p>
      <w:pPr>
        <w:numPr>
          <w:ilvl w:val="1"/>
          <w:numId w:val="90"/>
        </w:numPr>
        <w:spacing w:after="60"/>
      </w:pPr>
      <w:r>
        <w:rPr/>
        <w:t>The initiating department, along with Procurement Services, coordinates with the donor for:</w:t>
      </w:r>
    </w:p>
    <w:p>
      <w:pPr>
        <w:numPr>
          <w:ilvl w:val="2"/>
          <w:numId w:val="90"/>
        </w:numPr>
        <w:spacing w:after="60"/>
      </w:pPr>
      <w:r>
        <w:rPr/>
        <w:t>Delivery of the vehicle to the campus.</w:t>
      </w:r>
    </w:p>
    <w:p>
      <w:pPr>
        <w:numPr>
          <w:ilvl w:val="2"/>
          <w:numId w:val="90"/>
        </w:numPr>
        <w:spacing w:after="60"/>
      </w:pPr>
      <w:r>
        <w:rPr/>
        <w:t>Transfer of the signed title to the HEI.</w:t>
      </w:r>
    </w:p>
    <w:p>
      <w:pPr>
        <w:numPr>
          <w:ilvl w:val="0"/>
          <w:numId w:val="90"/>
        </w:numPr>
        <w:spacing w:after="60"/>
      </w:pPr>
      <w:r>
        <w:rPr/>
        <w:t>Valuation of Vehicle</w:t>
      </w:r>
    </w:p>
    <w:p>
      <w:pPr>
        <w:numPr>
          <w:ilvl w:val="1"/>
          <w:numId w:val="90"/>
        </w:numPr>
        <w:spacing w:after="60"/>
      </w:pPr>
      <w:r>
        <w:rPr/>
        <w:t>The donor establishes the fair market value (FMV) of the vehicle as of the contribution date.</w:t>
      </w:r>
    </w:p>
    <w:p>
      <w:pPr>
        <w:numPr>
          <w:ilvl w:val="1"/>
          <w:numId w:val="90"/>
        </w:numPr>
        <w:spacing w:after="60"/>
      </w:pPr>
      <w:r>
        <w:rPr/>
        <w:t>FMV must not exceed the private party sales price listed in a recognized used vehicle pricing guide (e.g., Kelley Blue Book equivalent).</w:t>
      </w:r>
    </w:p>
    <w:p>
      <w:pPr>
        <w:numPr>
          <w:ilvl w:val="1"/>
          <w:numId w:val="90"/>
        </w:numPr>
        <w:spacing w:after="60"/>
      </w:pPr>
      <w:r>
        <w:rPr/>
        <w:t>Only qualified vehicles under the Motor Vehicle Act (automobiles, trucks, motorcycles, recreational vehicles) are accepted.</w:t>
      </w:r>
    </w:p>
    <w:p>
      <w:pPr>
        <w:numPr>
          <w:ilvl w:val="0"/>
          <w:numId w:val="90"/>
        </w:numPr>
        <w:spacing w:after="60"/>
      </w:pPr>
      <w:r>
        <w:rPr/>
        <w:t>Post-Delivery Determination</w:t>
      </w:r>
    </w:p>
    <w:p>
      <w:pPr>
        <w:numPr>
          <w:ilvl w:val="1"/>
          <w:numId w:val="90"/>
        </w:numPr>
        <w:spacing w:after="60"/>
      </w:pPr>
      <w:r>
        <w:rPr/>
        <w:t>Procurement Services decides whether the vehicle will:</w:t>
      </w:r>
    </w:p>
    <w:p>
      <w:pPr>
        <w:numPr>
          <w:ilvl w:val="2"/>
          <w:numId w:val="90"/>
        </w:numPr>
        <w:spacing w:after="60"/>
      </w:pPr>
      <w:r>
        <w:rPr/>
        <w:t>Be put into service for institutional operations.</w:t>
      </w:r>
    </w:p>
    <w:p>
      <w:pPr>
        <w:numPr>
          <w:ilvl w:val="2"/>
          <w:numId w:val="90"/>
        </w:numPr>
        <w:spacing w:after="60"/>
      </w:pPr>
      <w:r>
        <w:rPr/>
        <w:t>Be auctioned/sold.</w:t>
      </w:r>
    </w:p>
    <w:p>
      <w:pPr>
        <w:numPr>
          <w:ilvl w:val="2"/>
          <w:numId w:val="90"/>
        </w:numPr>
        <w:spacing w:after="60"/>
      </w:pPr>
      <w:r>
        <w:rPr/>
        <w:t>Be donated or sold to a needy individual at significantly below FMV.</w:t>
      </w:r>
    </w:p>
    <w:p>
      <w:pPr>
        <w:numPr>
          <w:ilvl w:val="0"/>
          <w:numId w:val="90"/>
        </w:numPr>
        <w:spacing w:after="60"/>
      </w:pPr>
      <w:r>
        <w:rPr/>
        <w:t>Donor’s Deduction &amp; Acknowledgment</w:t>
      </w:r>
    </w:p>
    <w:p>
      <w:pPr>
        <w:numPr>
          <w:ilvl w:val="1"/>
          <w:numId w:val="90"/>
        </w:numPr>
        <w:spacing w:after="60"/>
      </w:pPr>
      <w:r>
        <w:rPr>
          <w:b/>
        </w:rPr>
        <w:t>If the HEI sells the vehicle:</w:t>
      </w:r>
      <w:r>
        <w:rPr/>
        <w:t xml:space="preserve"> The donor’s deduction is the lesser of the FMV at donation or the gross sales proceeds.</w:t>
      </w:r>
    </w:p>
    <w:p>
      <w:pPr>
        <w:numPr>
          <w:ilvl w:val="1"/>
          <w:numId w:val="90"/>
        </w:numPr>
        <w:spacing w:after="60"/>
      </w:pPr>
      <w:r>
        <w:rPr>
          <w:b/>
        </w:rPr>
        <w:t>If the HEI keeps and uses the vehicle:</w:t>
      </w:r>
      <w:r>
        <w:rPr/>
        <w:t xml:space="preserve"> The donor may deduct the full FMV on the date of contribution.</w:t>
      </w:r>
    </w:p>
    <w:p>
      <w:pPr>
        <w:numPr>
          <w:ilvl w:val="1"/>
          <w:numId w:val="90"/>
        </w:numPr>
        <w:spacing w:after="60"/>
      </w:pPr>
      <w:r>
        <w:rPr/>
        <w:t>The HEI must issue a written acknowledgment to the donor:</w:t>
      </w:r>
    </w:p>
    <w:p>
      <w:pPr>
        <w:numPr>
          <w:ilvl w:val="2"/>
          <w:numId w:val="90"/>
        </w:numPr>
        <w:spacing w:after="60"/>
      </w:pPr>
      <w:r>
        <w:rPr/>
        <w:t>Within 30 days of the vehicle’s sale, or</w:t>
      </w:r>
    </w:p>
    <w:p>
      <w:pPr>
        <w:numPr>
          <w:ilvl w:val="2"/>
          <w:numId w:val="90"/>
        </w:numPr>
        <w:spacing w:after="60"/>
      </w:pPr>
      <w:r>
        <w:rPr/>
        <w:t>Within 30 days of the donation, if the HEI intends to retain and use the vehicle.</w:t>
      </w:r>
    </w:p>
    <w:p>
      <w:pPr>
        <w:numPr>
          <w:ilvl w:val="0"/>
          <w:numId w:val="90"/>
        </w:numPr>
        <w:spacing w:after="60"/>
      </w:pPr>
      <w:r>
        <w:rPr/>
        <w:t>Recordkeeping &amp; Reporting</w:t>
      </w:r>
    </w:p>
    <w:p>
      <w:pPr>
        <w:numPr>
          <w:ilvl w:val="1"/>
          <w:numId w:val="90"/>
        </w:numPr>
        <w:spacing w:after="60"/>
      </w:pPr>
      <w:r>
        <w:rPr/>
        <w:t>If the vehicle is sold or disposed of within 3 years, Procurement Services must notify the Head Office.</w:t>
      </w:r>
    </w:p>
    <w:p>
      <w:pPr>
        <w:numPr>
          <w:ilvl w:val="1"/>
          <w:numId w:val="90"/>
        </w:numPr>
        <w:spacing w:after="60"/>
      </w:pPr>
      <w:r>
        <w:rPr/>
        <w:t>The Head Office records the donation in Advance and posts it to the General Ledger (GL) under capital accounts.</w:t>
      </w:r>
    </w:p>
    <w:p>
      <w:pPr>
        <w:numPr>
          <w:ilvl w:val="1"/>
          <w:numId w:val="90"/>
        </w:numPr>
        <w:spacing w:after="60"/>
      </w:pPr>
      <w:r>
        <w:rPr/>
        <w:t>The Campus Accounting Office enters the vehicle into the Asset Management System, if retained for institutional use.</w:t>
      </w:r>
    </w:p>
    <w:p>
      <w:pPr>
        <w:pStyle w:val="Heading2"/>
      </w:pPr>
      <w:r>
        <w:rPr/>
        <w:t>Receipt of Non-Cash Gifts – Other Items</w:t>
      </w:r>
    </w:p>
    <w:p>
      <w:pPr>
        <w:numPr>
          <w:ilvl w:val="0"/>
          <w:numId w:val="90"/>
        </w:numPr>
        <w:spacing w:after="60"/>
      </w:pPr>
      <w:r>
        <w:rPr/>
        <w:t>Scope</w:t>
      </w:r>
    </w:p>
    <w:p>
      <w:pPr>
        <w:numPr>
          <w:ilvl w:val="1"/>
          <w:numId w:val="90"/>
        </w:numPr>
        <w:spacing w:after="60"/>
      </w:pPr>
      <w:r>
        <w:rPr/>
        <w:t>Applies to non-cash gifts other than securities, real estate, or vehicles (e.g., artworks, equipment, furniture, collections, cultural assets).</w:t>
      </w:r>
    </w:p>
    <w:p>
      <w:pPr>
        <w:numPr>
          <w:ilvl w:val="0"/>
          <w:numId w:val="90"/>
        </w:numPr>
        <w:spacing w:after="60"/>
      </w:pPr>
      <w:r>
        <w:rPr/>
        <w:t>Donor Information</w:t>
      </w:r>
    </w:p>
    <w:p>
      <w:pPr>
        <w:numPr>
          <w:ilvl w:val="1"/>
          <w:numId w:val="90"/>
        </w:numPr>
        <w:spacing w:after="60"/>
      </w:pPr>
      <w:r>
        <w:rPr/>
        <w:t>The Head Office should collect detailed information from the donor, including:</w:t>
      </w:r>
    </w:p>
    <w:p>
      <w:pPr>
        <w:numPr>
          <w:ilvl w:val="2"/>
          <w:numId w:val="90"/>
        </w:numPr>
        <w:spacing w:after="60"/>
      </w:pPr>
      <w:r>
        <w:rPr/>
        <w:t>Whether the donor intends to use the gift for a charitable deduction.</w:t>
      </w:r>
    </w:p>
    <w:p>
      <w:pPr>
        <w:numPr>
          <w:ilvl w:val="2"/>
          <w:numId w:val="90"/>
        </w:numPr>
        <w:spacing w:after="60"/>
      </w:pPr>
      <w:r>
        <w:rPr/>
        <w:t>Documentation of the item’s value (invoices, appraisals, certifications, etc.).</w:t>
      </w:r>
    </w:p>
    <w:p>
      <w:pPr>
        <w:numPr>
          <w:ilvl w:val="2"/>
          <w:numId w:val="90"/>
        </w:numPr>
        <w:spacing w:after="60"/>
      </w:pPr>
      <w:r>
        <w:rPr/>
        <w:t>Any restrictions or conditions on usage.</w:t>
      </w:r>
    </w:p>
    <w:p>
      <w:pPr>
        <w:numPr>
          <w:ilvl w:val="0"/>
          <w:numId w:val="90"/>
        </w:numPr>
        <w:spacing w:after="60"/>
      </w:pPr>
      <w:r>
        <w:rPr/>
        <w:t>Evaluation of Gift Use</w:t>
      </w:r>
    </w:p>
    <w:p>
      <w:pPr>
        <w:numPr>
          <w:ilvl w:val="1"/>
          <w:numId w:val="90"/>
        </w:numPr>
        <w:spacing w:after="60"/>
      </w:pPr>
      <w:r>
        <w:rPr/>
        <w:t>The receiving department or college must determine whether the item:</w:t>
      </w:r>
    </w:p>
    <w:p>
      <w:pPr>
        <w:numPr>
          <w:ilvl w:val="2"/>
          <w:numId w:val="90"/>
        </w:numPr>
        <w:spacing w:after="60"/>
      </w:pPr>
      <w:r>
        <w:rPr/>
        <w:t>Has an institutional use (academic, operational, cultural).</w:t>
      </w:r>
    </w:p>
    <w:p>
      <w:pPr>
        <w:numPr>
          <w:ilvl w:val="2"/>
          <w:numId w:val="90"/>
        </w:numPr>
        <w:spacing w:after="60"/>
      </w:pPr>
      <w:r>
        <w:rPr/>
        <w:t>Can be stored, maintained, or used effectively.</w:t>
      </w:r>
    </w:p>
    <w:p>
      <w:pPr>
        <w:numPr>
          <w:ilvl w:val="2"/>
          <w:numId w:val="90"/>
        </w:numPr>
        <w:spacing w:after="60"/>
      </w:pPr>
      <w:r>
        <w:rPr/>
        <w:t>Should be declined due to high maintenance/storage costs or lack of relevance.</w:t>
      </w:r>
    </w:p>
    <w:p>
      <w:pPr>
        <w:numPr>
          <w:ilvl w:val="0"/>
          <w:numId w:val="90"/>
        </w:numPr>
        <w:spacing w:after="60"/>
      </w:pPr>
      <w:r>
        <w:rPr/>
        <w:t>Recording &amp; Accountability</w:t>
      </w:r>
    </w:p>
    <w:p>
      <w:pPr>
        <w:numPr>
          <w:ilvl w:val="1"/>
          <w:numId w:val="90"/>
        </w:numPr>
        <w:spacing w:after="60"/>
      </w:pPr>
      <w:r>
        <w:rPr/>
        <w:t>Once accepted, the item is recorded by the Finance Department in the appropriate asset or capital accounts.</w:t>
      </w:r>
    </w:p>
    <w:p>
      <w:pPr>
        <w:numPr>
          <w:ilvl w:val="1"/>
          <w:numId w:val="90"/>
        </w:numPr>
        <w:spacing w:after="60"/>
      </w:pPr>
      <w:r>
        <w:rPr/>
        <w:t>For items with significant or enduring value, the Campus Accounting Office will add them to the Asset Management System.</w:t>
      </w:r>
    </w:p>
    <w:p>
      <w:pPr>
        <w:numPr>
          <w:ilvl w:val="1"/>
          <w:numId w:val="90"/>
        </w:numPr>
        <w:spacing w:after="60"/>
      </w:pPr>
      <w:r>
        <w:rPr/>
        <w:t>If items are consumables or disposable, they may be recorded as operational contributions.</w:t>
      </w:r>
    </w:p>
    <w:p>
      <w:pPr>
        <w:spacing w:after="0"/>
      </w:pPr>
      <w:r>
        <w:br w:type="page"/>
      </w:r>
    </w:p>
    <w:p>
      <w:pPr>
        <w:pStyle w:val="Heading1"/>
        <w:spacing w:before="0"/>
      </w:pPr>
      <w:r>
        <w:rPr/>
        <w:t>47. Grants Policy</w:t>
      </w:r>
    </w:p>
    <w:p>
      <w:pPr>
        <w:pStyle w:val="Heading2"/>
      </w:pPr>
      <w:r>
        <w:rPr/>
        <w:t>Objective</w:t>
      </w:r>
    </w:p>
    <w:p>
      <w:pPr>
        <w:numPr>
          <w:ilvl w:val="0"/>
          <w:numId w:val="90"/>
        </w:numPr>
        <w:spacing w:after="60"/>
      </w:pPr>
      <w:r>
        <w:rPr/>
        <w:t>The primary objective of this policy is to ensure that the higher education sector is adequately funded to achieve its long-term goals of expansion, quality enhancement, and sustainability.</w:t>
      </w:r>
    </w:p>
    <w:p>
      <w:pPr>
        <w:numPr>
          <w:ilvl w:val="0"/>
          <w:numId w:val="90"/>
        </w:numPr>
        <w:spacing w:after="60"/>
      </w:pPr>
      <w:r>
        <w:rPr/>
        <w:t>It provides guidelines for the effective mobilization, allocation, and utilization of grants received from government bodies, funding agencies, corporate donors, philanthropic organizations, and other stakeholders.</w:t>
      </w:r>
    </w:p>
    <w:p>
      <w:pPr>
        <w:numPr>
          <w:ilvl w:val="0"/>
          <w:numId w:val="90"/>
        </w:numPr>
        <w:spacing w:after="60"/>
      </w:pPr>
      <w:r>
        <w:rPr/>
        <w:t>The policy ensures that:</w:t>
      </w:r>
    </w:p>
    <w:p>
      <w:pPr>
        <w:numPr>
          <w:ilvl w:val="1"/>
          <w:numId w:val="90"/>
        </w:numPr>
        <w:spacing w:after="60"/>
      </w:pPr>
      <w:r>
        <w:rPr/>
        <w:t>All grants are used strictly for the purpose for which they are sanctioned, avoiding diversion of funds.</w:t>
      </w:r>
    </w:p>
    <w:p>
      <w:pPr>
        <w:numPr>
          <w:ilvl w:val="1"/>
          <w:numId w:val="90"/>
        </w:numPr>
        <w:spacing w:after="60"/>
      </w:pPr>
      <w:r>
        <w:rPr/>
        <w:t>Expenditure is aligned with the strategic priorities of the institute, including infrastructure development, research advancement, faculty enrichment, and student support.</w:t>
      </w:r>
    </w:p>
    <w:p>
      <w:pPr>
        <w:numPr>
          <w:ilvl w:val="1"/>
          <w:numId w:val="90"/>
        </w:numPr>
        <w:spacing w:after="60"/>
      </w:pPr>
      <w:r>
        <w:rPr/>
        <w:t>Proper financial management and internal controls are established to track grant usage, supported by periodic reporting and audits.</w:t>
      </w:r>
    </w:p>
    <w:p>
      <w:pPr>
        <w:numPr>
          <w:ilvl w:val="1"/>
          <w:numId w:val="90"/>
        </w:numPr>
        <w:spacing w:after="60"/>
      </w:pPr>
      <w:r>
        <w:rPr/>
        <w:t>Transparency and accountability are maintained in all transactions to build trust with funding agencies and donors.</w:t>
      </w:r>
    </w:p>
    <w:p>
      <w:pPr>
        <w:numPr>
          <w:ilvl w:val="1"/>
          <w:numId w:val="90"/>
        </w:numPr>
        <w:spacing w:after="60"/>
      </w:pPr>
      <w:r>
        <w:rPr/>
        <w:t>Utilization of funds contributes directly to academic excellence, innovation, student welfare, and institutional growth.</w:t>
      </w:r>
    </w:p>
    <w:p>
      <w:pPr>
        <w:pStyle w:val="Heading2"/>
      </w:pPr>
      <w:r>
        <w:rPr/>
        <w:t>UGC/AICTE/DST/CSIR and Other Government Grants</w:t>
      </w:r>
    </w:p>
    <w:p>
      <w:pPr>
        <w:numPr>
          <w:ilvl w:val="0"/>
          <w:numId w:val="90"/>
        </w:numPr>
        <w:spacing w:after="60"/>
      </w:pPr>
      <w:r>
        <w:rPr/>
        <w:t>Nature of Grants</w:t>
      </w:r>
    </w:p>
    <w:p>
      <w:pPr>
        <w:numPr>
          <w:ilvl w:val="1"/>
          <w:numId w:val="90"/>
        </w:numPr>
        <w:spacing w:after="60"/>
      </w:pPr>
      <w:r>
        <w:rPr/>
        <w:t>Higher Education Institutions (HEIs) receive grants from various government funding bodies such as:</w:t>
      </w:r>
    </w:p>
    <w:p>
      <w:pPr>
        <w:numPr>
          <w:ilvl w:val="2"/>
          <w:numId w:val="90"/>
        </w:numPr>
        <w:spacing w:after="60"/>
      </w:pPr>
      <w:r>
        <w:rPr/>
        <w:t>University Grants Commission (UGC)</w:t>
      </w:r>
    </w:p>
    <w:p>
      <w:pPr>
        <w:numPr>
          <w:ilvl w:val="2"/>
          <w:numId w:val="90"/>
        </w:numPr>
        <w:spacing w:after="60"/>
      </w:pPr>
      <w:r>
        <w:rPr/>
        <w:t>All India Council for Technical Education (AICTE)</w:t>
      </w:r>
    </w:p>
    <w:p>
      <w:pPr>
        <w:numPr>
          <w:ilvl w:val="2"/>
          <w:numId w:val="90"/>
        </w:numPr>
        <w:spacing w:after="60"/>
      </w:pPr>
      <w:r>
        <w:rPr/>
        <w:t>Department of Science &amp; Technology (DST)</w:t>
      </w:r>
    </w:p>
    <w:p>
      <w:pPr>
        <w:numPr>
          <w:ilvl w:val="2"/>
          <w:numId w:val="90"/>
        </w:numPr>
        <w:spacing w:after="60"/>
      </w:pPr>
      <w:r>
        <w:rPr/>
        <w:t>Council of Scientific &amp; Industrial Research (CSIR)</w:t>
      </w:r>
    </w:p>
    <w:p>
      <w:pPr>
        <w:numPr>
          <w:ilvl w:val="2"/>
          <w:numId w:val="90"/>
        </w:numPr>
        <w:spacing w:after="60"/>
      </w:pPr>
      <w:r>
        <w:rPr/>
        <w:t>Other central and state government agencies.</w:t>
      </w:r>
    </w:p>
    <w:p>
      <w:pPr>
        <w:numPr>
          <w:ilvl w:val="1"/>
          <w:numId w:val="90"/>
        </w:numPr>
        <w:spacing w:after="60"/>
      </w:pPr>
      <w:r>
        <w:rPr/>
        <w:t>These grants are primarily awarded for the development and strengthening of the institute, with a focus on:</w:t>
      </w:r>
    </w:p>
    <w:p>
      <w:pPr>
        <w:numPr>
          <w:ilvl w:val="2"/>
          <w:numId w:val="90"/>
        </w:numPr>
        <w:spacing w:after="60"/>
      </w:pPr>
      <w:r>
        <w:rPr/>
        <w:t>Building and Infrastructure Development (construction of classrooms, laboratories, libraries, hostels).</w:t>
      </w:r>
    </w:p>
    <w:p>
      <w:pPr>
        <w:numPr>
          <w:ilvl w:val="2"/>
          <w:numId w:val="90"/>
        </w:numPr>
        <w:spacing w:after="60"/>
      </w:pPr>
      <w:r>
        <w:rPr/>
        <w:t>Research and Development (R&amp;D) (funding for projects, labs, innovation hubs, and equipment).</w:t>
      </w:r>
    </w:p>
    <w:p>
      <w:pPr>
        <w:numPr>
          <w:ilvl w:val="2"/>
          <w:numId w:val="90"/>
        </w:numPr>
        <w:spacing w:after="60"/>
      </w:pPr>
      <w:r>
        <w:rPr/>
        <w:t>Capacity Building and Faculty Development (workshops, training, fellowships).</w:t>
      </w:r>
    </w:p>
    <w:p>
      <w:pPr>
        <w:numPr>
          <w:ilvl w:val="2"/>
          <w:numId w:val="90"/>
        </w:numPr>
        <w:spacing w:after="60"/>
      </w:pPr>
      <w:r>
        <w:rPr/>
        <w:t>Student-Centric Initiatives (scholarships, innovation, incubation centers).</w:t>
      </w:r>
    </w:p>
    <w:p>
      <w:pPr>
        <w:numPr>
          <w:ilvl w:val="0"/>
          <w:numId w:val="90"/>
        </w:numPr>
        <w:spacing w:after="60"/>
      </w:pPr>
      <w:r>
        <w:rPr/>
        <w:t>Utilization of Grants</w:t>
      </w:r>
    </w:p>
    <w:p>
      <w:pPr>
        <w:numPr>
          <w:ilvl w:val="1"/>
          <w:numId w:val="90"/>
        </w:numPr>
        <w:spacing w:after="60"/>
      </w:pPr>
      <w:r>
        <w:rPr/>
        <w:t>Funds must be used only for the specific purpose for which the grant has been sanctioned.</w:t>
      </w:r>
    </w:p>
    <w:p>
      <w:pPr>
        <w:numPr>
          <w:ilvl w:val="1"/>
          <w:numId w:val="90"/>
        </w:numPr>
        <w:spacing w:after="60"/>
      </w:pPr>
      <w:r>
        <w:rPr/>
        <w:t>Diversion of funds is strictly prohibited and may lead to penalties or withdrawal of funding.</w:t>
      </w:r>
    </w:p>
    <w:p>
      <w:pPr>
        <w:numPr>
          <w:ilvl w:val="1"/>
          <w:numId w:val="90"/>
        </w:numPr>
        <w:spacing w:after="60"/>
      </w:pPr>
      <w:r>
        <w:rPr/>
        <w:t>Each grant will have a separate ledger/account head to ensure transparent accounting.</w:t>
      </w:r>
    </w:p>
    <w:p>
      <w:pPr>
        <w:numPr>
          <w:ilvl w:val="0"/>
          <w:numId w:val="90"/>
        </w:numPr>
        <w:spacing w:after="60"/>
      </w:pPr>
      <w:r>
        <w:rPr/>
        <w:t>Authorization and Monitoring</w:t>
      </w:r>
    </w:p>
    <w:p>
      <w:pPr>
        <w:numPr>
          <w:ilvl w:val="1"/>
          <w:numId w:val="90"/>
        </w:numPr>
        <w:spacing w:after="60"/>
      </w:pPr>
      <w:r>
        <w:rPr/>
        <w:t>Expenditure of grants requires prior approval from the Principal Investigator (for research projects), Registrar/Principal, and Finance Officer.</w:t>
      </w:r>
    </w:p>
    <w:p>
      <w:pPr>
        <w:numPr>
          <w:ilvl w:val="1"/>
          <w:numId w:val="90"/>
        </w:numPr>
        <w:spacing w:after="60"/>
      </w:pPr>
      <w:r>
        <w:rPr/>
        <w:t>Periodic Utilization Certificates (UCs) must be prepared and submitted to the respective funding agency as per prescribed timelines.</w:t>
      </w:r>
    </w:p>
    <w:p>
      <w:pPr>
        <w:numPr>
          <w:ilvl w:val="1"/>
          <w:numId w:val="90"/>
        </w:numPr>
        <w:spacing w:after="60"/>
      </w:pPr>
      <w:r>
        <w:rPr/>
        <w:t>Internal audits and reviews will be conducted to ensure compliance with UGC/AICTE/DST/CSIR guidelines.</w:t>
      </w:r>
    </w:p>
    <w:p>
      <w:pPr>
        <w:numPr>
          <w:ilvl w:val="0"/>
          <w:numId w:val="90"/>
        </w:numPr>
        <w:spacing w:after="60"/>
      </w:pPr>
      <w:r>
        <w:rPr/>
        <w:t>Reporting and Accountability</w:t>
      </w:r>
    </w:p>
    <w:p>
      <w:pPr>
        <w:numPr>
          <w:ilvl w:val="1"/>
          <w:numId w:val="90"/>
        </w:numPr>
        <w:spacing w:after="60"/>
      </w:pPr>
      <w:r>
        <w:rPr/>
        <w:t>The HEI must submit periodic progress reports (financial and academic) to the funding agency.</w:t>
      </w:r>
    </w:p>
    <w:p>
      <w:pPr>
        <w:numPr>
          <w:ilvl w:val="1"/>
          <w:numId w:val="90"/>
        </w:numPr>
        <w:spacing w:after="60"/>
      </w:pPr>
      <w:r>
        <w:rPr/>
        <w:t>Unspent balances must be reported and either carried forward with permission or refunded, depending on the funding body’s rules.</w:t>
      </w:r>
    </w:p>
    <w:p>
      <w:pPr>
        <w:numPr>
          <w:ilvl w:val="1"/>
          <w:numId w:val="90"/>
        </w:numPr>
        <w:spacing w:after="60"/>
      </w:pPr>
      <w:r>
        <w:rPr/>
        <w:t>A compliance register will be maintained to track disbursements, expenditures, and balances for each grant.</w:t>
      </w:r>
    </w:p>
    <w:p>
      <w:pPr>
        <w:pStyle w:val="Heading2"/>
      </w:pPr>
      <w:r>
        <w:rPr/>
        <w:t>Bank Account for Grant Management</w:t>
      </w:r>
    </w:p>
    <w:p>
      <w:pPr>
        <w:numPr>
          <w:ilvl w:val="0"/>
          <w:numId w:val="90"/>
        </w:numPr>
        <w:spacing w:after="60"/>
      </w:pPr>
      <w:r>
        <w:rPr/>
        <w:t>Separate Bank Accounts</w:t>
      </w:r>
    </w:p>
    <w:p>
      <w:pPr>
        <w:numPr>
          <w:ilvl w:val="1"/>
          <w:numId w:val="90"/>
        </w:numPr>
        <w:spacing w:after="60"/>
      </w:pPr>
      <w:r>
        <w:rPr/>
        <w:t>The HEI must maintain dedicated bank accounts for all grants received from government agencies such as UGC, AICTE, DST, CSIR, and other funding bodies.</w:t>
      </w:r>
    </w:p>
    <w:p>
      <w:pPr>
        <w:numPr>
          <w:ilvl w:val="1"/>
          <w:numId w:val="90"/>
        </w:numPr>
        <w:spacing w:after="60"/>
      </w:pPr>
      <w:r>
        <w:rPr/>
        <w:t>Each major grant/project shall be credited into its own bank account, distinct from the institution’s general operating accounts.</w:t>
      </w:r>
    </w:p>
    <w:p>
      <w:pPr>
        <w:numPr>
          <w:ilvl w:val="0"/>
          <w:numId w:val="90"/>
        </w:numPr>
        <w:spacing w:after="60"/>
      </w:pPr>
      <w:r>
        <w:rPr/>
        <w:t>Purpose Restriction</w:t>
      </w:r>
    </w:p>
    <w:p>
      <w:pPr>
        <w:numPr>
          <w:ilvl w:val="1"/>
          <w:numId w:val="90"/>
        </w:numPr>
        <w:spacing w:after="60"/>
      </w:pPr>
      <w:r>
        <w:rPr/>
        <w:t>Funds deposited in these accounts must be utilized exclusively for the specific objectives of the sanctioned grant.</w:t>
      </w:r>
    </w:p>
    <w:p>
      <w:pPr>
        <w:numPr>
          <w:ilvl w:val="1"/>
          <w:numId w:val="90"/>
        </w:numPr>
        <w:spacing w:after="60"/>
      </w:pPr>
      <w:r>
        <w:rPr/>
        <w:t>Under no circumstances shall these funds be diverted for other institutional expenses, salaries, or unrelated projects.</w:t>
      </w:r>
    </w:p>
    <w:p>
      <w:pPr>
        <w:numPr>
          <w:ilvl w:val="0"/>
          <w:numId w:val="90"/>
        </w:numPr>
        <w:spacing w:after="60"/>
      </w:pPr>
      <w:r>
        <w:rPr/>
        <w:t>Authorization of Transactions</w:t>
      </w:r>
    </w:p>
    <w:p>
      <w:pPr>
        <w:numPr>
          <w:ilvl w:val="1"/>
          <w:numId w:val="90"/>
        </w:numPr>
        <w:spacing w:after="60"/>
      </w:pPr>
      <w:r>
        <w:rPr/>
        <w:t>Withdrawals and disbursements from grant accounts shall require the joint authorization of the Registrar/Principal, Finance Officer, and (where applicable) the Principal Investigator (PI).</w:t>
      </w:r>
    </w:p>
    <w:p>
      <w:pPr>
        <w:numPr>
          <w:ilvl w:val="1"/>
          <w:numId w:val="90"/>
        </w:numPr>
        <w:spacing w:after="60"/>
      </w:pPr>
      <w:r>
        <w:rPr/>
        <w:t>All payments must align with the approved budget of the grant proposal.</w:t>
      </w:r>
    </w:p>
    <w:p>
      <w:pPr>
        <w:numPr>
          <w:ilvl w:val="0"/>
          <w:numId w:val="90"/>
        </w:numPr>
        <w:spacing w:after="60"/>
      </w:pPr>
      <w:r>
        <w:rPr/>
        <w:t>Accountability &amp; Audit</w:t>
      </w:r>
    </w:p>
    <w:p>
      <w:pPr>
        <w:numPr>
          <w:ilvl w:val="1"/>
          <w:numId w:val="90"/>
        </w:numPr>
        <w:spacing w:after="60"/>
      </w:pPr>
      <w:r>
        <w:rPr/>
        <w:t>Each grant bank account must maintain separate books of accounts, ledgers, and supporting vouchers.</w:t>
      </w:r>
    </w:p>
    <w:p>
      <w:pPr>
        <w:numPr>
          <w:ilvl w:val="1"/>
          <w:numId w:val="90"/>
        </w:numPr>
        <w:spacing w:after="60"/>
      </w:pPr>
      <w:r>
        <w:rPr/>
        <w:t>Monthly bank reconciliations must be conducted by the Finance Office.</w:t>
      </w:r>
    </w:p>
    <w:p>
      <w:pPr>
        <w:numPr>
          <w:ilvl w:val="1"/>
          <w:numId w:val="90"/>
        </w:numPr>
        <w:spacing w:after="60"/>
      </w:pPr>
      <w:r>
        <w:rPr/>
        <w:t>Accounts will be subject to internal and external audits to ensure compliance with funding agency guidelines.</w:t>
      </w:r>
    </w:p>
    <w:p>
      <w:pPr>
        <w:numPr>
          <w:ilvl w:val="0"/>
          <w:numId w:val="90"/>
        </w:numPr>
        <w:spacing w:after="60"/>
      </w:pPr>
      <w:r>
        <w:rPr/>
        <w:t>Reporting</w:t>
      </w:r>
    </w:p>
    <w:p>
      <w:pPr>
        <w:numPr>
          <w:ilvl w:val="1"/>
          <w:numId w:val="90"/>
        </w:numPr>
        <w:spacing w:after="60"/>
      </w:pPr>
      <w:r>
        <w:rPr/>
        <w:t>Regular Utilization Certificates (UCs) and Statement of Expenditure (SoE) must be prepared from the respective grant account and submitted to the funding agency within stipulated timelines.</w:t>
      </w:r>
    </w:p>
    <w:p>
      <w:pPr>
        <w:numPr>
          <w:ilvl w:val="1"/>
          <w:numId w:val="90"/>
        </w:numPr>
        <w:spacing w:after="60"/>
      </w:pPr>
      <w:r>
        <w:rPr/>
        <w:t>The Finance Department must also provide quarterly reports to the Governing Body on the status of grant accounts.</w:t>
      </w:r>
    </w:p>
    <w:p>
      <w:pPr>
        <w:pStyle w:val="Heading2"/>
      </w:pPr>
      <w:r>
        <w:rPr/>
        <w:t>Criteria for Getting the Grant</w:t>
      </w:r>
    </w:p>
    <w:p>
      <w:pPr>
        <w:numPr>
          <w:ilvl w:val="0"/>
          <w:numId w:val="90"/>
        </w:numPr>
        <w:spacing w:after="60"/>
      </w:pPr>
      <w:r>
        <w:rPr/>
        <w:t>Annual Call for Applications</w:t>
      </w:r>
    </w:p>
    <w:p>
      <w:pPr>
        <w:numPr>
          <w:ilvl w:val="1"/>
          <w:numId w:val="90"/>
        </w:numPr>
        <w:spacing w:after="60"/>
      </w:pPr>
      <w:r>
        <w:rPr/>
        <w:t>Each year, the Government of India and its funding agencies (UGC, AICTE, DST, CSIR, etc.) release calls for proposals/applications for grants.</w:t>
      </w:r>
    </w:p>
    <w:p>
      <w:pPr>
        <w:numPr>
          <w:ilvl w:val="1"/>
          <w:numId w:val="90"/>
        </w:numPr>
        <w:spacing w:after="60"/>
      </w:pPr>
      <w:r>
        <w:rPr/>
        <w:t>Grants may cover:</w:t>
      </w:r>
    </w:p>
    <w:p>
      <w:pPr>
        <w:numPr>
          <w:ilvl w:val="2"/>
          <w:numId w:val="90"/>
        </w:numPr>
        <w:spacing w:after="60"/>
      </w:pPr>
      <w:r>
        <w:rPr/>
        <w:t>Building Development (construction of classrooms, hostels, libraries, labs).</w:t>
      </w:r>
    </w:p>
    <w:p>
      <w:pPr>
        <w:numPr>
          <w:ilvl w:val="2"/>
          <w:numId w:val="90"/>
        </w:numPr>
        <w:spacing w:after="60"/>
      </w:pPr>
      <w:r>
        <w:rPr/>
        <w:t>Infrastructure Development (equipment, ICT facilities, campus modernization).</w:t>
      </w:r>
    </w:p>
    <w:p>
      <w:pPr>
        <w:numPr>
          <w:ilvl w:val="2"/>
          <w:numId w:val="90"/>
        </w:numPr>
        <w:spacing w:after="60"/>
      </w:pPr>
      <w:r>
        <w:rPr/>
        <w:t>Research &amp; Development (R&amp;D) (scientific projects, innovation hubs, fellowships, collaborative research).</w:t>
      </w:r>
    </w:p>
    <w:p>
      <w:pPr>
        <w:numPr>
          <w:ilvl w:val="1"/>
          <w:numId w:val="90"/>
        </w:numPr>
        <w:spacing w:after="60"/>
      </w:pPr>
      <w:r>
        <w:rPr/>
        <w:t>HEIs must submit applications on time with all required supporting documents to be considered.</w:t>
      </w:r>
    </w:p>
    <w:p>
      <w:pPr>
        <w:numPr>
          <w:ilvl w:val="0"/>
          <w:numId w:val="90"/>
        </w:numPr>
        <w:spacing w:after="60"/>
      </w:pPr>
      <w:r>
        <w:rPr/>
        <w:t>Grant Sanction &amp; Disbursement</w:t>
      </w:r>
    </w:p>
    <w:p>
      <w:pPr>
        <w:numPr>
          <w:ilvl w:val="1"/>
          <w:numId w:val="90"/>
        </w:numPr>
        <w:spacing w:after="60"/>
      </w:pPr>
      <w:r>
        <w:rPr/>
        <w:t>Once a grant is sanctioned, the amount is transferred directly to the respective institute’s designated bank account.</w:t>
      </w:r>
    </w:p>
    <w:p>
      <w:pPr>
        <w:numPr>
          <w:ilvl w:val="1"/>
          <w:numId w:val="90"/>
        </w:numPr>
        <w:spacing w:after="60"/>
      </w:pPr>
      <w:r>
        <w:rPr/>
        <w:t>The funds must only be utilized for the purpose specified in the sanction letter and under the guidelines of the funding body.</w:t>
      </w:r>
    </w:p>
    <w:p>
      <w:pPr>
        <w:numPr>
          <w:ilvl w:val="0"/>
          <w:numId w:val="90"/>
        </w:numPr>
        <w:spacing w:after="60"/>
      </w:pPr>
      <w:r>
        <w:rPr/>
        <w:t>Eligibility for Infrastructure Development Grants</w:t>
      </w:r>
    </w:p>
    <w:p>
      <w:pPr>
        <w:numPr>
          <w:ilvl w:val="1"/>
          <w:numId w:val="90"/>
        </w:numPr>
        <w:spacing w:after="60"/>
      </w:pPr>
      <w:r>
        <w:rPr/>
        <w:t>Institutions must hold valid accreditation (NAAC/NBA or equivalent) to qualify.</w:t>
      </w:r>
    </w:p>
    <w:p>
      <w:pPr>
        <w:numPr>
          <w:ilvl w:val="1"/>
          <w:numId w:val="90"/>
        </w:numPr>
        <w:spacing w:after="60"/>
      </w:pPr>
      <w:r>
        <w:rPr/>
        <w:t>Accreditation ensures that only institutions meeting minimum quality standards can access funds for infrastructure growth.</w:t>
      </w:r>
    </w:p>
    <w:p>
      <w:pPr>
        <w:numPr>
          <w:ilvl w:val="0"/>
          <w:numId w:val="90"/>
        </w:numPr>
        <w:spacing w:after="60"/>
      </w:pPr>
      <w:r>
        <w:rPr/>
        <w:t>Eligibility for Research &amp; Development Grants</w:t>
      </w:r>
    </w:p>
    <w:p>
      <w:pPr>
        <w:numPr>
          <w:ilvl w:val="1"/>
          <w:numId w:val="90"/>
        </w:numPr>
        <w:spacing w:after="60"/>
      </w:pPr>
      <w:r>
        <w:rPr/>
        <w:t>The Principal Investigator (PI) applying for R&amp;D funding must be a permanent employee (Professor/Doctor/Lecturer) on the payroll of the HEI.</w:t>
      </w:r>
    </w:p>
    <w:p>
      <w:pPr>
        <w:numPr>
          <w:ilvl w:val="1"/>
          <w:numId w:val="90"/>
        </w:numPr>
        <w:spacing w:after="60"/>
      </w:pPr>
      <w:r>
        <w:rPr/>
        <w:t>This ensures accountability, continuity, and compliance in project execution.</w:t>
      </w:r>
    </w:p>
    <w:p>
      <w:pPr>
        <w:numPr>
          <w:ilvl w:val="1"/>
          <w:numId w:val="90"/>
        </w:numPr>
        <w:spacing w:after="60"/>
      </w:pPr>
      <w:r>
        <w:rPr/>
        <w:t>Collaborative proposals may also be allowed, but the lead PI must belong to the HEI.</w:t>
      </w:r>
    </w:p>
    <w:p>
      <w:pPr>
        <w:numPr>
          <w:ilvl w:val="0"/>
          <w:numId w:val="90"/>
        </w:numPr>
        <w:spacing w:after="60"/>
      </w:pPr>
      <w:r>
        <w:rPr/>
        <w:t>General Compliance Requirements</w:t>
      </w:r>
    </w:p>
    <w:p>
      <w:pPr>
        <w:numPr>
          <w:ilvl w:val="1"/>
          <w:numId w:val="90"/>
        </w:numPr>
        <w:spacing w:after="60"/>
      </w:pPr>
      <w:r>
        <w:rPr/>
        <w:t>The HEI must have a track record of timely submission of Utilization Certificates (UCs) for past grants.</w:t>
      </w:r>
    </w:p>
    <w:p>
      <w:pPr>
        <w:numPr>
          <w:ilvl w:val="1"/>
          <w:numId w:val="90"/>
        </w:numPr>
        <w:spacing w:after="60"/>
      </w:pPr>
      <w:r>
        <w:rPr/>
        <w:t>Institutions with pending audits or misutilization cases may be disqualified.</w:t>
      </w:r>
    </w:p>
    <w:p>
      <w:pPr>
        <w:numPr>
          <w:ilvl w:val="1"/>
          <w:numId w:val="90"/>
        </w:numPr>
        <w:spacing w:after="60"/>
      </w:pPr>
      <w:r>
        <w:rPr/>
        <w:t>The proposed project must align with the strategic priorities of national policies (e.g., NEP 2020, R&amp;D innovation, higher education expansion).</w:t>
      </w:r>
    </w:p>
    <w:p>
      <w:pPr>
        <w:pStyle w:val="Heading2"/>
      </w:pPr>
      <w:r>
        <w:rPr/>
        <w:t>Usage of R&amp;D Grant</w:t>
      </w:r>
    </w:p>
    <w:p>
      <w:pPr>
        <w:tabs>
          <w:tab w:pos="425" w:val="left"/>
        </w:tabs>
        <w:spacing w:after="60"/>
        <w:ind w:left="425" w:hanging="425"/>
      </w:pPr>
      <w:r>
        <w:rPr/>
        <w:t>1.</w:t>
        <w:tab/>
        <w:t>Full Utilization of Grant</w:t>
      </w:r>
    </w:p>
    <w:p>
      <w:pPr>
        <w:numPr>
          <w:ilvl w:val="1"/>
          <w:numId w:val="90"/>
        </w:numPr>
        <w:spacing w:after="60"/>
      </w:pPr>
      <w:r>
        <w:rPr/>
        <w:t>R&amp;D grants sanctioned by the Government must be fully utilized within the approved project duration.</w:t>
      </w:r>
    </w:p>
    <w:p>
      <w:pPr>
        <w:numPr>
          <w:ilvl w:val="1"/>
          <w:numId w:val="90"/>
        </w:numPr>
        <w:spacing w:after="60"/>
      </w:pPr>
      <w:r>
        <w:rPr/>
        <w:t>Any unspent or underutilized funds require a written explanation from the concerned institute to the Management and Funding Agency.</w:t>
      </w:r>
    </w:p>
    <w:p>
      <w:pPr>
        <w:numPr>
          <w:ilvl w:val="1"/>
          <w:numId w:val="90"/>
        </w:numPr>
        <w:spacing w:after="60"/>
      </w:pPr>
      <w:r>
        <w:rPr/>
        <w:t>Failure to utilize funds may impact eligibility for future grants.</w:t>
      </w:r>
    </w:p>
    <w:p>
      <w:pPr>
        <w:tabs>
          <w:tab w:pos="425" w:val="left"/>
        </w:tabs>
        <w:spacing w:after="60"/>
        <w:ind w:left="425" w:hanging="425"/>
      </w:pPr>
      <w:r>
        <w:rPr/>
        <w:t>2.</w:t>
        <w:tab/>
        <w:t>Phased Release of Funds</w:t>
      </w:r>
    </w:p>
    <w:p>
      <w:pPr>
        <w:numPr>
          <w:ilvl w:val="1"/>
          <w:numId w:val="90"/>
        </w:numPr>
        <w:spacing w:after="60"/>
      </w:pPr>
      <w:r>
        <w:rPr/>
        <w:t>Principals of institutes must not release the entire sanctioned amount at once to the researcher/Principal Investigator (PI).</w:t>
      </w:r>
    </w:p>
    <w:p>
      <w:pPr>
        <w:numPr>
          <w:ilvl w:val="1"/>
          <w:numId w:val="90"/>
        </w:numPr>
        <w:spacing w:after="60"/>
      </w:pPr>
      <w:r>
        <w:rPr/>
        <w:t>Funds should be released in installments, strictly based on actual expenses incurred and supported by bills/invoices.</w:t>
      </w:r>
    </w:p>
    <w:p>
      <w:pPr>
        <w:numPr>
          <w:ilvl w:val="1"/>
          <w:numId w:val="90"/>
        </w:numPr>
        <w:spacing w:after="60"/>
      </w:pPr>
      <w:r>
        <w:rPr/>
        <w:t>This prevents misuse, encourages accountability, and ensures funds are available throughout the project duration.</w:t>
      </w:r>
    </w:p>
    <w:p>
      <w:pPr>
        <w:tabs>
          <w:tab w:pos="425" w:val="left"/>
        </w:tabs>
        <w:spacing w:after="60"/>
        <w:ind w:left="425" w:hanging="425"/>
      </w:pPr>
      <w:r>
        <w:rPr/>
        <w:t>3.</w:t>
        <w:tab/>
        <w:t>Compliance with Purchase Rules</w:t>
      </w:r>
    </w:p>
    <w:p>
      <w:pPr>
        <w:numPr>
          <w:ilvl w:val="1"/>
          <w:numId w:val="90"/>
        </w:numPr>
        <w:spacing w:after="60"/>
      </w:pPr>
      <w:r>
        <w:rPr/>
        <w:t>All procurements made under the R&amp;D Grant must comply with the purchase procedures prescribed by the funding agency (e.g., UGC, DST, AICTE).</w:t>
      </w:r>
    </w:p>
    <w:p>
      <w:pPr>
        <w:numPr>
          <w:ilvl w:val="1"/>
          <w:numId w:val="90"/>
        </w:numPr>
        <w:spacing w:after="60"/>
      </w:pPr>
      <w:r>
        <w:rPr/>
        <w:t>This includes:</w:t>
      </w:r>
    </w:p>
    <w:p>
      <w:pPr>
        <w:numPr>
          <w:ilvl w:val="2"/>
          <w:numId w:val="90"/>
        </w:numPr>
        <w:spacing w:after="60"/>
      </w:pPr>
      <w:r>
        <w:rPr/>
        <w:t>Obtaining competitive quotations/tenders.</w:t>
      </w:r>
    </w:p>
    <w:p>
      <w:pPr>
        <w:numPr>
          <w:ilvl w:val="2"/>
          <w:numId w:val="90"/>
        </w:numPr>
        <w:spacing w:after="60"/>
      </w:pPr>
      <w:r>
        <w:rPr/>
        <w:t>Approval of purchase committees.</w:t>
      </w:r>
    </w:p>
    <w:p>
      <w:pPr>
        <w:numPr>
          <w:ilvl w:val="2"/>
          <w:numId w:val="90"/>
        </w:numPr>
        <w:spacing w:after="60"/>
      </w:pPr>
      <w:r>
        <w:rPr/>
        <w:t>Documented vendor selection process.</w:t>
      </w:r>
    </w:p>
    <w:p>
      <w:pPr>
        <w:numPr>
          <w:ilvl w:val="2"/>
          <w:numId w:val="90"/>
        </w:numPr>
        <w:spacing w:after="60"/>
      </w:pPr>
      <w:r>
        <w:rPr/>
        <w:t>Adherence to agency-specific procurement ceilings.</w:t>
      </w:r>
    </w:p>
    <w:p>
      <w:pPr>
        <w:numPr>
          <w:ilvl w:val="1"/>
          <w:numId w:val="90"/>
        </w:numPr>
        <w:spacing w:after="60"/>
      </w:pPr>
      <w:r>
        <w:rPr/>
        <w:t>Non-compliance with purchase rules may lead to audit objections, recovery of funds, or cancellation of grants.</w:t>
      </w:r>
    </w:p>
    <w:p>
      <w:pPr>
        <w:tabs>
          <w:tab w:pos="425" w:val="left"/>
        </w:tabs>
        <w:spacing w:after="60"/>
        <w:ind w:left="425" w:hanging="425"/>
      </w:pPr>
      <w:r>
        <w:rPr/>
        <w:t>4.</w:t>
        <w:tab/>
        <w:t>Monitoring and Reporting</w:t>
      </w:r>
    </w:p>
    <w:p>
      <w:pPr>
        <w:numPr>
          <w:ilvl w:val="1"/>
          <w:numId w:val="90"/>
        </w:numPr>
        <w:spacing w:after="60"/>
      </w:pPr>
      <w:r>
        <w:rPr/>
        <w:t>Researchers/Principal Investigators must submit quarterly/annual utilization statements along with progress reports to both the institute and the funding agency.</w:t>
      </w:r>
    </w:p>
    <w:p>
      <w:pPr>
        <w:numPr>
          <w:ilvl w:val="1"/>
          <w:numId w:val="90"/>
        </w:numPr>
        <w:spacing w:after="60"/>
      </w:pPr>
      <w:r>
        <w:rPr/>
        <w:t>The Finance Office must maintain a separate ledger account for each sanctioned R&amp;D project.</w:t>
      </w:r>
    </w:p>
    <w:p>
      <w:pPr>
        <w:numPr>
          <w:ilvl w:val="1"/>
          <w:numId w:val="90"/>
        </w:numPr>
        <w:spacing w:after="60"/>
      </w:pPr>
      <w:r>
        <w:rPr/>
        <w:t>Periodic internal audits should be conducted to ensure proper fund usage.</w:t>
      </w:r>
    </w:p>
    <w:p>
      <w:pPr>
        <w:pStyle w:val="Heading2"/>
      </w:pPr>
      <w:r>
        <w:rPr/>
        <w:t>R&amp;D Grant Policy</w:t>
      </w:r>
    </w:p>
    <w:p>
      <w:pPr>
        <w:numPr>
          <w:ilvl w:val="0"/>
          <w:numId w:val="90"/>
        </w:numPr>
        <w:spacing w:after="60"/>
      </w:pPr>
      <w:r>
        <w:rPr/>
        <w:t>Institutional R&amp;D Budget</w:t>
      </w:r>
    </w:p>
    <w:p>
      <w:pPr>
        <w:numPr>
          <w:ilvl w:val="1"/>
          <w:numId w:val="90"/>
        </w:numPr>
        <w:spacing w:after="60"/>
      </w:pPr>
      <w:r>
        <w:rPr/>
        <w:t>In addition to the R&amp;D grants received from Government bodies (UGC, AICTE, DST, CSIR, etc.), the HEI must create an internal budget allocation for Research &amp; Development.</w:t>
      </w:r>
    </w:p>
    <w:p>
      <w:pPr>
        <w:numPr>
          <w:ilvl w:val="1"/>
          <w:numId w:val="90"/>
        </w:numPr>
        <w:spacing w:after="60"/>
      </w:pPr>
      <w:r>
        <w:rPr/>
        <w:t>Each year, the HEI shall earmark 5% of its total budgeted income exclusively for R&amp;D activities.</w:t>
      </w:r>
    </w:p>
    <w:p>
      <w:pPr>
        <w:numPr>
          <w:ilvl w:val="1"/>
          <w:numId w:val="90"/>
        </w:numPr>
        <w:spacing w:after="60"/>
      </w:pPr>
      <w:r>
        <w:rPr/>
        <w:t>This ensures continuity of research initiatives, even in the absence of external funding.</w:t>
      </w:r>
    </w:p>
    <w:p>
      <w:pPr>
        <w:numPr>
          <w:ilvl w:val="0"/>
          <w:numId w:val="90"/>
        </w:numPr>
        <w:spacing w:after="60"/>
      </w:pPr>
      <w:r>
        <w:rPr/>
        <w:t>Utilization of R&amp;D Budget</w:t>
      </w:r>
    </w:p>
    <w:p>
      <w:pPr>
        <w:numPr>
          <w:ilvl w:val="1"/>
          <w:numId w:val="90"/>
        </w:numPr>
        <w:spacing w:after="60"/>
      </w:pPr>
      <w:r>
        <w:rPr/>
        <w:t>The internally allocated R&amp;D budget must be fully utilized within the academic/financial year.</w:t>
      </w:r>
    </w:p>
    <w:p>
      <w:pPr>
        <w:numPr>
          <w:ilvl w:val="1"/>
          <w:numId w:val="90"/>
        </w:numPr>
        <w:spacing w:after="60"/>
      </w:pPr>
      <w:r>
        <w:rPr/>
        <w:t>Funds may be applied towards:</w:t>
      </w:r>
    </w:p>
    <w:p>
      <w:pPr>
        <w:numPr>
          <w:ilvl w:val="2"/>
          <w:numId w:val="90"/>
        </w:numPr>
        <w:spacing w:after="60"/>
      </w:pPr>
      <w:r>
        <w:rPr/>
        <w:t>Faculty and student research projects.</w:t>
      </w:r>
    </w:p>
    <w:p>
      <w:pPr>
        <w:numPr>
          <w:ilvl w:val="2"/>
          <w:numId w:val="90"/>
        </w:numPr>
        <w:spacing w:after="60"/>
      </w:pPr>
      <w:r>
        <w:rPr/>
        <w:t>Laboratory equipment and consumables.</w:t>
      </w:r>
    </w:p>
    <w:p>
      <w:pPr>
        <w:numPr>
          <w:ilvl w:val="2"/>
          <w:numId w:val="90"/>
        </w:numPr>
        <w:spacing w:after="60"/>
      </w:pPr>
      <w:r>
        <w:rPr/>
        <w:t>Publication and patent filing charges.</w:t>
      </w:r>
    </w:p>
    <w:p>
      <w:pPr>
        <w:numPr>
          <w:ilvl w:val="2"/>
          <w:numId w:val="90"/>
        </w:numPr>
        <w:spacing w:after="60"/>
      </w:pPr>
      <w:r>
        <w:rPr/>
        <w:t>Research workshops, conferences, and collaborations.</w:t>
      </w:r>
    </w:p>
    <w:p>
      <w:pPr>
        <w:numPr>
          <w:ilvl w:val="2"/>
          <w:numId w:val="90"/>
        </w:numPr>
        <w:spacing w:after="60"/>
      </w:pPr>
      <w:r>
        <w:rPr/>
        <w:t>Seed funding for innovative projects.</w:t>
      </w:r>
    </w:p>
    <w:p>
      <w:pPr>
        <w:numPr>
          <w:ilvl w:val="1"/>
          <w:numId w:val="90"/>
        </w:numPr>
        <w:spacing w:after="60"/>
      </w:pPr>
      <w:r>
        <w:rPr/>
        <w:t>Unutilized amounts, if any, should be carried forward only with explicit approval of the Governing Body.</w:t>
      </w:r>
    </w:p>
    <w:p>
      <w:pPr>
        <w:numPr>
          <w:ilvl w:val="0"/>
          <w:numId w:val="90"/>
        </w:numPr>
        <w:spacing w:after="60"/>
      </w:pPr>
      <w:r>
        <w:rPr/>
        <w:t>Approval Matrix</w:t>
      </w:r>
    </w:p>
    <w:p>
      <w:pPr>
        <w:numPr>
          <w:ilvl w:val="1"/>
          <w:numId w:val="90"/>
        </w:numPr>
        <w:spacing w:after="60"/>
      </w:pPr>
      <w:r>
        <w:rPr/>
        <w:t>Any expenditure from the internal R&amp;D budget requires prior approval from:</w:t>
      </w:r>
    </w:p>
    <w:p>
      <w:pPr>
        <w:numPr>
          <w:ilvl w:val="2"/>
          <w:numId w:val="90"/>
        </w:numPr>
        <w:spacing w:after="60"/>
      </w:pPr>
      <w:r>
        <w:rPr/>
        <w:t>Vice Chancellor (VC)</w:t>
      </w:r>
    </w:p>
    <w:p>
      <w:pPr>
        <w:numPr>
          <w:ilvl w:val="2"/>
          <w:numId w:val="90"/>
        </w:numPr>
        <w:spacing w:after="60"/>
      </w:pPr>
      <w:r>
        <w:rPr/>
        <w:t>Registrar</w:t>
      </w:r>
    </w:p>
    <w:p>
      <w:pPr>
        <w:numPr>
          <w:ilvl w:val="2"/>
          <w:numId w:val="90"/>
        </w:numPr>
        <w:spacing w:after="60"/>
      </w:pPr>
      <w:r>
        <w:rPr/>
        <w:t>Finance Officer (FO)</w:t>
      </w:r>
    </w:p>
    <w:p>
      <w:pPr>
        <w:numPr>
          <w:ilvl w:val="1"/>
          <w:numId w:val="90"/>
        </w:numPr>
        <w:spacing w:after="60"/>
      </w:pPr>
      <w:r>
        <w:rPr/>
        <w:t>This multi-level approval process ensures transparency, accountability, and alignment with institutional priorities.</w:t>
      </w:r>
    </w:p>
    <w:p>
      <w:pPr>
        <w:numPr>
          <w:ilvl w:val="0"/>
          <w:numId w:val="90"/>
        </w:numPr>
        <w:spacing w:after="60"/>
      </w:pPr>
      <w:r>
        <w:rPr/>
        <w:t>Government R&amp;D Grants</w:t>
      </w:r>
    </w:p>
    <w:p>
      <w:pPr>
        <w:numPr>
          <w:ilvl w:val="1"/>
          <w:numId w:val="90"/>
        </w:numPr>
        <w:spacing w:after="60"/>
      </w:pPr>
      <w:r>
        <w:rPr/>
        <w:t>Each year, the Government issues calls for R&amp;D proposals under various schemes.</w:t>
      </w:r>
    </w:p>
    <w:p>
      <w:pPr>
        <w:numPr>
          <w:ilvl w:val="1"/>
          <w:numId w:val="90"/>
        </w:numPr>
        <w:spacing w:after="60"/>
      </w:pPr>
      <w:r>
        <w:rPr/>
        <w:t>Institutes must apply for these grants by submitting well-prepared proposals clearly stating:</w:t>
      </w:r>
    </w:p>
    <w:p>
      <w:pPr>
        <w:numPr>
          <w:ilvl w:val="2"/>
          <w:numId w:val="90"/>
        </w:numPr>
        <w:spacing w:after="60"/>
      </w:pPr>
      <w:r>
        <w:rPr/>
        <w:t>The subject area and research problem.</w:t>
      </w:r>
    </w:p>
    <w:p>
      <w:pPr>
        <w:numPr>
          <w:ilvl w:val="2"/>
          <w:numId w:val="90"/>
        </w:numPr>
        <w:spacing w:after="60"/>
      </w:pPr>
      <w:r>
        <w:rPr/>
        <w:t>Objectives and expected outcomes.</w:t>
      </w:r>
    </w:p>
    <w:p>
      <w:pPr>
        <w:numPr>
          <w:ilvl w:val="2"/>
          <w:numId w:val="90"/>
        </w:numPr>
        <w:spacing w:after="60"/>
      </w:pPr>
      <w:r>
        <w:rPr/>
        <w:t>Methodology and timeline.</w:t>
      </w:r>
    </w:p>
    <w:p>
      <w:pPr>
        <w:numPr>
          <w:ilvl w:val="2"/>
          <w:numId w:val="90"/>
        </w:numPr>
        <w:spacing w:after="60"/>
      </w:pPr>
      <w:r>
        <w:rPr/>
        <w:t>Detailed budget requirements.</w:t>
      </w:r>
    </w:p>
    <w:p>
      <w:pPr>
        <w:numPr>
          <w:ilvl w:val="1"/>
          <w:numId w:val="90"/>
        </w:numPr>
        <w:spacing w:after="60"/>
      </w:pPr>
      <w:r>
        <w:rPr/>
        <w:t>Proposals are reviewed by the respective funding agency, and successful applications receive grants, which are then transferred to the institute’s designated grant bank account.</w:t>
      </w:r>
    </w:p>
    <w:p>
      <w:pPr>
        <w:numPr>
          <w:ilvl w:val="0"/>
          <w:numId w:val="90"/>
        </w:numPr>
        <w:spacing w:after="60"/>
      </w:pPr>
      <w:r>
        <w:rPr/>
        <w:t>Compliance and Monitoring</w:t>
      </w:r>
    </w:p>
    <w:p>
      <w:pPr>
        <w:numPr>
          <w:ilvl w:val="1"/>
          <w:numId w:val="90"/>
        </w:numPr>
        <w:spacing w:after="60"/>
      </w:pPr>
      <w:r>
        <w:rPr/>
        <w:t>Government R&amp;D grants must be utilized only for the sanctioned purpose and in line with the funding body’s guidelines.</w:t>
      </w:r>
    </w:p>
    <w:p>
      <w:pPr>
        <w:numPr>
          <w:ilvl w:val="1"/>
          <w:numId w:val="90"/>
        </w:numPr>
        <w:spacing w:after="60"/>
      </w:pPr>
      <w:r>
        <w:rPr/>
        <w:t>Internal and external audits will be conducted to ensure compliance.</w:t>
      </w:r>
    </w:p>
    <w:p>
      <w:pPr>
        <w:numPr>
          <w:ilvl w:val="1"/>
          <w:numId w:val="90"/>
        </w:numPr>
        <w:spacing w:after="60"/>
      </w:pPr>
      <w:r>
        <w:rPr/>
        <w:t>Regular reports, including Utilization Certificates (UCs) and progress updates, must be submitted to the funding agency.</w:t>
      </w:r>
    </w:p>
    <w:p>
      <w:pPr>
        <w:pStyle w:val="Heading2"/>
      </w:pPr>
      <w:r>
        <w:rPr/>
        <w:t>Accounting &amp; Auditing of External Grants</w:t>
      </w:r>
    </w:p>
    <w:p>
      <w:pPr>
        <w:numPr>
          <w:ilvl w:val="0"/>
          <w:numId w:val="90"/>
        </w:numPr>
        <w:spacing w:after="60"/>
      </w:pPr>
      <w:r>
        <w:rPr/>
        <w:t>Separate Accounting of Grants</w:t>
      </w:r>
    </w:p>
    <w:p>
      <w:pPr>
        <w:numPr>
          <w:ilvl w:val="1"/>
          <w:numId w:val="90"/>
        </w:numPr>
        <w:spacing w:after="60"/>
      </w:pPr>
      <w:r>
        <w:rPr/>
        <w:t>All external grants received from UGC, AICTE, DST, CSIR, and other funding agencies must be recorded separately in the books of accounts under distinct project/grant heads.</w:t>
      </w:r>
    </w:p>
    <w:p>
      <w:pPr>
        <w:numPr>
          <w:ilvl w:val="1"/>
          <w:numId w:val="90"/>
        </w:numPr>
        <w:spacing w:after="60"/>
      </w:pPr>
      <w:r>
        <w:rPr/>
        <w:t>Each sanctioned grant must have an exclusive ledger account to capture receipts, expenditures, and balances, ensuring no mixing of funds with general institutional accounts.</w:t>
      </w:r>
    </w:p>
    <w:p>
      <w:pPr>
        <w:numPr>
          <w:ilvl w:val="1"/>
          <w:numId w:val="90"/>
        </w:numPr>
        <w:spacing w:after="60"/>
      </w:pPr>
      <w:r>
        <w:rPr/>
        <w:t>Expenses must be booked only against the specific purpose sanctioned by the funding agency.</w:t>
      </w:r>
    </w:p>
    <w:p>
      <w:pPr>
        <w:numPr>
          <w:ilvl w:val="0"/>
          <w:numId w:val="90"/>
        </w:numPr>
        <w:spacing w:after="60"/>
      </w:pPr>
      <w:r>
        <w:rPr/>
        <w:t>Monthly Closure of Books</w:t>
      </w:r>
    </w:p>
    <w:p>
      <w:pPr>
        <w:numPr>
          <w:ilvl w:val="1"/>
          <w:numId w:val="90"/>
        </w:numPr>
        <w:spacing w:after="60"/>
      </w:pPr>
      <w:r>
        <w:rPr/>
        <w:t>At the end of every month, the HEI must close the books of UGC &amp; R&amp;D Grant Accounts along with its general accounts.</w:t>
      </w:r>
    </w:p>
    <w:p>
      <w:pPr>
        <w:numPr>
          <w:ilvl w:val="1"/>
          <w:numId w:val="90"/>
        </w:numPr>
        <w:spacing w:after="60"/>
      </w:pPr>
      <w:r>
        <w:rPr/>
        <w:t>This ensures:</w:t>
      </w:r>
    </w:p>
    <w:p>
      <w:pPr>
        <w:numPr>
          <w:ilvl w:val="2"/>
          <w:numId w:val="90"/>
        </w:numPr>
        <w:spacing w:after="60"/>
      </w:pPr>
      <w:r>
        <w:rPr/>
        <w:t>Up-to-date tracking of utilization.</w:t>
      </w:r>
    </w:p>
    <w:p>
      <w:pPr>
        <w:numPr>
          <w:ilvl w:val="2"/>
          <w:numId w:val="90"/>
        </w:numPr>
        <w:spacing w:after="60"/>
      </w:pPr>
      <w:r>
        <w:rPr/>
        <w:t>Early identification of unspent balances.</w:t>
      </w:r>
    </w:p>
    <w:p>
      <w:pPr>
        <w:numPr>
          <w:ilvl w:val="2"/>
          <w:numId w:val="90"/>
        </w:numPr>
        <w:spacing w:after="60"/>
      </w:pPr>
      <w:r>
        <w:rPr/>
        <w:t>Timely preparation of financial reports for submission.</w:t>
      </w:r>
    </w:p>
    <w:p>
      <w:pPr>
        <w:numPr>
          <w:ilvl w:val="0"/>
          <w:numId w:val="90"/>
        </w:numPr>
        <w:spacing w:after="60"/>
      </w:pPr>
      <w:r>
        <w:rPr/>
        <w:t>Audit Requirements</w:t>
      </w:r>
    </w:p>
    <w:p>
      <w:pPr>
        <w:numPr>
          <w:ilvl w:val="1"/>
          <w:numId w:val="90"/>
        </w:numPr>
        <w:spacing w:after="60"/>
      </w:pPr>
      <w:r>
        <w:rPr/>
        <w:t>All external grants must undergo statutory audit along with the HEI’s main financial statements.</w:t>
      </w:r>
    </w:p>
    <w:p>
      <w:pPr>
        <w:numPr>
          <w:ilvl w:val="1"/>
          <w:numId w:val="90"/>
        </w:numPr>
        <w:spacing w:after="60"/>
      </w:pPr>
      <w:r>
        <w:rPr/>
        <w:t>The audit should confirm:</w:t>
      </w:r>
    </w:p>
    <w:p>
      <w:pPr>
        <w:numPr>
          <w:ilvl w:val="2"/>
          <w:numId w:val="90"/>
        </w:numPr>
        <w:spacing w:after="60"/>
      </w:pPr>
      <w:r>
        <w:rPr/>
        <w:t>Proper utilization of grants as per sanctioned purpose.</w:t>
      </w:r>
    </w:p>
    <w:p>
      <w:pPr>
        <w:numPr>
          <w:ilvl w:val="2"/>
          <w:numId w:val="90"/>
        </w:numPr>
        <w:spacing w:after="60"/>
      </w:pPr>
      <w:r>
        <w:rPr/>
        <w:t>Compliance with funding body guidelines.</w:t>
      </w:r>
    </w:p>
    <w:p>
      <w:pPr>
        <w:numPr>
          <w:ilvl w:val="2"/>
          <w:numId w:val="90"/>
        </w:numPr>
        <w:spacing w:after="60"/>
      </w:pPr>
      <w:r>
        <w:rPr/>
        <w:t>Accuracy of financial reporting and supporting documentation.</w:t>
      </w:r>
    </w:p>
    <w:p>
      <w:pPr>
        <w:numPr>
          <w:ilvl w:val="1"/>
          <w:numId w:val="90"/>
        </w:numPr>
        <w:spacing w:after="60"/>
      </w:pPr>
      <w:r>
        <w:rPr/>
        <w:t>In case of R&amp;D grants, Utilization Certificates (UCs) duly certified by the statutory auditor must be submitted to the funding agency.</w:t>
      </w:r>
    </w:p>
    <w:p>
      <w:pPr>
        <w:numPr>
          <w:ilvl w:val="0"/>
          <w:numId w:val="90"/>
        </w:numPr>
        <w:spacing w:after="60"/>
      </w:pPr>
      <w:r>
        <w:rPr/>
        <w:t>Submission to Government/Funding Agencies</w:t>
      </w:r>
    </w:p>
    <w:p>
      <w:pPr>
        <w:numPr>
          <w:ilvl w:val="1"/>
          <w:numId w:val="90"/>
        </w:numPr>
        <w:spacing w:after="60"/>
      </w:pPr>
      <w:r>
        <w:rPr/>
        <w:t>Audited statements of accounts relating to each grant, along with progress reports, must be submitted to the Government/funding body within the prescribed timelines.</w:t>
      </w:r>
    </w:p>
    <w:p>
      <w:pPr>
        <w:numPr>
          <w:ilvl w:val="1"/>
          <w:numId w:val="90"/>
        </w:numPr>
        <w:spacing w:after="60"/>
      </w:pPr>
      <w:r>
        <w:rPr/>
        <w:t>Delay or non-compliance may lead to withholding of future grants or penalties.</w:t>
      </w:r>
    </w:p>
    <w:p>
      <w:pPr>
        <w:numPr>
          <w:ilvl w:val="0"/>
          <w:numId w:val="90"/>
        </w:numPr>
        <w:spacing w:after="60"/>
      </w:pPr>
      <w:r>
        <w:rPr/>
        <w:t>Internal Monitoring</w:t>
      </w:r>
    </w:p>
    <w:p>
      <w:pPr>
        <w:numPr>
          <w:ilvl w:val="1"/>
          <w:numId w:val="90"/>
        </w:numPr>
        <w:spacing w:after="60"/>
      </w:pPr>
      <w:r>
        <w:rPr/>
        <w:t>The Finance Officer must conduct monthly reconciliations between the grant bank accounts, ledgers, and expenditures.</w:t>
      </w:r>
    </w:p>
    <w:p>
      <w:pPr>
        <w:numPr>
          <w:ilvl w:val="1"/>
          <w:numId w:val="90"/>
        </w:numPr>
        <w:spacing w:after="60"/>
      </w:pPr>
      <w:r>
        <w:rPr/>
        <w:t>The Governing Body should receive quarterly reports on grant utilization for oversight.</w:t>
      </w:r>
    </w:p>
    <w:p>
      <w:pPr>
        <w:spacing w:after="0"/>
      </w:pPr>
      <w:r>
        <w:br w:type="page"/>
      </w:r>
    </w:p>
    <w:p>
      <w:pPr>
        <w:pStyle w:val="Heading1"/>
        <w:spacing w:before="0"/>
      </w:pPr>
      <w:r>
        <w:rPr/>
        <w:t>48. Delegation of Financial Powers in HEIs</w:t>
      </w:r>
    </w:p>
    <w:p>
      <w:pPr>
        <w:numPr>
          <w:ilvl w:val="0"/>
          <w:numId w:val="90"/>
        </w:numPr>
        <w:spacing w:after="60"/>
      </w:pPr>
      <w:r>
        <w:rPr/>
        <w:t>Purpose</w:t>
      </w:r>
    </w:p>
    <w:p>
      <w:pPr>
        <w:numPr>
          <w:ilvl w:val="1"/>
          <w:numId w:val="90"/>
        </w:numPr>
        <w:spacing w:after="60"/>
      </w:pPr>
      <w:r>
        <w:rPr/>
        <w:t>To establish a structured framework of financial authority and accountability.</w:t>
      </w:r>
    </w:p>
    <w:p>
      <w:pPr>
        <w:numPr>
          <w:ilvl w:val="1"/>
          <w:numId w:val="90"/>
        </w:numPr>
        <w:spacing w:after="60"/>
      </w:pPr>
      <w:r>
        <w:rPr/>
        <w:t>Ensures timely decision-making, efficient fund utilization, and compliance with institutional and statutory requirements.</w:t>
      </w:r>
    </w:p>
    <w:p>
      <w:pPr>
        <w:numPr>
          <w:ilvl w:val="0"/>
          <w:numId w:val="90"/>
        </w:numPr>
        <w:spacing w:after="60"/>
      </w:pPr>
      <w:r>
        <w:rPr/>
        <w:t>Principles of Delegation</w:t>
      </w:r>
    </w:p>
    <w:p>
      <w:pPr>
        <w:numPr>
          <w:ilvl w:val="1"/>
          <w:numId w:val="90"/>
        </w:numPr>
        <w:spacing w:after="60"/>
      </w:pPr>
      <w:r>
        <w:rPr/>
        <w:t>Transparency – All financial approvals must be documented and traceable.</w:t>
      </w:r>
    </w:p>
    <w:p>
      <w:pPr>
        <w:numPr>
          <w:ilvl w:val="1"/>
          <w:numId w:val="90"/>
        </w:numPr>
        <w:spacing w:after="60"/>
      </w:pPr>
      <w:r>
        <w:rPr/>
        <w:t>Accountability – Individuals exercising powers are responsible for ensuring funds are used for sanctioned purposes only.</w:t>
      </w:r>
    </w:p>
    <w:p>
      <w:pPr>
        <w:numPr>
          <w:ilvl w:val="1"/>
          <w:numId w:val="90"/>
        </w:numPr>
        <w:spacing w:after="60"/>
      </w:pPr>
      <w:r>
        <w:rPr/>
        <w:t>Checks and Balances – Higher-value transactions require multi-level approval to prevent misuse.</w:t>
      </w:r>
    </w:p>
    <w:p>
      <w:pPr>
        <w:numPr>
          <w:ilvl w:val="1"/>
          <w:numId w:val="90"/>
        </w:numPr>
        <w:spacing w:after="60"/>
      </w:pPr>
      <w:r>
        <w:rPr/>
        <w:t>Alignment with Policy – Expenditure must comply with institutional budget, government guidelines, and funding agency norms.</w:t>
      </w:r>
    </w:p>
    <w:p>
      <w:r>
        <w:rPr/>
        <w:t>Illustrative Delegation of Powers</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1928"/>
        <w:gridCol w:w="3628"/>
        <w:gridCol w:w="1701"/>
        <w:gridCol w:w="2154"/>
      </w:tblGrid>
      <w:tr>
        <w:trPr>
          <w:cantSplit w:val="true"/>
          <w:tblHeader w:val="true"/>
        </w:trPr>
        <w:tc>
          <w:tcPr>
            <w:tcW w:type="dxa" w:w="1928"/>
            <w:shd w:val="clear" w:color="auto" w:fill="1F3A5F"/>
          </w:tcPr>
          <w:p>
            <w:pPr>
              <w:spacing w:after="20" w:before="20" w:line="240" w:lineRule="auto"/>
              <w:jc w:val="left"/>
            </w:pPr>
            <w:r>
              <w:rPr>
                <w:b/>
                <w:color w:val="FFFFFF"/>
                <w:sz w:val="20"/>
              </w:rPr>
              <w:t>Level / Authority</w:t>
            </w:r>
          </w:p>
        </w:tc>
        <w:tc>
          <w:tcPr>
            <w:tcW w:type="dxa" w:w="3628"/>
            <w:shd w:val="clear" w:color="auto" w:fill="1F3A5F"/>
          </w:tcPr>
          <w:p>
            <w:pPr>
              <w:spacing w:after="20" w:before="20" w:line="240" w:lineRule="auto"/>
              <w:jc w:val="left"/>
            </w:pPr>
            <w:r>
              <w:rPr>
                <w:b/>
                <w:color w:val="FFFFFF"/>
                <w:sz w:val="20"/>
              </w:rPr>
              <w:t>Powers Delegated</w:t>
            </w:r>
          </w:p>
        </w:tc>
        <w:tc>
          <w:tcPr>
            <w:tcW w:type="dxa" w:w="1701"/>
            <w:shd w:val="clear" w:color="auto" w:fill="1F3A5F"/>
          </w:tcPr>
          <w:p>
            <w:pPr>
              <w:spacing w:after="20" w:before="20" w:line="240" w:lineRule="auto"/>
              <w:jc w:val="left"/>
            </w:pPr>
            <w:r>
              <w:rPr>
                <w:b/>
                <w:color w:val="FFFFFF"/>
                <w:sz w:val="20"/>
              </w:rPr>
              <w:t>Approval Limit (Indicative)</w:t>
            </w:r>
          </w:p>
        </w:tc>
        <w:tc>
          <w:tcPr>
            <w:tcW w:type="dxa" w:w="2154"/>
            <w:shd w:val="clear" w:color="auto" w:fill="1F3A5F"/>
          </w:tcPr>
          <w:p>
            <w:pPr>
              <w:spacing w:after="20" w:before="20" w:line="240" w:lineRule="auto"/>
              <w:jc w:val="left"/>
            </w:pPr>
            <w:r>
              <w:rPr>
                <w:b/>
                <w:color w:val="FFFFFF"/>
                <w:sz w:val="20"/>
              </w:rPr>
              <w:t>Remarks</w:t>
            </w:r>
          </w:p>
        </w:tc>
      </w:tr>
      <w:tr>
        <w:trPr>
          <w:cantSplit w:val="true"/>
        </w:trPr>
        <w:tc>
          <w:tcPr>
            <w:tcW w:type="dxa" w:w="1928"/>
          </w:tcPr>
          <w:p>
            <w:pPr>
              <w:spacing w:after="20" w:before="20" w:line="240" w:lineRule="auto"/>
              <w:jc w:val="left"/>
            </w:pPr>
            <w:r>
              <w:rPr>
                <w:sz w:val="20"/>
              </w:rPr>
              <w:t>Governing Body / Board of Management</w:t>
            </w:r>
          </w:p>
        </w:tc>
        <w:tc>
          <w:tcPr>
            <w:tcW w:type="dxa" w:w="3628"/>
          </w:tcPr>
          <w:p>
            <w:pPr>
              <w:spacing w:after="20" w:before="20" w:line="240" w:lineRule="auto"/>
              <w:jc w:val="left"/>
            </w:pPr>
            <w:r>
              <w:rPr>
                <w:sz w:val="20"/>
              </w:rPr>
              <w:t xml:space="preserve">- Sanction annual budget. </w:t>
              <w:br/>
            </w:r>
            <w:r>
              <w:rPr>
                <w:sz w:val="20"/>
              </w:rPr>
              <w:t xml:space="preserve"> - Approve new projects, capital investments, loans, and major contracts. </w:t>
              <w:br/>
            </w:r>
            <w:r>
              <w:rPr>
                <w:sz w:val="20"/>
              </w:rPr>
              <w:t xml:space="preserve"> - Ratify grants, donations, and endowments.</w:t>
            </w:r>
          </w:p>
        </w:tc>
        <w:tc>
          <w:tcPr>
            <w:tcW w:type="dxa" w:w="1701"/>
          </w:tcPr>
          <w:p>
            <w:pPr>
              <w:spacing w:after="20" w:before="20" w:line="240" w:lineRule="auto"/>
              <w:jc w:val="left"/>
            </w:pPr>
            <w:r>
              <w:rPr>
                <w:sz w:val="20"/>
              </w:rPr>
              <w:t>Above ₹1 crore (or as per statute)</w:t>
            </w:r>
          </w:p>
        </w:tc>
        <w:tc>
          <w:tcPr>
            <w:tcW w:type="dxa" w:w="2154"/>
          </w:tcPr>
          <w:p>
            <w:pPr>
              <w:spacing w:after="20" w:before="20" w:line="240" w:lineRule="auto"/>
              <w:jc w:val="left"/>
            </w:pPr>
            <w:r>
              <w:rPr>
                <w:sz w:val="20"/>
              </w:rPr>
              <w:t>Highest financial authority; decisions recorded in minutes.</w:t>
            </w:r>
          </w:p>
        </w:tc>
      </w:tr>
      <w:tr>
        <w:trPr>
          <w:cantSplit w:val="true"/>
        </w:trPr>
        <w:tc>
          <w:tcPr>
            <w:tcW w:type="dxa" w:w="1928"/>
            <w:shd w:val="clear" w:color="auto" w:fill="E8EEF5"/>
          </w:tcPr>
          <w:p>
            <w:pPr>
              <w:spacing w:after="20" w:before="20" w:line="240" w:lineRule="auto"/>
              <w:jc w:val="left"/>
            </w:pPr>
            <w:r>
              <w:rPr>
                <w:sz w:val="20"/>
              </w:rPr>
              <w:t>Vice Chancellor (VC) / Director</w:t>
            </w:r>
          </w:p>
        </w:tc>
        <w:tc>
          <w:tcPr>
            <w:tcW w:type="dxa" w:w="3628"/>
            <w:shd w:val="clear" w:color="auto" w:fill="E8EEF5"/>
          </w:tcPr>
          <w:p>
            <w:pPr>
              <w:spacing w:after="20" w:before="20" w:line="240" w:lineRule="auto"/>
              <w:jc w:val="left"/>
            </w:pPr>
            <w:r>
              <w:rPr>
                <w:sz w:val="20"/>
              </w:rPr>
              <w:t xml:space="preserve">- Approve academic &amp; research-related expenditure. </w:t>
              <w:br/>
            </w:r>
            <w:r>
              <w:rPr>
                <w:sz w:val="20"/>
              </w:rPr>
              <w:t xml:space="preserve"> - Authorize emergency spending. </w:t>
              <w:br/>
            </w:r>
            <w:r>
              <w:rPr>
                <w:sz w:val="20"/>
              </w:rPr>
              <w:t xml:space="preserve"> - Approve procurement of major infrastructure/equipment.</w:t>
            </w:r>
          </w:p>
        </w:tc>
        <w:tc>
          <w:tcPr>
            <w:tcW w:type="dxa" w:w="1701"/>
            <w:shd w:val="clear" w:color="auto" w:fill="E8EEF5"/>
          </w:tcPr>
          <w:p>
            <w:pPr>
              <w:spacing w:after="20" w:before="20" w:line="240" w:lineRule="auto"/>
              <w:jc w:val="left"/>
            </w:pPr>
            <w:r>
              <w:rPr>
                <w:sz w:val="20"/>
              </w:rPr>
              <w:t>Up to ₹1 crore</w:t>
            </w:r>
          </w:p>
        </w:tc>
        <w:tc>
          <w:tcPr>
            <w:tcW w:type="dxa" w:w="2154"/>
            <w:shd w:val="clear" w:color="auto" w:fill="E8EEF5"/>
          </w:tcPr>
          <w:p>
            <w:pPr>
              <w:spacing w:after="20" w:before="20" w:line="240" w:lineRule="auto"/>
              <w:jc w:val="left"/>
            </w:pPr>
            <w:r>
              <w:rPr>
                <w:sz w:val="20"/>
              </w:rPr>
              <w:t>Subject to reporting to Governing Body.</w:t>
            </w:r>
          </w:p>
        </w:tc>
      </w:tr>
      <w:tr>
        <w:trPr>
          <w:cantSplit w:val="true"/>
        </w:trPr>
        <w:tc>
          <w:tcPr>
            <w:tcW w:type="dxa" w:w="1928"/>
          </w:tcPr>
          <w:p>
            <w:pPr>
              <w:spacing w:after="20" w:before="20" w:line="240" w:lineRule="auto"/>
              <w:jc w:val="left"/>
            </w:pPr>
            <w:r>
              <w:rPr>
                <w:sz w:val="20"/>
              </w:rPr>
              <w:t>Registrar</w:t>
            </w:r>
          </w:p>
        </w:tc>
        <w:tc>
          <w:tcPr>
            <w:tcW w:type="dxa" w:w="3628"/>
          </w:tcPr>
          <w:p>
            <w:pPr>
              <w:spacing w:after="20" w:before="20" w:line="240" w:lineRule="auto"/>
              <w:jc w:val="left"/>
            </w:pPr>
            <w:r>
              <w:rPr>
                <w:sz w:val="20"/>
              </w:rPr>
              <w:t xml:space="preserve">- Approve administrative expenditure (repairs, maintenance, HR expenses). </w:t>
              <w:br/>
            </w:r>
            <w:r>
              <w:rPr>
                <w:sz w:val="20"/>
              </w:rPr>
              <w:t xml:space="preserve"> - Oversee day-to-day financial operations.</w:t>
            </w:r>
          </w:p>
        </w:tc>
        <w:tc>
          <w:tcPr>
            <w:tcW w:type="dxa" w:w="1701"/>
          </w:tcPr>
          <w:p>
            <w:pPr>
              <w:spacing w:after="20" w:before="20" w:line="240" w:lineRule="auto"/>
              <w:jc w:val="left"/>
            </w:pPr>
            <w:r>
              <w:rPr>
                <w:sz w:val="20"/>
              </w:rPr>
              <w:t>Up to ₹50 lakh</w:t>
            </w:r>
          </w:p>
        </w:tc>
        <w:tc>
          <w:tcPr>
            <w:tcW w:type="dxa" w:w="2154"/>
          </w:tcPr>
          <w:p>
            <w:pPr>
              <w:spacing w:after="20" w:before="20" w:line="240" w:lineRule="auto"/>
              <w:jc w:val="left"/>
            </w:pPr>
            <w:r>
              <w:rPr>
                <w:sz w:val="20"/>
              </w:rPr>
              <w:t>Works jointly with Finance Officer.</w:t>
            </w:r>
          </w:p>
        </w:tc>
      </w:tr>
      <w:tr>
        <w:trPr>
          <w:cantSplit w:val="true"/>
        </w:trPr>
        <w:tc>
          <w:tcPr>
            <w:tcW w:type="dxa" w:w="1928"/>
            <w:shd w:val="clear" w:color="auto" w:fill="E8EEF5"/>
          </w:tcPr>
          <w:p>
            <w:pPr>
              <w:spacing w:after="20" w:before="20" w:line="240" w:lineRule="auto"/>
              <w:jc w:val="left"/>
            </w:pPr>
            <w:r>
              <w:rPr>
                <w:sz w:val="20"/>
              </w:rPr>
              <w:t>Finance Officer (FO)</w:t>
            </w:r>
          </w:p>
        </w:tc>
        <w:tc>
          <w:tcPr>
            <w:tcW w:type="dxa" w:w="3628"/>
            <w:shd w:val="clear" w:color="auto" w:fill="E8EEF5"/>
          </w:tcPr>
          <w:p>
            <w:pPr>
              <w:spacing w:after="20" w:before="20" w:line="240" w:lineRule="auto"/>
              <w:jc w:val="left"/>
            </w:pPr>
            <w:r>
              <w:rPr>
                <w:sz w:val="20"/>
              </w:rPr>
              <w:t xml:space="preserve">- Approve fund disbursements within budget. </w:t>
              <w:br/>
            </w:r>
            <w:r>
              <w:rPr>
                <w:sz w:val="20"/>
              </w:rPr>
              <w:t xml:space="preserve"> - Authorize payments for grants, salaries, and statutory dues.</w:t>
            </w:r>
          </w:p>
        </w:tc>
        <w:tc>
          <w:tcPr>
            <w:tcW w:type="dxa" w:w="1701"/>
            <w:shd w:val="clear" w:color="auto" w:fill="E8EEF5"/>
          </w:tcPr>
          <w:p>
            <w:pPr>
              <w:spacing w:after="20" w:before="20" w:line="240" w:lineRule="auto"/>
              <w:jc w:val="left"/>
            </w:pPr>
            <w:r>
              <w:rPr>
                <w:sz w:val="20"/>
              </w:rPr>
              <w:t>Up to ₹25 lakh</w:t>
            </w:r>
          </w:p>
        </w:tc>
        <w:tc>
          <w:tcPr>
            <w:tcW w:type="dxa" w:w="2154"/>
            <w:shd w:val="clear" w:color="auto" w:fill="E8EEF5"/>
          </w:tcPr>
          <w:p>
            <w:pPr>
              <w:spacing w:after="20" w:before="20" w:line="240" w:lineRule="auto"/>
              <w:jc w:val="left"/>
            </w:pPr>
            <w:r>
              <w:rPr>
                <w:sz w:val="20"/>
              </w:rPr>
              <w:t>Ensures compliance with budget and audit norms.</w:t>
            </w:r>
          </w:p>
        </w:tc>
      </w:tr>
      <w:tr>
        <w:trPr>
          <w:cantSplit w:val="true"/>
        </w:trPr>
        <w:tc>
          <w:tcPr>
            <w:tcW w:type="dxa" w:w="1928"/>
          </w:tcPr>
          <w:p>
            <w:pPr>
              <w:spacing w:after="20" w:before="20" w:line="240" w:lineRule="auto"/>
              <w:jc w:val="left"/>
            </w:pPr>
            <w:r>
              <w:rPr>
                <w:sz w:val="20"/>
              </w:rPr>
              <w:t>Heads of Departments (HoDs)</w:t>
            </w:r>
          </w:p>
        </w:tc>
        <w:tc>
          <w:tcPr>
            <w:tcW w:type="dxa" w:w="3628"/>
          </w:tcPr>
          <w:p>
            <w:pPr>
              <w:spacing w:after="20" w:before="20" w:line="240" w:lineRule="auto"/>
              <w:jc w:val="left"/>
            </w:pPr>
            <w:r>
              <w:rPr>
                <w:sz w:val="20"/>
              </w:rPr>
              <w:t xml:space="preserve">- Departmental expenses (lab consumables, teaching aids, workshops, seminars). </w:t>
              <w:br/>
            </w:r>
            <w:r>
              <w:rPr>
                <w:sz w:val="20"/>
              </w:rPr>
              <w:t xml:space="preserve"> - Recommend R&amp;D purchases.</w:t>
            </w:r>
          </w:p>
        </w:tc>
        <w:tc>
          <w:tcPr>
            <w:tcW w:type="dxa" w:w="1701"/>
          </w:tcPr>
          <w:p>
            <w:pPr>
              <w:spacing w:after="20" w:before="20" w:line="240" w:lineRule="auto"/>
              <w:jc w:val="left"/>
            </w:pPr>
            <w:r>
              <w:rPr>
                <w:sz w:val="20"/>
              </w:rPr>
              <w:t>Up to ₹10 lakh</w:t>
            </w:r>
          </w:p>
        </w:tc>
        <w:tc>
          <w:tcPr>
            <w:tcW w:type="dxa" w:w="2154"/>
          </w:tcPr>
          <w:p>
            <w:pPr>
              <w:spacing w:after="20" w:before="20" w:line="240" w:lineRule="auto"/>
              <w:jc w:val="left"/>
            </w:pPr>
            <w:r>
              <w:rPr>
                <w:sz w:val="20"/>
              </w:rPr>
              <w:t>Expenditure must align with departmental budget.</w:t>
            </w:r>
          </w:p>
        </w:tc>
      </w:tr>
      <w:tr>
        <w:trPr>
          <w:cantSplit w:val="true"/>
        </w:trPr>
        <w:tc>
          <w:tcPr>
            <w:tcW w:type="dxa" w:w="1928"/>
            <w:shd w:val="clear" w:color="auto" w:fill="E8EEF5"/>
          </w:tcPr>
          <w:p>
            <w:pPr>
              <w:spacing w:after="20" w:before="20" w:line="240" w:lineRule="auto"/>
              <w:jc w:val="left"/>
            </w:pPr>
            <w:r>
              <w:rPr>
                <w:sz w:val="20"/>
              </w:rPr>
              <w:t>Principal Investigators (PIs)</w:t>
            </w:r>
          </w:p>
        </w:tc>
        <w:tc>
          <w:tcPr>
            <w:tcW w:type="dxa" w:w="3628"/>
            <w:shd w:val="clear" w:color="auto" w:fill="E8EEF5"/>
          </w:tcPr>
          <w:p>
            <w:pPr>
              <w:spacing w:after="20" w:before="20" w:line="240" w:lineRule="auto"/>
              <w:jc w:val="left"/>
            </w:pPr>
            <w:r>
              <w:rPr>
                <w:sz w:val="20"/>
              </w:rPr>
              <w:t>- Manage research project funds sanctioned by external agencies.</w:t>
            </w:r>
          </w:p>
        </w:tc>
        <w:tc>
          <w:tcPr>
            <w:tcW w:type="dxa" w:w="1701"/>
            <w:shd w:val="clear" w:color="auto" w:fill="E8EEF5"/>
          </w:tcPr>
          <w:p>
            <w:pPr>
              <w:spacing w:after="20" w:before="20" w:line="240" w:lineRule="auto"/>
              <w:jc w:val="left"/>
            </w:pPr>
            <w:r>
              <w:rPr>
                <w:sz w:val="20"/>
              </w:rPr>
              <w:t>As per project sanction</w:t>
            </w:r>
          </w:p>
        </w:tc>
        <w:tc>
          <w:tcPr>
            <w:tcW w:type="dxa" w:w="2154"/>
            <w:shd w:val="clear" w:color="auto" w:fill="E8EEF5"/>
          </w:tcPr>
          <w:p>
            <w:pPr>
              <w:spacing w:after="20" w:before="20" w:line="240" w:lineRule="auto"/>
              <w:jc w:val="left"/>
            </w:pPr>
            <w:r>
              <w:rPr>
                <w:sz w:val="20"/>
              </w:rPr>
              <w:t>Expenditure subject to UC (Utilization Certificate).</w:t>
            </w:r>
          </w:p>
        </w:tc>
      </w:tr>
      <w:tr>
        <w:trPr>
          <w:cantSplit w:val="true"/>
        </w:trPr>
        <w:tc>
          <w:tcPr>
            <w:tcW w:type="dxa" w:w="1928"/>
          </w:tcPr>
          <w:p>
            <w:pPr>
              <w:spacing w:after="20" w:before="20" w:line="240" w:lineRule="auto"/>
              <w:jc w:val="left"/>
            </w:pPr>
            <w:r>
              <w:rPr>
                <w:sz w:val="20"/>
              </w:rPr>
              <w:t>Purchase Committee</w:t>
            </w:r>
          </w:p>
        </w:tc>
        <w:tc>
          <w:tcPr>
            <w:tcW w:type="dxa" w:w="3628"/>
          </w:tcPr>
          <w:p>
            <w:pPr>
              <w:spacing w:after="20" w:before="20" w:line="240" w:lineRule="auto"/>
              <w:jc w:val="left"/>
            </w:pPr>
            <w:r>
              <w:rPr>
                <w:sz w:val="20"/>
              </w:rPr>
              <w:t>- Approve vendor selection, procurement, and tender finalization.</w:t>
            </w:r>
          </w:p>
        </w:tc>
        <w:tc>
          <w:tcPr>
            <w:tcW w:type="dxa" w:w="1701"/>
          </w:tcPr>
          <w:p>
            <w:pPr>
              <w:spacing w:after="20" w:before="20" w:line="240" w:lineRule="auto"/>
              <w:jc w:val="left"/>
            </w:pPr>
            <w:r>
              <w:rPr>
                <w:sz w:val="20"/>
              </w:rPr>
              <w:t>As per procurement rules</w:t>
            </w:r>
          </w:p>
        </w:tc>
        <w:tc>
          <w:tcPr>
            <w:tcW w:type="dxa" w:w="2154"/>
          </w:tcPr>
          <w:p>
            <w:pPr>
              <w:spacing w:after="20" w:before="20" w:line="240" w:lineRule="auto"/>
              <w:jc w:val="left"/>
            </w:pPr>
            <w:r>
              <w:rPr>
                <w:sz w:val="20"/>
              </w:rPr>
              <w:t>Ensures transparency and competitive pricing.</w:t>
            </w:r>
          </w:p>
        </w:tc>
      </w:tr>
      <w:tr>
        <w:trPr>
          <w:cantSplit w:val="true"/>
        </w:trPr>
        <w:tc>
          <w:tcPr>
            <w:tcW w:type="dxa" w:w="1928"/>
            <w:shd w:val="clear" w:color="auto" w:fill="E8EEF5"/>
          </w:tcPr>
          <w:p>
            <w:pPr>
              <w:spacing w:after="20" w:before="20" w:line="240" w:lineRule="auto"/>
              <w:jc w:val="left"/>
            </w:pPr>
            <w:r>
              <w:rPr>
                <w:sz w:val="20"/>
              </w:rPr>
              <w:t>Accounts Officer / Section Heads</w:t>
            </w:r>
          </w:p>
        </w:tc>
        <w:tc>
          <w:tcPr>
            <w:tcW w:type="dxa" w:w="3628"/>
            <w:shd w:val="clear" w:color="auto" w:fill="E8EEF5"/>
          </w:tcPr>
          <w:p>
            <w:pPr>
              <w:spacing w:after="20" w:before="20" w:line="240" w:lineRule="auto"/>
              <w:jc w:val="left"/>
            </w:pPr>
            <w:r>
              <w:rPr>
                <w:sz w:val="20"/>
              </w:rPr>
              <w:t>- Approve petty cash, travel advances, and minor operating expenses.</w:t>
            </w:r>
          </w:p>
        </w:tc>
        <w:tc>
          <w:tcPr>
            <w:tcW w:type="dxa" w:w="1701"/>
            <w:shd w:val="clear" w:color="auto" w:fill="E8EEF5"/>
          </w:tcPr>
          <w:p>
            <w:pPr>
              <w:spacing w:after="20" w:before="20" w:line="240" w:lineRule="auto"/>
              <w:jc w:val="left"/>
            </w:pPr>
            <w:r>
              <w:rPr>
                <w:sz w:val="20"/>
              </w:rPr>
              <w:t>Up to ₹1 lakh</w:t>
            </w:r>
          </w:p>
        </w:tc>
        <w:tc>
          <w:tcPr>
            <w:tcW w:type="dxa" w:w="2154"/>
            <w:shd w:val="clear" w:color="auto" w:fill="E8EEF5"/>
          </w:tcPr>
          <w:p>
            <w:pPr>
              <w:spacing w:after="20" w:before="20" w:line="240" w:lineRule="auto"/>
              <w:jc w:val="left"/>
            </w:pPr>
            <w:r>
              <w:rPr>
                <w:sz w:val="20"/>
              </w:rPr>
              <w:t>Must maintain supporting vouchers.</w:t>
            </w:r>
          </w:p>
        </w:tc>
      </w:tr>
    </w:tbl>
    <w:p>
      <w:pPr>
        <w:spacing w:after="80" w:line="240" w:lineRule="auto"/>
      </w:pPr>
    </w:p>
    <w:p>
      <w:r>
        <w:rPr/>
        <w:t>Controls &amp; Compliance</w:t>
      </w:r>
    </w:p>
    <w:p>
      <w:pPr>
        <w:numPr>
          <w:ilvl w:val="0"/>
          <w:numId w:val="90"/>
        </w:numPr>
        <w:spacing w:after="60"/>
      </w:pPr>
      <w:r>
        <w:rPr/>
        <w:t>All expenditures must:</w:t>
      </w:r>
    </w:p>
    <w:p>
      <w:pPr>
        <w:numPr>
          <w:ilvl w:val="1"/>
          <w:numId w:val="90"/>
        </w:numPr>
        <w:spacing w:after="60"/>
      </w:pPr>
      <w:r>
        <w:rPr/>
        <w:t>Be within the approved budget.</w:t>
      </w:r>
    </w:p>
    <w:p>
      <w:pPr>
        <w:numPr>
          <w:ilvl w:val="1"/>
          <w:numId w:val="90"/>
        </w:numPr>
        <w:spacing w:after="60"/>
      </w:pPr>
      <w:r>
        <w:rPr/>
        <w:t>Follow the Purchase/Procurement Policy.</w:t>
      </w:r>
    </w:p>
    <w:p>
      <w:pPr>
        <w:numPr>
          <w:ilvl w:val="1"/>
          <w:numId w:val="90"/>
        </w:numPr>
        <w:spacing w:after="60"/>
      </w:pPr>
      <w:r>
        <w:rPr/>
        <w:t>Be supported by proper documentation (invoices, quotations, approvals).</w:t>
      </w:r>
    </w:p>
    <w:p>
      <w:pPr>
        <w:numPr>
          <w:ilvl w:val="0"/>
          <w:numId w:val="90"/>
        </w:numPr>
        <w:spacing w:after="60"/>
      </w:pPr>
      <w:r>
        <w:rPr/>
        <w:t>Audit Trail – All approvals must be documented in files, ERP systems, or registers.</w:t>
      </w:r>
    </w:p>
    <w:p>
      <w:pPr>
        <w:numPr>
          <w:ilvl w:val="0"/>
          <w:numId w:val="90"/>
        </w:numPr>
        <w:spacing w:after="60"/>
      </w:pPr>
      <w:r>
        <w:rPr/>
        <w:t>Review Mechanism – Delegated powers are subject to periodic review by the Governing Body.</w:t>
      </w:r>
    </w:p>
    <w:p>
      <w:pPr>
        <w:spacing w:after="0"/>
      </w:pPr>
      <w:r>
        <w:br w:type="page"/>
      </w:r>
    </w:p>
    <w:p>
      <w:pPr>
        <w:pStyle w:val="Heading1"/>
        <w:spacing w:before="0"/>
      </w:pPr>
      <w:r>
        <w:rPr/>
        <w:t>49. Imprest Money Policy</w:t>
      </w:r>
    </w:p>
    <w:p>
      <w:r>
        <w:rPr>
          <w:i/>
        </w:rPr>
        <w:t>Purpose:</w:t>
      </w:r>
    </w:p>
    <w:p>
      <w:pPr>
        <w:numPr>
          <w:ilvl w:val="0"/>
          <w:numId w:val="90"/>
        </w:numPr>
        <w:spacing w:after="60"/>
      </w:pPr>
      <w:r>
        <w:rPr/>
        <w:t>Imprest money may be issued to the Principal, HoDs, permitted faculty, or staff to meet:</w:t>
      </w:r>
    </w:p>
    <w:p>
      <w:pPr>
        <w:numPr>
          <w:ilvl w:val="1"/>
          <w:numId w:val="90"/>
        </w:numPr>
        <w:spacing w:after="60"/>
      </w:pPr>
      <w:r>
        <w:rPr/>
        <w:t>Sudden and unforeseen expenditures.</w:t>
      </w:r>
    </w:p>
    <w:p>
      <w:pPr>
        <w:numPr>
          <w:ilvl w:val="1"/>
          <w:numId w:val="90"/>
        </w:numPr>
        <w:spacing w:after="60"/>
      </w:pPr>
      <w:r>
        <w:rPr/>
        <w:t>Petty expenses such as postage, minor transportation, etc.</w:t>
      </w:r>
    </w:p>
    <w:p>
      <w:r>
        <w:rPr>
          <w:i/>
        </w:rPr>
        <w:t>Usage Rules:</w:t>
      </w:r>
    </w:p>
    <w:p>
      <w:pPr>
        <w:numPr>
          <w:ilvl w:val="0"/>
          <w:numId w:val="90"/>
        </w:numPr>
        <w:spacing w:after="60"/>
      </w:pPr>
      <w:r>
        <w:rPr/>
        <w:t>Bills/receipts must be maintained and submitted for all expenses incurred from imprest money.</w:t>
      </w:r>
    </w:p>
    <w:p>
      <w:pPr>
        <w:numPr>
          <w:ilvl w:val="0"/>
          <w:numId w:val="90"/>
        </w:numPr>
        <w:spacing w:after="60"/>
      </w:pPr>
      <w:r>
        <w:rPr/>
        <w:t>Imprest money is provided as an advance from the Accounts Department.</w:t>
      </w:r>
    </w:p>
    <w:p>
      <w:pPr>
        <w:numPr>
          <w:ilvl w:val="0"/>
          <w:numId w:val="90"/>
        </w:numPr>
        <w:spacing w:after="60"/>
      </w:pPr>
      <w:r>
        <w:rPr/>
        <w:t>All imprest accounts must be settled before 31st March of every financial year.</w:t>
      </w:r>
    </w:p>
    <w:p>
      <w:pPr>
        <w:numPr>
          <w:ilvl w:val="0"/>
          <w:numId w:val="90"/>
        </w:numPr>
        <w:spacing w:after="60"/>
      </w:pPr>
      <w:r>
        <w:rPr/>
        <w:t>No carry-over of imprest advances to the next financial year is allowed.</w:t>
      </w:r>
    </w:p>
    <w:p>
      <w:pPr>
        <w:numPr>
          <w:ilvl w:val="0"/>
          <w:numId w:val="90"/>
        </w:numPr>
        <w:spacing w:after="60"/>
      </w:pPr>
      <w:r>
        <w:rPr>
          <w:b/>
        </w:rPr>
        <w:t>Settlement Frequency:</w:t>
      </w:r>
      <w:r>
        <w:rPr/>
        <w:t xml:space="preserve"> Expenditures met from imprest money can be processed for bill passing only once a month.</w:t>
      </w:r>
    </w:p>
    <w:p>
      <w:pPr>
        <w:numPr>
          <w:ilvl w:val="0"/>
          <w:numId w:val="90"/>
        </w:numPr>
        <w:spacing w:after="60"/>
      </w:pPr>
      <w:r>
        <w:rPr>
          <w:b/>
        </w:rPr>
        <w:t>Restrictions:</w:t>
      </w:r>
      <w:r>
        <w:rPr/>
        <w:t xml:space="preserve"> Imprest money cannot be used for routine or planned purchases.</w:t>
      </w:r>
    </w:p>
    <w:p>
      <w:r>
        <w:rPr/>
        <w:t>Processing of Imprest</w:t>
      </w:r>
    </w:p>
    <w:p>
      <w:r>
        <w:rPr/>
        <w:t>The imprest system is a mechanism used by the University to facilitate the smooth disbursement of small advances to staff for official activities and institutional needs. To ensure accountability, transparency, and proper utilization of funds, the following procedures and controls shall apply:</w:t>
      </w:r>
    </w:p>
    <w:p>
      <w:pPr>
        <w:tabs>
          <w:tab w:pos="425" w:val="left"/>
        </w:tabs>
        <w:spacing w:after="60"/>
        <w:ind w:left="425" w:hanging="425"/>
      </w:pPr>
      <w:r>
        <w:rPr/>
        <w:t>1.</w:t>
        <w:tab/>
        <w:t>Requisition and Authorization</w:t>
      </w:r>
    </w:p>
    <w:p>
      <w:pPr>
        <w:numPr>
          <w:ilvl w:val="1"/>
          <w:numId w:val="90"/>
        </w:numPr>
        <w:spacing w:after="60"/>
      </w:pPr>
      <w:r>
        <w:rPr/>
        <w:t>A staff member requiring an imprest shall complete and sign the Imprest Requisition Form at least seven (7) days in advance of the intended activity.</w:t>
      </w:r>
    </w:p>
    <w:p>
      <w:pPr>
        <w:numPr>
          <w:ilvl w:val="1"/>
          <w:numId w:val="90"/>
        </w:numPr>
        <w:spacing w:after="60"/>
      </w:pPr>
      <w:r>
        <w:rPr/>
        <w:t>The requisition must clearly specify the details of the planned activity or expense for which funds are requested.</w:t>
      </w:r>
    </w:p>
    <w:p>
      <w:pPr>
        <w:numPr>
          <w:ilvl w:val="1"/>
          <w:numId w:val="90"/>
        </w:numPr>
        <w:spacing w:after="60"/>
      </w:pPr>
      <w:r>
        <w:rPr/>
        <w:t>Only authorized staff are permitted to apply, and the requisition must be approved by the relevant departmental head before submission to the Accounts Section.</w:t>
      </w:r>
    </w:p>
    <w:p>
      <w:pPr>
        <w:tabs>
          <w:tab w:pos="425" w:val="left"/>
        </w:tabs>
        <w:spacing w:after="60"/>
        <w:ind w:left="425" w:hanging="425"/>
      </w:pPr>
      <w:r>
        <w:rPr/>
        <w:t>2.</w:t>
        <w:tab/>
        <w:t>Verification by Accounts Section</w:t>
      </w:r>
    </w:p>
    <w:p>
      <w:pPr>
        <w:numPr>
          <w:ilvl w:val="1"/>
          <w:numId w:val="90"/>
        </w:numPr>
        <w:spacing w:after="60"/>
      </w:pPr>
      <w:r>
        <w:rPr/>
        <w:t>The Accounts Section shall confirm that the applicant has no outstanding imprest balance before approving a new requisition.</w:t>
      </w:r>
    </w:p>
    <w:p>
      <w:pPr>
        <w:numPr>
          <w:ilvl w:val="1"/>
          <w:numId w:val="90"/>
        </w:numPr>
        <w:spacing w:after="60"/>
      </w:pPr>
      <w:r>
        <w:rPr/>
        <w:t>Records of imprests issued and accounted for shall be strictly maintained to avoid duplication or misuse.</w:t>
      </w:r>
    </w:p>
    <w:p>
      <w:pPr>
        <w:tabs>
          <w:tab w:pos="425" w:val="left"/>
        </w:tabs>
        <w:spacing w:after="60"/>
        <w:ind w:left="425" w:hanging="425"/>
      </w:pPr>
      <w:r>
        <w:rPr/>
        <w:t>3.</w:t>
        <w:tab/>
        <w:t>Mode of Payment</w:t>
      </w:r>
    </w:p>
    <w:p>
      <w:pPr>
        <w:numPr>
          <w:ilvl w:val="1"/>
          <w:numId w:val="90"/>
        </w:numPr>
        <w:spacing w:after="60"/>
      </w:pPr>
      <w:r>
        <w:rPr/>
        <w:t>Imprest payments shall be made either in cash or by cheque/transfer, depending on the amount involved.</w:t>
      </w:r>
    </w:p>
    <w:p>
      <w:pPr>
        <w:numPr>
          <w:ilvl w:val="1"/>
          <w:numId w:val="90"/>
        </w:numPr>
        <w:spacing w:after="60"/>
      </w:pPr>
      <w:r>
        <w:rPr/>
        <w:t>Cash payments shall not exceed Rs. 5,000/-; amounts above this threshold shall be issued through cheque or bank transfer.</w:t>
      </w:r>
    </w:p>
    <w:p>
      <w:pPr>
        <w:numPr>
          <w:ilvl w:val="1"/>
          <w:numId w:val="90"/>
        </w:numPr>
        <w:spacing w:after="60"/>
      </w:pPr>
      <w:r>
        <w:rPr/>
        <w:t>The standard processing time for imprest requests shall be five (5) working days.</w:t>
      </w:r>
    </w:p>
    <w:p>
      <w:pPr>
        <w:tabs>
          <w:tab w:pos="425" w:val="left"/>
        </w:tabs>
        <w:spacing w:after="60"/>
        <w:ind w:left="425" w:hanging="425"/>
      </w:pPr>
      <w:r>
        <w:rPr/>
        <w:t>4.</w:t>
        <w:tab/>
        <w:t>Conditions for Granting a New Imprest</w:t>
      </w:r>
    </w:p>
    <w:p>
      <w:pPr>
        <w:numPr>
          <w:ilvl w:val="1"/>
          <w:numId w:val="90"/>
        </w:numPr>
        <w:spacing w:after="60"/>
      </w:pPr>
      <w:r>
        <w:rPr/>
        <w:t>No further imprest shall be granted before the previous one is fully accounted for.</w:t>
      </w:r>
    </w:p>
    <w:p>
      <w:pPr>
        <w:numPr>
          <w:ilvl w:val="1"/>
          <w:numId w:val="90"/>
        </w:numPr>
        <w:spacing w:after="60"/>
      </w:pPr>
      <w:r>
        <w:rPr/>
        <w:t>Exceptions may only be made under special circumstances, subject to recommendation by the Accounts Officer and approval by the Chancellor.</w:t>
      </w:r>
    </w:p>
    <w:p>
      <w:pPr>
        <w:tabs>
          <w:tab w:pos="425" w:val="left"/>
        </w:tabs>
        <w:spacing w:after="60"/>
        <w:ind w:left="425" w:hanging="425"/>
      </w:pPr>
      <w:r>
        <w:rPr/>
        <w:t>5.</w:t>
        <w:tab/>
        <w:t>Recovery of Outstanding Imprest</w:t>
      </w:r>
    </w:p>
    <w:p>
      <w:pPr>
        <w:numPr>
          <w:ilvl w:val="1"/>
          <w:numId w:val="90"/>
        </w:numPr>
        <w:spacing w:after="60"/>
      </w:pPr>
      <w:r>
        <w:rPr/>
        <w:t>If an imprest remains unaccounted for, the University reserves the right to recover the outstanding amount directly through payroll deductions.</w:t>
      </w:r>
    </w:p>
    <w:p>
      <w:pPr>
        <w:numPr>
          <w:ilvl w:val="1"/>
          <w:numId w:val="90"/>
        </w:numPr>
        <w:spacing w:after="60"/>
      </w:pPr>
      <w:r>
        <w:rPr/>
        <w:t>Staff members shall be notified in writing before such deductions are implemented.</w:t>
      </w:r>
    </w:p>
    <w:p>
      <w:pPr>
        <w:tabs>
          <w:tab w:pos="425" w:val="left"/>
        </w:tabs>
        <w:spacing w:after="60"/>
        <w:ind w:left="425" w:hanging="425"/>
      </w:pPr>
      <w:r>
        <w:rPr/>
        <w:t>6.</w:t>
        <w:tab/>
        <w:t>Surrender and Accountability</w:t>
      </w:r>
    </w:p>
    <w:p>
      <w:pPr>
        <w:numPr>
          <w:ilvl w:val="1"/>
          <w:numId w:val="90"/>
        </w:numPr>
        <w:spacing w:after="60"/>
      </w:pPr>
      <w:r>
        <w:rPr/>
        <w:t>All imprests must be surrendered and accounted for within one (1) week after completion of the planned trip or activity.</w:t>
      </w:r>
    </w:p>
    <w:p>
      <w:pPr>
        <w:numPr>
          <w:ilvl w:val="1"/>
          <w:numId w:val="90"/>
        </w:numPr>
        <w:spacing w:after="60"/>
      </w:pPr>
      <w:r>
        <w:rPr/>
        <w:t>Supporting documents such as receipts, invoices, and reports must be attached to the settlement form.</w:t>
      </w:r>
    </w:p>
    <w:p>
      <w:pPr>
        <w:numPr>
          <w:ilvl w:val="1"/>
          <w:numId w:val="90"/>
        </w:numPr>
        <w:spacing w:after="60"/>
      </w:pPr>
      <w:r>
        <w:rPr/>
        <w:t>Unspent balances must be returned in cash to the Accounts Section at the time of surrender.</w:t>
      </w:r>
    </w:p>
    <w:p>
      <w:pPr>
        <w:tabs>
          <w:tab w:pos="425" w:val="left"/>
        </w:tabs>
        <w:spacing w:after="60"/>
        <w:ind w:left="425" w:hanging="425"/>
      </w:pPr>
      <w:r>
        <w:rPr/>
        <w:t>7.</w:t>
        <w:tab/>
        <w:t>Petty Cash Float</w:t>
      </w:r>
    </w:p>
    <w:p>
      <w:pPr>
        <w:numPr>
          <w:ilvl w:val="1"/>
          <w:numId w:val="90"/>
        </w:numPr>
        <w:spacing w:after="60"/>
      </w:pPr>
      <w:r>
        <w:rPr/>
        <w:t>A petty cash float of Rs. 50,000/- shall be maintained under the imprest system to meet minor office expenses.</w:t>
      </w:r>
    </w:p>
    <w:p>
      <w:pPr>
        <w:numPr>
          <w:ilvl w:val="1"/>
          <w:numId w:val="90"/>
        </w:numPr>
        <w:spacing w:after="60"/>
      </w:pPr>
      <w:r>
        <w:rPr/>
        <w:t>This float may be reviewed and adjusted from time to time with the approval of the Chancellor.</w:t>
      </w:r>
    </w:p>
    <w:p>
      <w:pPr>
        <w:numPr>
          <w:ilvl w:val="1"/>
          <w:numId w:val="90"/>
        </w:numPr>
        <w:spacing w:after="60"/>
      </w:pPr>
      <w:r>
        <w:rPr/>
        <w:t>Petty cash disbursements shall be recorded promptly, reconciled periodically, and subject to internal audit checks.</w:t>
      </w:r>
    </w:p>
    <w:p>
      <w:pPr>
        <w:tabs>
          <w:tab w:pos="425" w:val="left"/>
        </w:tabs>
        <w:spacing w:after="60"/>
        <w:ind w:left="425" w:hanging="425"/>
      </w:pPr>
      <w:r>
        <w:rPr/>
        <w:t>8.</w:t>
        <w:tab/>
        <w:t>Security of Funds</w:t>
      </w:r>
    </w:p>
    <w:p>
      <w:pPr>
        <w:numPr>
          <w:ilvl w:val="1"/>
          <w:numId w:val="90"/>
        </w:numPr>
        <w:spacing w:after="60"/>
      </w:pPr>
      <w:r>
        <w:rPr/>
        <w:t>All cash held on University premises shall be stored overnight in a safe under dual custody (e.g., Finance Officer and Registrar).</w:t>
      </w:r>
    </w:p>
    <w:p>
      <w:pPr>
        <w:numPr>
          <w:ilvl w:val="1"/>
          <w:numId w:val="90"/>
        </w:numPr>
        <w:spacing w:after="60"/>
      </w:pPr>
      <w:r>
        <w:rPr/>
        <w:t>Access to the safe shall require both custodians to be present, ensuring an additional layer of financial security.</w:t>
      </w:r>
    </w:p>
    <w:p>
      <w:pPr>
        <w:spacing w:after="0"/>
      </w:pPr>
      <w:r>
        <w:br w:type="page"/>
      </w:r>
    </w:p>
    <w:p>
      <w:pPr>
        <w:pStyle w:val="Heading1"/>
        <w:spacing w:before="0"/>
      </w:pPr>
      <w:r>
        <w:rPr/>
        <w:t>50. Finance Committee</w:t>
      </w:r>
    </w:p>
    <w:p>
      <w:pPr>
        <w:pStyle w:val="Heading2"/>
      </w:pPr>
      <w:r>
        <w:rPr/>
        <w:t>Introduction</w:t>
      </w:r>
    </w:p>
    <w:p>
      <w:r>
        <w:rPr/>
        <w:t>The Finance Committee is a statutory body responsible for overseeing and guiding the financial planning, budgeting, monitoring, and utilization of resources in an engineering college or university. It plays a key role in ensuring fiscal accountability, resource optimization, and financial transparency — all of which are crucial for accreditation under NBA and NAAC.</w:t>
      </w:r>
    </w:p>
    <w:p>
      <w:pPr>
        <w:pStyle w:val="Heading2"/>
      </w:pPr>
      <w:r>
        <w:rPr/>
        <w:t>Key Objectives of the Finance Committee</w:t>
      </w:r>
    </w:p>
    <w:p>
      <w:pPr>
        <w:pStyle w:val="Heading3"/>
      </w:pPr>
      <w:r>
        <w:rPr/>
        <w:t>1. Budget Planning and Allocation:</w:t>
      </w:r>
    </w:p>
    <w:p>
      <w:pPr>
        <w:numPr>
          <w:ilvl w:val="1"/>
          <w:numId w:val="90"/>
        </w:numPr>
        <w:spacing w:after="60"/>
      </w:pPr>
      <w:r>
        <w:rPr/>
        <w:t>Develop, review, and approve the institution’s annual budget.</w:t>
      </w:r>
    </w:p>
    <w:p>
      <w:pPr>
        <w:numPr>
          <w:ilvl w:val="1"/>
          <w:numId w:val="90"/>
        </w:numPr>
        <w:spacing w:after="60"/>
      </w:pPr>
      <w:r>
        <w:rPr/>
        <w:t>Ensure that financial resources are allocated in alignment with the institution's educational and operational goals.</w:t>
      </w:r>
    </w:p>
    <w:p>
      <w:pPr>
        <w:numPr>
          <w:ilvl w:val="1"/>
          <w:numId w:val="90"/>
        </w:numPr>
        <w:spacing w:after="60"/>
      </w:pPr>
      <w:r>
        <w:rPr/>
        <w:t>Provide recommendations for funding various departments, activities, and capital expenditures.</w:t>
      </w:r>
    </w:p>
    <w:p>
      <w:pPr>
        <w:pStyle w:val="Heading3"/>
      </w:pPr>
      <w:r>
        <w:rPr/>
        <w:t>2. Financial Oversight:</w:t>
      </w:r>
    </w:p>
    <w:p>
      <w:pPr>
        <w:numPr>
          <w:ilvl w:val="1"/>
          <w:numId w:val="90"/>
        </w:numPr>
        <w:spacing w:after="60"/>
      </w:pPr>
      <w:r>
        <w:rPr/>
        <w:t>Monitor the institution’s income and expenditure, ensuring that it is within the approved budget.</w:t>
      </w:r>
    </w:p>
    <w:p>
      <w:pPr>
        <w:numPr>
          <w:ilvl w:val="1"/>
          <w:numId w:val="90"/>
        </w:numPr>
        <w:spacing w:after="60"/>
      </w:pPr>
      <w:r>
        <w:rPr/>
        <w:t>Oversee the allocation and management of resources across departments and projects.</w:t>
      </w:r>
    </w:p>
    <w:p>
      <w:pPr>
        <w:numPr>
          <w:ilvl w:val="1"/>
          <w:numId w:val="90"/>
        </w:numPr>
        <w:spacing w:after="60"/>
      </w:pPr>
      <w:r>
        <w:rPr/>
        <w:t>Ensure the institution’s financial performance aligns with its objectives.</w:t>
      </w:r>
    </w:p>
    <w:p>
      <w:pPr>
        <w:pStyle w:val="Heading3"/>
      </w:pPr>
      <w:r>
        <w:rPr/>
        <w:t>3. Revenue Generation:</w:t>
      </w:r>
    </w:p>
    <w:p>
      <w:pPr>
        <w:numPr>
          <w:ilvl w:val="1"/>
          <w:numId w:val="90"/>
        </w:numPr>
        <w:spacing w:after="60"/>
      </w:pPr>
      <w:r>
        <w:rPr/>
        <w:t>Identify and propose sources of revenue, such as grants, donations, tuition fees, and other financial avenues.</w:t>
      </w:r>
    </w:p>
    <w:p>
      <w:pPr>
        <w:numPr>
          <w:ilvl w:val="1"/>
          <w:numId w:val="90"/>
        </w:numPr>
        <w:spacing w:after="60"/>
      </w:pPr>
      <w:r>
        <w:rPr/>
        <w:t>Recommend measures for optimizing income generation while ensuring affordability and sustainability.</w:t>
      </w:r>
    </w:p>
    <w:p>
      <w:pPr>
        <w:pStyle w:val="Heading3"/>
      </w:pPr>
      <w:r>
        <w:rPr/>
        <w:t>4. Cost Control and Efficiency:</w:t>
      </w:r>
    </w:p>
    <w:p>
      <w:pPr>
        <w:numPr>
          <w:ilvl w:val="1"/>
          <w:numId w:val="90"/>
        </w:numPr>
        <w:spacing w:after="60"/>
      </w:pPr>
      <w:r>
        <w:rPr/>
        <w:t>Identify areas for cost savings and operational efficiency.</w:t>
      </w:r>
    </w:p>
    <w:p>
      <w:pPr>
        <w:numPr>
          <w:ilvl w:val="1"/>
          <w:numId w:val="90"/>
        </w:numPr>
        <w:spacing w:after="60"/>
      </w:pPr>
      <w:r>
        <w:rPr/>
        <w:t>Monitor financial reports to ensure proper utilization of funds and prevent wastage.</w:t>
      </w:r>
    </w:p>
    <w:p>
      <w:pPr>
        <w:numPr>
          <w:ilvl w:val="1"/>
          <w:numId w:val="90"/>
        </w:numPr>
        <w:spacing w:after="60"/>
      </w:pPr>
      <w:r>
        <w:rPr/>
        <w:t>Implement strategies to reduce costs while maintaining high standards of education and services.</w:t>
      </w:r>
    </w:p>
    <w:p>
      <w:pPr>
        <w:pStyle w:val="Heading3"/>
      </w:pPr>
      <w:r>
        <w:rPr/>
        <w:t>5. Compliance with Regulations:</w:t>
      </w:r>
    </w:p>
    <w:p>
      <w:pPr>
        <w:numPr>
          <w:ilvl w:val="1"/>
          <w:numId w:val="90"/>
        </w:numPr>
        <w:spacing w:after="60"/>
      </w:pPr>
      <w:r>
        <w:rPr/>
        <w:t>Ensure that the institution’s financial operations comply with governmental regulations and accreditation standards.</w:t>
      </w:r>
    </w:p>
    <w:p>
      <w:pPr>
        <w:numPr>
          <w:ilvl w:val="1"/>
          <w:numId w:val="90"/>
        </w:numPr>
        <w:spacing w:after="60"/>
      </w:pPr>
      <w:r>
        <w:rPr/>
        <w:t>Oversee audits and ensure adherence to financial policies and procedures.</w:t>
      </w:r>
    </w:p>
    <w:p>
      <w:pPr>
        <w:pStyle w:val="Heading3"/>
      </w:pPr>
      <w:r>
        <w:rPr/>
        <w:t>6. Investment Planning:</w:t>
      </w:r>
    </w:p>
    <w:p>
      <w:pPr>
        <w:numPr>
          <w:ilvl w:val="1"/>
          <w:numId w:val="90"/>
        </w:numPr>
        <w:spacing w:after="60"/>
      </w:pPr>
      <w:r>
        <w:rPr/>
        <w:t>Guide the institution on safe and profitable investment options for its funds.</w:t>
      </w:r>
    </w:p>
    <w:p>
      <w:pPr>
        <w:numPr>
          <w:ilvl w:val="1"/>
          <w:numId w:val="90"/>
        </w:numPr>
        <w:spacing w:after="60"/>
      </w:pPr>
      <w:r>
        <w:rPr/>
        <w:t>Recommend policies for managing investments, ensuring financial growth without undue risk.</w:t>
      </w:r>
    </w:p>
    <w:p>
      <w:pPr>
        <w:pStyle w:val="Heading3"/>
      </w:pPr>
      <w:r>
        <w:rPr/>
        <w:t>7. Financial Transparency:</w:t>
      </w:r>
    </w:p>
    <w:p>
      <w:pPr>
        <w:numPr>
          <w:ilvl w:val="1"/>
          <w:numId w:val="90"/>
        </w:numPr>
        <w:spacing w:after="60"/>
      </w:pPr>
      <w:r>
        <w:rPr/>
        <w:t>Promote transparency in all financial dealings.</w:t>
      </w:r>
    </w:p>
    <w:p>
      <w:pPr>
        <w:numPr>
          <w:ilvl w:val="1"/>
          <w:numId w:val="90"/>
        </w:numPr>
        <w:spacing w:after="60"/>
      </w:pPr>
      <w:r>
        <w:rPr/>
        <w:t>Ensure that financial reports and decisions are communicated effectively to stakeholders, including faculty, students, and governing bodies.</w:t>
      </w:r>
    </w:p>
    <w:p>
      <w:pPr>
        <w:pStyle w:val="Heading3"/>
      </w:pPr>
      <w:r>
        <w:rPr/>
        <w:t>8. Sustainable Financial Management:</w:t>
      </w:r>
    </w:p>
    <w:p>
      <w:pPr>
        <w:numPr>
          <w:ilvl w:val="1"/>
          <w:numId w:val="90"/>
        </w:numPr>
        <w:spacing w:after="60"/>
      </w:pPr>
      <w:r>
        <w:rPr/>
        <w:t>Develop long-term financial strategies for growth, ensuring financial sustainability.</w:t>
      </w:r>
    </w:p>
    <w:p>
      <w:pPr>
        <w:numPr>
          <w:ilvl w:val="1"/>
          <w:numId w:val="90"/>
        </w:numPr>
        <w:spacing w:after="60"/>
      </w:pPr>
      <w:r>
        <w:rPr/>
        <w:t>Plan for future infrastructure development, technological upgrades, and academic growth through sound financial management.</w:t>
      </w:r>
    </w:p>
    <w:p>
      <w:pPr>
        <w:pStyle w:val="Heading3"/>
      </w:pPr>
      <w:r>
        <w:rPr/>
        <w:t>9. Monitor Financial Health:</w:t>
      </w:r>
    </w:p>
    <w:p>
      <w:pPr>
        <w:numPr>
          <w:ilvl w:val="1"/>
          <w:numId w:val="90"/>
        </w:numPr>
        <w:spacing w:after="60"/>
      </w:pPr>
      <w:r>
        <w:rPr/>
        <w:t>Regularly review financial reports to assess the institution’s financial health and identify areas for improvement.</w:t>
      </w:r>
    </w:p>
    <w:p>
      <w:pPr>
        <w:numPr>
          <w:ilvl w:val="1"/>
          <w:numId w:val="90"/>
        </w:numPr>
        <w:spacing w:after="60"/>
      </w:pPr>
      <w:r>
        <w:rPr/>
        <w:t>Make recommendations to improve financial stability and ensure that the institution’s financial resources support its strategic objectives.</w:t>
      </w:r>
    </w:p>
    <w:p>
      <w:pPr>
        <w:pStyle w:val="Heading3"/>
      </w:pPr>
      <w:r>
        <w:rPr/>
        <w:t>10. Ensure Accountability:</w:t>
      </w:r>
    </w:p>
    <w:p>
      <w:pPr>
        <w:numPr>
          <w:ilvl w:val="1"/>
          <w:numId w:val="90"/>
        </w:numPr>
        <w:spacing w:after="60"/>
      </w:pPr>
      <w:r>
        <w:rPr/>
        <w:t>Hold faculty and administrative departments accountable for the proper utilization of allocated budgets.</w:t>
      </w:r>
    </w:p>
    <w:p>
      <w:pPr>
        <w:numPr>
          <w:ilvl w:val="1"/>
          <w:numId w:val="90"/>
        </w:numPr>
        <w:spacing w:after="60"/>
      </w:pPr>
      <w:r>
        <w:rPr/>
        <w:t>Establish clear financial management guidelines and ensure adherence across all levels of the institution.</w:t>
      </w:r>
    </w:p>
    <w:p>
      <w:pPr>
        <w:pStyle w:val="Heading2"/>
      </w:pPr>
      <w:r>
        <w:rPr/>
        <w:t>Composition of Finance Committee</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4309"/>
        <w:gridCol w:w="5102"/>
      </w:tblGrid>
      <w:tr>
        <w:trPr>
          <w:cantSplit w:val="true"/>
          <w:tblHeader w:val="true"/>
        </w:trPr>
        <w:tc>
          <w:tcPr>
            <w:tcW w:type="dxa" w:w="4309"/>
            <w:shd w:val="clear" w:color="auto" w:fill="1F3A5F"/>
          </w:tcPr>
          <w:p>
            <w:pPr>
              <w:spacing w:after="20" w:before="20" w:line="240" w:lineRule="auto"/>
              <w:jc w:val="left"/>
            </w:pPr>
            <w:r>
              <w:rPr>
                <w:b/>
                <w:color w:val="FFFFFF"/>
                <w:sz w:val="20"/>
              </w:rPr>
              <w:t>Designation</w:t>
            </w:r>
          </w:p>
        </w:tc>
        <w:tc>
          <w:tcPr>
            <w:tcW w:type="dxa" w:w="5102"/>
            <w:shd w:val="clear" w:color="auto" w:fill="1F3A5F"/>
          </w:tcPr>
          <w:p>
            <w:pPr>
              <w:spacing w:after="20" w:before="20" w:line="240" w:lineRule="auto"/>
              <w:jc w:val="left"/>
            </w:pPr>
            <w:r>
              <w:rPr>
                <w:b/>
                <w:color w:val="FFFFFF"/>
                <w:sz w:val="20"/>
              </w:rPr>
              <w:t>Role</w:t>
            </w:r>
          </w:p>
        </w:tc>
      </w:tr>
      <w:tr>
        <w:trPr>
          <w:cantSplit w:val="true"/>
        </w:trPr>
        <w:tc>
          <w:tcPr>
            <w:tcW w:type="dxa" w:w="4309"/>
          </w:tcPr>
          <w:p>
            <w:pPr>
              <w:spacing w:after="20" w:before="20" w:line="240" w:lineRule="auto"/>
              <w:jc w:val="left"/>
            </w:pPr>
            <w:r>
              <w:rPr>
                <w:sz w:val="20"/>
              </w:rPr>
              <w:t>Chairperson (Usually Principal/Director)</w:t>
            </w:r>
          </w:p>
        </w:tc>
        <w:tc>
          <w:tcPr>
            <w:tcW w:type="dxa" w:w="5102"/>
          </w:tcPr>
          <w:p>
            <w:pPr>
              <w:spacing w:after="20" w:before="20" w:line="240" w:lineRule="auto"/>
              <w:jc w:val="left"/>
            </w:pPr>
            <w:r>
              <w:rPr>
                <w:sz w:val="20"/>
              </w:rPr>
              <w:t>Heads the Committee</w:t>
            </w:r>
          </w:p>
        </w:tc>
      </w:tr>
      <w:tr>
        <w:trPr>
          <w:cantSplit w:val="true"/>
        </w:trPr>
        <w:tc>
          <w:tcPr>
            <w:tcW w:type="dxa" w:w="4309"/>
            <w:shd w:val="clear" w:color="auto" w:fill="E8EEF5"/>
          </w:tcPr>
          <w:p>
            <w:pPr>
              <w:spacing w:after="20" w:before="20" w:line="240" w:lineRule="auto"/>
              <w:jc w:val="left"/>
            </w:pPr>
            <w:r>
              <w:rPr>
                <w:sz w:val="20"/>
              </w:rPr>
              <w:t>Management Representative</w:t>
            </w:r>
          </w:p>
        </w:tc>
        <w:tc>
          <w:tcPr>
            <w:tcW w:type="dxa" w:w="5102"/>
            <w:shd w:val="clear" w:color="auto" w:fill="E8EEF5"/>
          </w:tcPr>
          <w:p>
            <w:pPr>
              <w:spacing w:after="20" w:before="20" w:line="240" w:lineRule="auto"/>
              <w:jc w:val="left"/>
            </w:pPr>
            <w:r>
              <w:rPr>
                <w:sz w:val="20"/>
              </w:rPr>
              <w:t>Nominee of the Governing Body</w:t>
            </w:r>
          </w:p>
        </w:tc>
      </w:tr>
      <w:tr>
        <w:trPr>
          <w:cantSplit w:val="true"/>
        </w:trPr>
        <w:tc>
          <w:tcPr>
            <w:tcW w:type="dxa" w:w="4309"/>
          </w:tcPr>
          <w:p>
            <w:pPr>
              <w:spacing w:after="20" w:before="20" w:line="240" w:lineRule="auto"/>
              <w:jc w:val="left"/>
            </w:pPr>
            <w:r>
              <w:rPr>
                <w:sz w:val="20"/>
              </w:rPr>
              <w:t>Senior Faculty Member</w:t>
            </w:r>
          </w:p>
        </w:tc>
        <w:tc>
          <w:tcPr>
            <w:tcW w:type="dxa" w:w="5102"/>
          </w:tcPr>
          <w:p>
            <w:pPr>
              <w:spacing w:after="20" w:before="20" w:line="240" w:lineRule="auto"/>
              <w:jc w:val="left"/>
            </w:pPr>
            <w:r>
              <w:rPr>
                <w:sz w:val="20"/>
              </w:rPr>
              <w:t>From the Academic Council/Dean (Academics)</w:t>
            </w:r>
          </w:p>
        </w:tc>
      </w:tr>
      <w:tr>
        <w:trPr>
          <w:cantSplit w:val="true"/>
        </w:trPr>
        <w:tc>
          <w:tcPr>
            <w:tcW w:type="dxa" w:w="4309"/>
            <w:shd w:val="clear" w:color="auto" w:fill="E8EEF5"/>
          </w:tcPr>
          <w:p>
            <w:pPr>
              <w:spacing w:after="20" w:before="20" w:line="240" w:lineRule="auto"/>
              <w:jc w:val="left"/>
            </w:pPr>
            <w:r>
              <w:rPr>
                <w:sz w:val="20"/>
              </w:rPr>
              <w:t>Finance Officer/Bursar</w:t>
            </w:r>
          </w:p>
        </w:tc>
        <w:tc>
          <w:tcPr>
            <w:tcW w:type="dxa" w:w="5102"/>
            <w:shd w:val="clear" w:color="auto" w:fill="E8EEF5"/>
          </w:tcPr>
          <w:p>
            <w:pPr>
              <w:spacing w:after="20" w:before="20" w:line="240" w:lineRule="auto"/>
              <w:jc w:val="left"/>
            </w:pPr>
            <w:r>
              <w:rPr>
                <w:sz w:val="20"/>
              </w:rPr>
              <w:t>Handles accounts and financial reporting</w:t>
            </w:r>
          </w:p>
        </w:tc>
      </w:tr>
      <w:tr>
        <w:trPr>
          <w:cantSplit w:val="true"/>
        </w:trPr>
        <w:tc>
          <w:tcPr>
            <w:tcW w:type="dxa" w:w="4309"/>
          </w:tcPr>
          <w:p>
            <w:pPr>
              <w:spacing w:after="20" w:before="20" w:line="240" w:lineRule="auto"/>
              <w:jc w:val="left"/>
            </w:pPr>
            <w:r>
              <w:rPr>
                <w:sz w:val="20"/>
              </w:rPr>
              <w:t>UGC/University Nominee (if applicable)</w:t>
            </w:r>
          </w:p>
        </w:tc>
        <w:tc>
          <w:tcPr>
            <w:tcW w:type="dxa" w:w="5102"/>
          </w:tcPr>
          <w:p>
            <w:pPr>
              <w:spacing w:after="20" w:before="20" w:line="240" w:lineRule="auto"/>
              <w:jc w:val="left"/>
            </w:pPr>
            <w:r>
              <w:rPr>
                <w:sz w:val="20"/>
              </w:rPr>
              <w:t>Oversight and policy compliance</w:t>
            </w:r>
          </w:p>
        </w:tc>
      </w:tr>
      <w:tr>
        <w:trPr>
          <w:cantSplit w:val="true"/>
        </w:trPr>
        <w:tc>
          <w:tcPr>
            <w:tcW w:type="dxa" w:w="4309"/>
            <w:shd w:val="clear" w:color="auto" w:fill="E8EEF5"/>
          </w:tcPr>
          <w:p>
            <w:pPr>
              <w:spacing w:after="20" w:before="20" w:line="240" w:lineRule="auto"/>
              <w:jc w:val="left"/>
            </w:pPr>
            <w:r>
              <w:rPr>
                <w:sz w:val="20"/>
              </w:rPr>
              <w:t>External Auditor/Advisor (optional)</w:t>
            </w:r>
          </w:p>
        </w:tc>
        <w:tc>
          <w:tcPr>
            <w:tcW w:type="dxa" w:w="5102"/>
            <w:shd w:val="clear" w:color="auto" w:fill="E8EEF5"/>
          </w:tcPr>
          <w:p>
            <w:pPr>
              <w:spacing w:after="20" w:before="20" w:line="240" w:lineRule="auto"/>
              <w:jc w:val="left"/>
            </w:pPr>
            <w:r>
              <w:rPr>
                <w:sz w:val="20"/>
              </w:rPr>
              <w:t>Provides financial prudence (invitee)</w:t>
            </w:r>
          </w:p>
        </w:tc>
      </w:tr>
    </w:tbl>
    <w:p>
      <w:pPr>
        <w:spacing w:after="80" w:line="240" w:lineRule="auto"/>
      </w:pPr>
    </w:p>
    <w:p>
      <w:pPr>
        <w:pStyle w:val="Heading2"/>
      </w:pPr>
      <w:r>
        <w:rPr/>
        <w:t>Functions of Finance Committee</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737"/>
        <w:gridCol w:w="2381"/>
        <w:gridCol w:w="6293"/>
      </w:tblGrid>
      <w:tr>
        <w:trPr>
          <w:cantSplit w:val="true"/>
          <w:tblHeader w:val="true"/>
        </w:trPr>
        <w:tc>
          <w:tcPr>
            <w:tcW w:type="dxa" w:w="737"/>
            <w:shd w:val="clear" w:color="auto" w:fill="1F3A5F"/>
          </w:tcPr>
          <w:p>
            <w:pPr>
              <w:spacing w:after="20" w:before="20" w:line="240" w:lineRule="auto"/>
              <w:jc w:val="left"/>
            </w:pPr>
            <w:r>
              <w:rPr>
                <w:b/>
                <w:color w:val="FFFFFF"/>
                <w:sz w:val="20"/>
              </w:rPr>
              <w:t>S.No</w:t>
            </w:r>
          </w:p>
        </w:tc>
        <w:tc>
          <w:tcPr>
            <w:tcW w:type="dxa" w:w="2381"/>
            <w:shd w:val="clear" w:color="auto" w:fill="1F3A5F"/>
          </w:tcPr>
          <w:p>
            <w:pPr>
              <w:spacing w:after="20" w:before="20" w:line="240" w:lineRule="auto"/>
              <w:jc w:val="left"/>
            </w:pPr>
            <w:r>
              <w:rPr>
                <w:b/>
                <w:color w:val="FFFFFF"/>
                <w:sz w:val="20"/>
              </w:rPr>
              <w:t>Function</w:t>
            </w:r>
          </w:p>
        </w:tc>
        <w:tc>
          <w:tcPr>
            <w:tcW w:type="dxa" w:w="6293"/>
            <w:shd w:val="clear" w:color="auto" w:fill="1F3A5F"/>
          </w:tcPr>
          <w:p>
            <w:pPr>
              <w:spacing w:after="20" w:before="20" w:line="240" w:lineRule="auto"/>
              <w:jc w:val="left"/>
            </w:pPr>
            <w:r>
              <w:rPr>
                <w:b/>
                <w:color w:val="FFFFFF"/>
                <w:sz w:val="20"/>
              </w:rPr>
              <w:t>Description</w:t>
            </w:r>
          </w:p>
        </w:tc>
      </w:tr>
      <w:tr>
        <w:trPr>
          <w:cantSplit w:val="true"/>
        </w:trPr>
        <w:tc>
          <w:tcPr>
            <w:tcW w:type="dxa" w:w="737"/>
          </w:tcPr>
          <w:p>
            <w:pPr>
              <w:spacing w:after="20" w:before="20" w:line="240" w:lineRule="auto"/>
              <w:jc w:val="left"/>
            </w:pPr>
            <w:r>
              <w:rPr>
                <w:sz w:val="20"/>
              </w:rPr>
              <w:t>1</w:t>
            </w:r>
          </w:p>
        </w:tc>
        <w:tc>
          <w:tcPr>
            <w:tcW w:type="dxa" w:w="2381"/>
          </w:tcPr>
          <w:p>
            <w:pPr>
              <w:spacing w:after="20" w:before="20" w:line="240" w:lineRule="auto"/>
              <w:jc w:val="left"/>
            </w:pPr>
            <w:r>
              <w:rPr>
                <w:sz w:val="20"/>
              </w:rPr>
              <w:t>Budget Preparation and Review</w:t>
            </w:r>
          </w:p>
        </w:tc>
        <w:tc>
          <w:tcPr>
            <w:tcW w:type="dxa" w:w="6293"/>
          </w:tcPr>
          <w:p>
            <w:pPr>
              <w:spacing w:after="20" w:before="20" w:line="240" w:lineRule="auto"/>
              <w:jc w:val="left"/>
            </w:pPr>
            <w:r>
              <w:rPr>
                <w:sz w:val="20"/>
              </w:rPr>
              <w:t>Formulate, recommend, and review the annual budget of the institution covering both recurring and non-recurring expenditures.</w:t>
            </w:r>
          </w:p>
        </w:tc>
      </w:tr>
      <w:tr>
        <w:trPr>
          <w:cantSplit w:val="true"/>
        </w:trPr>
        <w:tc>
          <w:tcPr>
            <w:tcW w:type="dxa" w:w="737"/>
            <w:shd w:val="clear" w:color="auto" w:fill="E8EEF5"/>
          </w:tcPr>
          <w:p>
            <w:pPr>
              <w:spacing w:after="20" w:before="20" w:line="240" w:lineRule="auto"/>
              <w:jc w:val="left"/>
            </w:pPr>
            <w:r>
              <w:rPr>
                <w:sz w:val="20"/>
              </w:rPr>
              <w:t>2</w:t>
            </w:r>
          </w:p>
        </w:tc>
        <w:tc>
          <w:tcPr>
            <w:tcW w:type="dxa" w:w="2381"/>
            <w:shd w:val="clear" w:color="auto" w:fill="E8EEF5"/>
          </w:tcPr>
          <w:p>
            <w:pPr>
              <w:spacing w:after="20" w:before="20" w:line="240" w:lineRule="auto"/>
              <w:jc w:val="left"/>
            </w:pPr>
            <w:r>
              <w:rPr>
                <w:sz w:val="20"/>
              </w:rPr>
              <w:t>Approval of Expenditure</w:t>
            </w:r>
          </w:p>
        </w:tc>
        <w:tc>
          <w:tcPr>
            <w:tcW w:type="dxa" w:w="6293"/>
            <w:shd w:val="clear" w:color="auto" w:fill="E8EEF5"/>
          </w:tcPr>
          <w:p>
            <w:pPr>
              <w:spacing w:after="20" w:before="20" w:line="240" w:lineRule="auto"/>
              <w:jc w:val="left"/>
            </w:pPr>
            <w:r>
              <w:rPr>
                <w:sz w:val="20"/>
              </w:rPr>
              <w:t>Scrutinize and approve major financial expenditures, ensuring proper allocation of resources for academic, administrative, and infrastructural needs.</w:t>
            </w:r>
          </w:p>
        </w:tc>
      </w:tr>
      <w:tr>
        <w:trPr>
          <w:cantSplit w:val="true"/>
        </w:trPr>
        <w:tc>
          <w:tcPr>
            <w:tcW w:type="dxa" w:w="737"/>
          </w:tcPr>
          <w:p>
            <w:pPr>
              <w:spacing w:after="20" w:before="20" w:line="240" w:lineRule="auto"/>
              <w:jc w:val="left"/>
            </w:pPr>
            <w:r>
              <w:rPr>
                <w:sz w:val="20"/>
              </w:rPr>
              <w:t>3</w:t>
            </w:r>
          </w:p>
        </w:tc>
        <w:tc>
          <w:tcPr>
            <w:tcW w:type="dxa" w:w="2381"/>
          </w:tcPr>
          <w:p>
            <w:pPr>
              <w:spacing w:after="20" w:before="20" w:line="240" w:lineRule="auto"/>
              <w:jc w:val="left"/>
            </w:pPr>
            <w:r>
              <w:rPr>
                <w:sz w:val="20"/>
              </w:rPr>
              <w:t>Monitoring Financial Position</w:t>
            </w:r>
          </w:p>
        </w:tc>
        <w:tc>
          <w:tcPr>
            <w:tcW w:type="dxa" w:w="6293"/>
          </w:tcPr>
          <w:p>
            <w:pPr>
              <w:spacing w:after="20" w:before="20" w:line="240" w:lineRule="auto"/>
              <w:jc w:val="left"/>
            </w:pPr>
            <w:r>
              <w:rPr>
                <w:sz w:val="20"/>
              </w:rPr>
              <w:t>Regularly monitor the financial health of the institution through audits, balance sheets, and financial reports.</w:t>
            </w:r>
          </w:p>
        </w:tc>
      </w:tr>
      <w:tr>
        <w:trPr>
          <w:cantSplit w:val="true"/>
        </w:trPr>
        <w:tc>
          <w:tcPr>
            <w:tcW w:type="dxa" w:w="737"/>
            <w:shd w:val="clear" w:color="auto" w:fill="E8EEF5"/>
          </w:tcPr>
          <w:p>
            <w:pPr>
              <w:spacing w:after="20" w:before="20" w:line="240" w:lineRule="auto"/>
              <w:jc w:val="left"/>
            </w:pPr>
            <w:r>
              <w:rPr>
                <w:sz w:val="20"/>
              </w:rPr>
              <w:t>4</w:t>
            </w:r>
          </w:p>
        </w:tc>
        <w:tc>
          <w:tcPr>
            <w:tcW w:type="dxa" w:w="2381"/>
            <w:shd w:val="clear" w:color="auto" w:fill="E8EEF5"/>
          </w:tcPr>
          <w:p>
            <w:pPr>
              <w:spacing w:after="20" w:before="20" w:line="240" w:lineRule="auto"/>
              <w:jc w:val="left"/>
            </w:pPr>
            <w:r>
              <w:rPr>
                <w:sz w:val="20"/>
              </w:rPr>
              <w:t>Resource Mobilization</w:t>
            </w:r>
          </w:p>
        </w:tc>
        <w:tc>
          <w:tcPr>
            <w:tcW w:type="dxa" w:w="6293"/>
            <w:shd w:val="clear" w:color="auto" w:fill="E8EEF5"/>
          </w:tcPr>
          <w:p>
            <w:pPr>
              <w:spacing w:after="20" w:before="20" w:line="240" w:lineRule="auto"/>
              <w:jc w:val="left"/>
            </w:pPr>
            <w:r>
              <w:rPr>
                <w:sz w:val="20"/>
              </w:rPr>
              <w:t>Suggest strategies for resource generation such as fundraising, grants, donations, alumni contributions, and consultancy projects.</w:t>
            </w:r>
          </w:p>
        </w:tc>
      </w:tr>
      <w:tr>
        <w:trPr>
          <w:cantSplit w:val="true"/>
        </w:trPr>
        <w:tc>
          <w:tcPr>
            <w:tcW w:type="dxa" w:w="737"/>
          </w:tcPr>
          <w:p>
            <w:pPr>
              <w:spacing w:after="20" w:before="20" w:line="240" w:lineRule="auto"/>
              <w:jc w:val="left"/>
            </w:pPr>
            <w:r>
              <w:rPr>
                <w:sz w:val="20"/>
              </w:rPr>
              <w:t>5</w:t>
            </w:r>
          </w:p>
        </w:tc>
        <w:tc>
          <w:tcPr>
            <w:tcW w:type="dxa" w:w="2381"/>
          </w:tcPr>
          <w:p>
            <w:pPr>
              <w:spacing w:after="20" w:before="20" w:line="240" w:lineRule="auto"/>
              <w:jc w:val="left"/>
            </w:pPr>
            <w:r>
              <w:rPr>
                <w:sz w:val="20"/>
              </w:rPr>
              <w:t>Fund Allocation for Research and Development</w:t>
            </w:r>
          </w:p>
        </w:tc>
        <w:tc>
          <w:tcPr>
            <w:tcW w:type="dxa" w:w="6293"/>
          </w:tcPr>
          <w:p>
            <w:pPr>
              <w:spacing w:after="20" w:before="20" w:line="240" w:lineRule="auto"/>
              <w:jc w:val="left"/>
            </w:pPr>
            <w:r>
              <w:rPr>
                <w:sz w:val="20"/>
              </w:rPr>
              <w:t>Allocate funds for promoting research activities, innovation, and faculty development programs.</w:t>
            </w:r>
          </w:p>
        </w:tc>
      </w:tr>
      <w:tr>
        <w:trPr>
          <w:cantSplit w:val="true"/>
        </w:trPr>
        <w:tc>
          <w:tcPr>
            <w:tcW w:type="dxa" w:w="737"/>
            <w:shd w:val="clear" w:color="auto" w:fill="E8EEF5"/>
          </w:tcPr>
          <w:p>
            <w:pPr>
              <w:spacing w:after="20" w:before="20" w:line="240" w:lineRule="auto"/>
              <w:jc w:val="left"/>
            </w:pPr>
            <w:r>
              <w:rPr>
                <w:sz w:val="20"/>
              </w:rPr>
              <w:t>6</w:t>
            </w:r>
          </w:p>
        </w:tc>
        <w:tc>
          <w:tcPr>
            <w:tcW w:type="dxa" w:w="2381"/>
            <w:shd w:val="clear" w:color="auto" w:fill="E8EEF5"/>
          </w:tcPr>
          <w:p>
            <w:pPr>
              <w:spacing w:after="20" w:before="20" w:line="240" w:lineRule="auto"/>
              <w:jc w:val="left"/>
            </w:pPr>
            <w:r>
              <w:rPr>
                <w:sz w:val="20"/>
              </w:rPr>
              <w:t>Infrastructure Development Support</w:t>
            </w:r>
          </w:p>
        </w:tc>
        <w:tc>
          <w:tcPr>
            <w:tcW w:type="dxa" w:w="6293"/>
            <w:shd w:val="clear" w:color="auto" w:fill="E8EEF5"/>
          </w:tcPr>
          <w:p>
            <w:pPr>
              <w:spacing w:after="20" w:before="20" w:line="240" w:lineRule="auto"/>
              <w:jc w:val="left"/>
            </w:pPr>
            <w:r>
              <w:rPr>
                <w:sz w:val="20"/>
              </w:rPr>
              <w:t>Recommend budgets for new building construction, renovation, and campus infrastructure enhancement.</w:t>
            </w:r>
          </w:p>
        </w:tc>
      </w:tr>
      <w:tr>
        <w:trPr>
          <w:cantSplit w:val="true"/>
        </w:trPr>
        <w:tc>
          <w:tcPr>
            <w:tcW w:type="dxa" w:w="737"/>
          </w:tcPr>
          <w:p>
            <w:pPr>
              <w:spacing w:after="20" w:before="20" w:line="240" w:lineRule="auto"/>
              <w:jc w:val="left"/>
            </w:pPr>
            <w:r>
              <w:rPr>
                <w:sz w:val="20"/>
              </w:rPr>
              <w:t>7</w:t>
            </w:r>
          </w:p>
        </w:tc>
        <w:tc>
          <w:tcPr>
            <w:tcW w:type="dxa" w:w="2381"/>
          </w:tcPr>
          <w:p>
            <w:pPr>
              <w:spacing w:after="20" w:before="20" w:line="240" w:lineRule="auto"/>
              <w:jc w:val="left"/>
            </w:pPr>
            <w:r>
              <w:rPr>
                <w:sz w:val="20"/>
              </w:rPr>
              <w:t>Scholarships and Financial Aid</w:t>
            </w:r>
          </w:p>
        </w:tc>
        <w:tc>
          <w:tcPr>
            <w:tcW w:type="dxa" w:w="6293"/>
          </w:tcPr>
          <w:p>
            <w:pPr>
              <w:spacing w:after="20" w:before="20" w:line="240" w:lineRule="auto"/>
              <w:jc w:val="left"/>
            </w:pPr>
            <w:r>
              <w:rPr>
                <w:sz w:val="20"/>
              </w:rPr>
              <w:t>Approve financial aid, scholarships, and fee concessions for deserving students based on merit and economic criteria.</w:t>
            </w:r>
          </w:p>
        </w:tc>
      </w:tr>
      <w:tr>
        <w:trPr>
          <w:cantSplit w:val="true"/>
        </w:trPr>
        <w:tc>
          <w:tcPr>
            <w:tcW w:type="dxa" w:w="737"/>
            <w:shd w:val="clear" w:color="auto" w:fill="E8EEF5"/>
          </w:tcPr>
          <w:p>
            <w:pPr>
              <w:spacing w:after="20" w:before="20" w:line="240" w:lineRule="auto"/>
              <w:jc w:val="left"/>
            </w:pPr>
            <w:r>
              <w:rPr>
                <w:sz w:val="20"/>
              </w:rPr>
              <w:t>8</w:t>
            </w:r>
          </w:p>
        </w:tc>
        <w:tc>
          <w:tcPr>
            <w:tcW w:type="dxa" w:w="2381"/>
            <w:shd w:val="clear" w:color="auto" w:fill="E8EEF5"/>
          </w:tcPr>
          <w:p>
            <w:pPr>
              <w:spacing w:after="20" w:before="20" w:line="240" w:lineRule="auto"/>
              <w:jc w:val="left"/>
            </w:pPr>
            <w:r>
              <w:rPr>
                <w:sz w:val="20"/>
              </w:rPr>
              <w:t>Financial Compliance</w:t>
            </w:r>
          </w:p>
        </w:tc>
        <w:tc>
          <w:tcPr>
            <w:tcW w:type="dxa" w:w="6293"/>
            <w:shd w:val="clear" w:color="auto" w:fill="E8EEF5"/>
          </w:tcPr>
          <w:p>
            <w:pPr>
              <w:spacing w:after="20" w:before="20" w:line="240" w:lineRule="auto"/>
              <w:jc w:val="left"/>
            </w:pPr>
            <w:r>
              <w:rPr>
                <w:sz w:val="20"/>
              </w:rPr>
              <w:t>Ensure all financial practices are in compliance with government regulations, UGC/AICTE norms, and statutory auditing requirements.</w:t>
            </w:r>
          </w:p>
        </w:tc>
      </w:tr>
      <w:tr>
        <w:trPr>
          <w:cantSplit w:val="true"/>
        </w:trPr>
        <w:tc>
          <w:tcPr>
            <w:tcW w:type="dxa" w:w="737"/>
          </w:tcPr>
          <w:p>
            <w:pPr>
              <w:spacing w:after="20" w:before="20" w:line="240" w:lineRule="auto"/>
              <w:jc w:val="left"/>
            </w:pPr>
            <w:r>
              <w:rPr>
                <w:sz w:val="20"/>
              </w:rPr>
              <w:t>9</w:t>
            </w:r>
          </w:p>
        </w:tc>
        <w:tc>
          <w:tcPr>
            <w:tcW w:type="dxa" w:w="2381"/>
          </w:tcPr>
          <w:p>
            <w:pPr>
              <w:spacing w:after="20" w:before="20" w:line="240" w:lineRule="auto"/>
              <w:jc w:val="left"/>
            </w:pPr>
            <w:r>
              <w:rPr>
                <w:sz w:val="20"/>
              </w:rPr>
              <w:t>Monitoring Sponsored and Funded Projects</w:t>
            </w:r>
          </w:p>
        </w:tc>
        <w:tc>
          <w:tcPr>
            <w:tcW w:type="dxa" w:w="6293"/>
          </w:tcPr>
          <w:p>
            <w:pPr>
              <w:spacing w:after="20" w:before="20" w:line="240" w:lineRule="auto"/>
              <w:jc w:val="left"/>
            </w:pPr>
            <w:r>
              <w:rPr>
                <w:sz w:val="20"/>
              </w:rPr>
              <w:t>Track and report financial activities related to sponsored research projects and government-funded schemes.</w:t>
            </w:r>
          </w:p>
        </w:tc>
      </w:tr>
      <w:tr>
        <w:trPr>
          <w:cantSplit w:val="true"/>
        </w:trPr>
        <w:tc>
          <w:tcPr>
            <w:tcW w:type="dxa" w:w="737"/>
            <w:shd w:val="clear" w:color="auto" w:fill="E8EEF5"/>
          </w:tcPr>
          <w:p>
            <w:pPr>
              <w:spacing w:after="20" w:before="20" w:line="240" w:lineRule="auto"/>
              <w:jc w:val="left"/>
            </w:pPr>
            <w:r>
              <w:rPr>
                <w:sz w:val="20"/>
              </w:rPr>
              <w:t>10</w:t>
            </w:r>
          </w:p>
        </w:tc>
        <w:tc>
          <w:tcPr>
            <w:tcW w:type="dxa" w:w="2381"/>
            <w:shd w:val="clear" w:color="auto" w:fill="E8EEF5"/>
          </w:tcPr>
          <w:p>
            <w:pPr>
              <w:spacing w:after="20" w:before="20" w:line="240" w:lineRule="auto"/>
              <w:jc w:val="left"/>
            </w:pPr>
            <w:r>
              <w:rPr>
                <w:sz w:val="20"/>
              </w:rPr>
              <w:t>Review of Fee Structure</w:t>
            </w:r>
          </w:p>
        </w:tc>
        <w:tc>
          <w:tcPr>
            <w:tcW w:type="dxa" w:w="6293"/>
            <w:shd w:val="clear" w:color="auto" w:fill="E8EEF5"/>
          </w:tcPr>
          <w:p>
            <w:pPr>
              <w:spacing w:after="20" w:before="20" w:line="240" w:lineRule="auto"/>
              <w:jc w:val="left"/>
            </w:pPr>
            <w:r>
              <w:rPr>
                <w:sz w:val="20"/>
              </w:rPr>
              <w:t>Recommend revisions in tuition fees and other charges for various academic programs based on affordability and sustainability.</w:t>
            </w:r>
          </w:p>
        </w:tc>
      </w:tr>
      <w:tr>
        <w:trPr>
          <w:cantSplit w:val="true"/>
        </w:trPr>
        <w:tc>
          <w:tcPr>
            <w:tcW w:type="dxa" w:w="737"/>
          </w:tcPr>
          <w:p>
            <w:pPr>
              <w:spacing w:after="20" w:before="20" w:line="240" w:lineRule="auto"/>
              <w:jc w:val="left"/>
            </w:pPr>
            <w:r>
              <w:rPr>
                <w:sz w:val="20"/>
              </w:rPr>
              <w:t>11</w:t>
            </w:r>
          </w:p>
        </w:tc>
        <w:tc>
          <w:tcPr>
            <w:tcW w:type="dxa" w:w="2381"/>
          </w:tcPr>
          <w:p>
            <w:pPr>
              <w:spacing w:after="20" w:before="20" w:line="240" w:lineRule="auto"/>
              <w:jc w:val="left"/>
            </w:pPr>
            <w:r>
              <w:rPr>
                <w:sz w:val="20"/>
              </w:rPr>
              <w:t>Vendor and Purchase Approval</w:t>
            </w:r>
          </w:p>
        </w:tc>
        <w:tc>
          <w:tcPr>
            <w:tcW w:type="dxa" w:w="6293"/>
          </w:tcPr>
          <w:p>
            <w:pPr>
              <w:spacing w:after="20" w:before="20" w:line="240" w:lineRule="auto"/>
              <w:jc w:val="left"/>
            </w:pPr>
            <w:r>
              <w:rPr>
                <w:sz w:val="20"/>
              </w:rPr>
              <w:t>Oversee and approve large procurement proposals and vendor selections to ensure transparency and cost-efficiency.</w:t>
            </w:r>
          </w:p>
        </w:tc>
      </w:tr>
      <w:tr>
        <w:trPr>
          <w:cantSplit w:val="true"/>
        </w:trPr>
        <w:tc>
          <w:tcPr>
            <w:tcW w:type="dxa" w:w="737"/>
            <w:shd w:val="clear" w:color="auto" w:fill="E8EEF5"/>
          </w:tcPr>
          <w:p>
            <w:pPr>
              <w:spacing w:after="20" w:before="20" w:line="240" w:lineRule="auto"/>
              <w:jc w:val="left"/>
            </w:pPr>
            <w:r>
              <w:rPr>
                <w:sz w:val="20"/>
              </w:rPr>
              <w:t>12</w:t>
            </w:r>
          </w:p>
        </w:tc>
        <w:tc>
          <w:tcPr>
            <w:tcW w:type="dxa" w:w="2381"/>
            <w:shd w:val="clear" w:color="auto" w:fill="E8EEF5"/>
          </w:tcPr>
          <w:p>
            <w:pPr>
              <w:spacing w:after="20" w:before="20" w:line="240" w:lineRule="auto"/>
              <w:jc w:val="left"/>
            </w:pPr>
            <w:r>
              <w:rPr>
                <w:sz w:val="20"/>
              </w:rPr>
              <w:t>Internal Audit and Risk Management</w:t>
            </w:r>
          </w:p>
        </w:tc>
        <w:tc>
          <w:tcPr>
            <w:tcW w:type="dxa" w:w="6293"/>
            <w:shd w:val="clear" w:color="auto" w:fill="E8EEF5"/>
          </w:tcPr>
          <w:p>
            <w:pPr>
              <w:spacing w:after="20" w:before="20" w:line="240" w:lineRule="auto"/>
              <w:jc w:val="left"/>
            </w:pPr>
            <w:r>
              <w:rPr>
                <w:sz w:val="20"/>
              </w:rPr>
              <w:t>Recommend periodic internal audits, suggest improvements, and mitigate financial risks.</w:t>
            </w:r>
          </w:p>
        </w:tc>
      </w:tr>
      <w:tr>
        <w:trPr>
          <w:cantSplit w:val="true"/>
        </w:trPr>
        <w:tc>
          <w:tcPr>
            <w:tcW w:type="dxa" w:w="737"/>
          </w:tcPr>
          <w:p>
            <w:pPr>
              <w:spacing w:after="20" w:before="20" w:line="240" w:lineRule="auto"/>
              <w:jc w:val="left"/>
            </w:pPr>
            <w:r>
              <w:rPr>
                <w:sz w:val="20"/>
              </w:rPr>
              <w:t>13</w:t>
            </w:r>
          </w:p>
        </w:tc>
        <w:tc>
          <w:tcPr>
            <w:tcW w:type="dxa" w:w="2381"/>
          </w:tcPr>
          <w:p>
            <w:pPr>
              <w:spacing w:after="20" w:before="20" w:line="240" w:lineRule="auto"/>
              <w:jc w:val="left"/>
            </w:pPr>
            <w:r>
              <w:rPr>
                <w:sz w:val="20"/>
              </w:rPr>
              <w:t>Annual Financial Reporting</w:t>
            </w:r>
          </w:p>
        </w:tc>
        <w:tc>
          <w:tcPr>
            <w:tcW w:type="dxa" w:w="6293"/>
          </w:tcPr>
          <w:p>
            <w:pPr>
              <w:spacing w:after="20" w:before="20" w:line="240" w:lineRule="auto"/>
              <w:jc w:val="left"/>
            </w:pPr>
            <w:r>
              <w:rPr>
                <w:sz w:val="20"/>
              </w:rPr>
              <w:t>Present the institution’s financial statements, utilization certificates, and audit reports to the Governing Body for approval.</w:t>
            </w:r>
          </w:p>
        </w:tc>
      </w:tr>
      <w:tr>
        <w:trPr>
          <w:cantSplit w:val="true"/>
        </w:trPr>
        <w:tc>
          <w:tcPr>
            <w:tcW w:type="dxa" w:w="737"/>
            <w:shd w:val="clear" w:color="auto" w:fill="E8EEF5"/>
          </w:tcPr>
          <w:p>
            <w:pPr>
              <w:spacing w:after="20" w:before="20" w:line="240" w:lineRule="auto"/>
              <w:jc w:val="left"/>
            </w:pPr>
            <w:r>
              <w:rPr>
                <w:sz w:val="20"/>
              </w:rPr>
              <w:t>14</w:t>
            </w:r>
          </w:p>
        </w:tc>
        <w:tc>
          <w:tcPr>
            <w:tcW w:type="dxa" w:w="2381"/>
            <w:shd w:val="clear" w:color="auto" w:fill="E8EEF5"/>
          </w:tcPr>
          <w:p>
            <w:pPr>
              <w:spacing w:after="20" w:before="20" w:line="240" w:lineRule="auto"/>
              <w:jc w:val="left"/>
            </w:pPr>
            <w:r>
              <w:rPr>
                <w:sz w:val="20"/>
              </w:rPr>
              <w:t>Support Strategic Planning</w:t>
            </w:r>
          </w:p>
        </w:tc>
        <w:tc>
          <w:tcPr>
            <w:tcW w:type="dxa" w:w="6293"/>
            <w:shd w:val="clear" w:color="auto" w:fill="E8EEF5"/>
          </w:tcPr>
          <w:p>
            <w:pPr>
              <w:spacing w:after="20" w:before="20" w:line="240" w:lineRule="auto"/>
              <w:jc w:val="left"/>
            </w:pPr>
            <w:r>
              <w:rPr>
                <w:sz w:val="20"/>
              </w:rPr>
              <w:t>Provide financial advice for strategic initiatives like starting new programs, collaborations, or major projects.</w:t>
            </w:r>
          </w:p>
        </w:tc>
      </w:tr>
    </w:tbl>
    <w:p>
      <w:pPr>
        <w:spacing w:after="80" w:line="240" w:lineRule="auto"/>
      </w:pPr>
    </w:p>
    <w:p>
      <w:pPr>
        <w:pStyle w:val="Heading2"/>
      </w:pPr>
      <w:r>
        <w:rPr/>
        <w:t>Roles and Responsibilities of the Finance Committee</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3118"/>
        <w:gridCol w:w="6293"/>
      </w:tblGrid>
      <w:tr>
        <w:trPr>
          <w:cantSplit w:val="true"/>
          <w:tblHeader w:val="true"/>
        </w:trPr>
        <w:tc>
          <w:tcPr>
            <w:tcW w:type="dxa" w:w="3118"/>
            <w:shd w:val="clear" w:color="auto" w:fill="1F3A5F"/>
          </w:tcPr>
          <w:p>
            <w:pPr>
              <w:spacing w:after="20" w:before="20" w:line="240" w:lineRule="auto"/>
              <w:jc w:val="left"/>
            </w:pPr>
            <w:r>
              <w:rPr>
                <w:b/>
                <w:color w:val="FFFFFF"/>
                <w:sz w:val="20"/>
              </w:rPr>
              <w:t>Role</w:t>
            </w:r>
          </w:p>
        </w:tc>
        <w:tc>
          <w:tcPr>
            <w:tcW w:type="dxa" w:w="6293"/>
            <w:shd w:val="clear" w:color="auto" w:fill="1F3A5F"/>
          </w:tcPr>
          <w:p>
            <w:pPr>
              <w:spacing w:after="20" w:before="20" w:line="240" w:lineRule="auto"/>
              <w:jc w:val="left"/>
            </w:pPr>
            <w:r>
              <w:rPr>
                <w:b/>
                <w:color w:val="FFFFFF"/>
                <w:sz w:val="20"/>
              </w:rPr>
              <w:t>Responsibilities</w:t>
            </w:r>
          </w:p>
        </w:tc>
      </w:tr>
      <w:tr>
        <w:trPr>
          <w:cantSplit w:val="true"/>
        </w:trPr>
        <w:tc>
          <w:tcPr>
            <w:tcW w:type="dxa" w:w="3118"/>
          </w:tcPr>
          <w:p>
            <w:pPr>
              <w:spacing w:after="20" w:before="20" w:line="240" w:lineRule="auto"/>
              <w:jc w:val="left"/>
            </w:pPr>
            <w:r>
              <w:rPr>
                <w:sz w:val="20"/>
              </w:rPr>
              <w:t>Budget Planner</w:t>
            </w:r>
          </w:p>
        </w:tc>
        <w:tc>
          <w:tcPr>
            <w:tcW w:type="dxa" w:w="6293"/>
          </w:tcPr>
          <w:p>
            <w:pPr>
              <w:spacing w:after="20" w:before="20" w:line="240" w:lineRule="auto"/>
              <w:jc w:val="left"/>
            </w:pPr>
            <w:r>
              <w:rPr>
                <w:sz w:val="20"/>
              </w:rPr>
              <w:t xml:space="preserve">- Prepare the institution's annual financial budget. </w:t>
              <w:br/>
            </w:r>
            <w:r>
              <w:rPr>
                <w:sz w:val="20"/>
              </w:rPr>
              <w:t xml:space="preserve"> - Forecast income and expenditures for academic and administrative operations. </w:t>
              <w:br/>
            </w:r>
            <w:r>
              <w:rPr>
                <w:sz w:val="20"/>
              </w:rPr>
              <w:t xml:space="preserve"> - Ensure budget aligns with strategic objectives of the institution.</w:t>
            </w:r>
          </w:p>
        </w:tc>
      </w:tr>
      <w:tr>
        <w:trPr>
          <w:cantSplit w:val="true"/>
        </w:trPr>
        <w:tc>
          <w:tcPr>
            <w:tcW w:type="dxa" w:w="3118"/>
            <w:shd w:val="clear" w:color="auto" w:fill="E8EEF5"/>
          </w:tcPr>
          <w:p>
            <w:pPr>
              <w:spacing w:after="20" w:before="20" w:line="240" w:lineRule="auto"/>
              <w:jc w:val="left"/>
            </w:pPr>
            <w:r>
              <w:rPr>
                <w:sz w:val="20"/>
              </w:rPr>
              <w:t>Financial Advisor</w:t>
            </w:r>
          </w:p>
        </w:tc>
        <w:tc>
          <w:tcPr>
            <w:tcW w:type="dxa" w:w="6293"/>
            <w:shd w:val="clear" w:color="auto" w:fill="E8EEF5"/>
          </w:tcPr>
          <w:p>
            <w:pPr>
              <w:spacing w:after="20" w:before="20" w:line="240" w:lineRule="auto"/>
              <w:jc w:val="left"/>
            </w:pPr>
            <w:r>
              <w:rPr>
                <w:sz w:val="20"/>
              </w:rPr>
              <w:t xml:space="preserve">- Advise the Governing Body and Academic Council on financial matters. </w:t>
              <w:br/>
            </w:r>
            <w:r>
              <w:rPr>
                <w:sz w:val="20"/>
              </w:rPr>
              <w:t xml:space="preserve"> - Propose financial strategies for long-term sustainability. </w:t>
              <w:br/>
            </w:r>
            <w:r>
              <w:rPr>
                <w:sz w:val="20"/>
              </w:rPr>
              <w:t xml:space="preserve"> - Provide inputs on resource mobilization, cost optimization, and investment opportunities.</w:t>
            </w:r>
          </w:p>
        </w:tc>
      </w:tr>
      <w:tr>
        <w:trPr>
          <w:cantSplit w:val="true"/>
        </w:trPr>
        <w:tc>
          <w:tcPr>
            <w:tcW w:type="dxa" w:w="3118"/>
          </w:tcPr>
          <w:p>
            <w:pPr>
              <w:spacing w:after="20" w:before="20" w:line="240" w:lineRule="auto"/>
              <w:jc w:val="left"/>
            </w:pPr>
            <w:r>
              <w:rPr>
                <w:sz w:val="20"/>
              </w:rPr>
              <w:t>Expenditure Approver</w:t>
            </w:r>
          </w:p>
        </w:tc>
        <w:tc>
          <w:tcPr>
            <w:tcW w:type="dxa" w:w="6293"/>
          </w:tcPr>
          <w:p>
            <w:pPr>
              <w:spacing w:after="20" w:before="20" w:line="240" w:lineRule="auto"/>
              <w:jc w:val="left"/>
            </w:pPr>
            <w:r>
              <w:rPr>
                <w:sz w:val="20"/>
              </w:rPr>
              <w:t xml:space="preserve">- Scrutinize and approve proposals for major capital and operational expenditures. </w:t>
              <w:br/>
            </w:r>
            <w:r>
              <w:rPr>
                <w:sz w:val="20"/>
              </w:rPr>
              <w:t xml:space="preserve"> - Ensure expenses are within the approved budget limits. </w:t>
              <w:br/>
            </w:r>
            <w:r>
              <w:rPr>
                <w:sz w:val="20"/>
              </w:rPr>
              <w:t xml:space="preserve"> - Prioritize projects based on institutional needs and funding availability.</w:t>
            </w:r>
          </w:p>
        </w:tc>
      </w:tr>
      <w:tr>
        <w:trPr>
          <w:cantSplit w:val="true"/>
        </w:trPr>
        <w:tc>
          <w:tcPr>
            <w:tcW w:type="dxa" w:w="3118"/>
            <w:shd w:val="clear" w:color="auto" w:fill="E8EEF5"/>
          </w:tcPr>
          <w:p>
            <w:pPr>
              <w:spacing w:after="20" w:before="20" w:line="240" w:lineRule="auto"/>
              <w:jc w:val="left"/>
            </w:pPr>
            <w:r>
              <w:rPr>
                <w:sz w:val="20"/>
              </w:rPr>
              <w:t>Fund Manager</w:t>
            </w:r>
          </w:p>
        </w:tc>
        <w:tc>
          <w:tcPr>
            <w:tcW w:type="dxa" w:w="6293"/>
            <w:shd w:val="clear" w:color="auto" w:fill="E8EEF5"/>
          </w:tcPr>
          <w:p>
            <w:pPr>
              <w:spacing w:after="20" w:before="20" w:line="240" w:lineRule="auto"/>
              <w:jc w:val="left"/>
            </w:pPr>
            <w:r>
              <w:rPr>
                <w:sz w:val="20"/>
              </w:rPr>
              <w:t xml:space="preserve">- Monitor the management of institutional funds including grants, endowments, donations, and revenues. </w:t>
              <w:br/>
            </w:r>
            <w:r>
              <w:rPr>
                <w:sz w:val="20"/>
              </w:rPr>
              <w:t xml:space="preserve"> - Ensure timely utilization and reporting of funds received from various sources.</w:t>
            </w:r>
          </w:p>
        </w:tc>
      </w:tr>
      <w:tr>
        <w:trPr>
          <w:cantSplit w:val="true"/>
        </w:trPr>
        <w:tc>
          <w:tcPr>
            <w:tcW w:type="dxa" w:w="3118"/>
          </w:tcPr>
          <w:p>
            <w:pPr>
              <w:spacing w:after="20" w:before="20" w:line="240" w:lineRule="auto"/>
              <w:jc w:val="left"/>
            </w:pPr>
            <w:r>
              <w:rPr>
                <w:sz w:val="20"/>
              </w:rPr>
              <w:t>Compliance Officer</w:t>
            </w:r>
          </w:p>
        </w:tc>
        <w:tc>
          <w:tcPr>
            <w:tcW w:type="dxa" w:w="6293"/>
          </w:tcPr>
          <w:p>
            <w:pPr>
              <w:spacing w:after="20" w:before="20" w:line="240" w:lineRule="auto"/>
              <w:jc w:val="left"/>
            </w:pPr>
            <w:r>
              <w:rPr>
                <w:sz w:val="20"/>
              </w:rPr>
              <w:t xml:space="preserve">- Ensure adherence to statutory financial regulations, UGC/AICTE guidelines, and government norms. </w:t>
              <w:br/>
            </w:r>
            <w:r>
              <w:rPr>
                <w:sz w:val="20"/>
              </w:rPr>
              <w:t xml:space="preserve"> - Oversee that auditing standards are maintained. </w:t>
              <w:br/>
            </w:r>
            <w:r>
              <w:rPr>
                <w:sz w:val="20"/>
              </w:rPr>
              <w:t xml:space="preserve"> - Address audit observations and implement corrective measures.</w:t>
            </w:r>
          </w:p>
        </w:tc>
      </w:tr>
      <w:tr>
        <w:trPr>
          <w:cantSplit w:val="true"/>
        </w:trPr>
        <w:tc>
          <w:tcPr>
            <w:tcW w:type="dxa" w:w="3118"/>
            <w:shd w:val="clear" w:color="auto" w:fill="E8EEF5"/>
          </w:tcPr>
          <w:p>
            <w:pPr>
              <w:spacing w:after="20" w:before="20" w:line="240" w:lineRule="auto"/>
              <w:jc w:val="left"/>
            </w:pPr>
            <w:r>
              <w:rPr>
                <w:sz w:val="20"/>
              </w:rPr>
              <w:t>Resource Allocator</w:t>
            </w:r>
          </w:p>
        </w:tc>
        <w:tc>
          <w:tcPr>
            <w:tcW w:type="dxa" w:w="6293"/>
            <w:shd w:val="clear" w:color="auto" w:fill="E8EEF5"/>
          </w:tcPr>
          <w:p>
            <w:pPr>
              <w:spacing w:after="20" w:before="20" w:line="240" w:lineRule="auto"/>
              <w:jc w:val="left"/>
            </w:pPr>
            <w:r>
              <w:rPr>
                <w:sz w:val="20"/>
              </w:rPr>
              <w:t xml:space="preserve">- Recommend fund allocation to academic departments, research projects, student welfare, infrastructure, and innovations. </w:t>
              <w:br/>
            </w:r>
            <w:r>
              <w:rPr>
                <w:sz w:val="20"/>
              </w:rPr>
              <w:t xml:space="preserve"> - Allocate financial resources for staff development and quality improvement initiatives.</w:t>
            </w:r>
          </w:p>
        </w:tc>
      </w:tr>
      <w:tr>
        <w:trPr>
          <w:cantSplit w:val="true"/>
        </w:trPr>
        <w:tc>
          <w:tcPr>
            <w:tcW w:type="dxa" w:w="3118"/>
          </w:tcPr>
          <w:p>
            <w:pPr>
              <w:spacing w:after="20" w:before="20" w:line="240" w:lineRule="auto"/>
              <w:jc w:val="left"/>
            </w:pPr>
            <w:r>
              <w:rPr>
                <w:sz w:val="20"/>
              </w:rPr>
              <w:t>Fee Structure Recommender</w:t>
            </w:r>
          </w:p>
        </w:tc>
        <w:tc>
          <w:tcPr>
            <w:tcW w:type="dxa" w:w="6293"/>
          </w:tcPr>
          <w:p>
            <w:pPr>
              <w:spacing w:after="20" w:before="20" w:line="240" w:lineRule="auto"/>
              <w:jc w:val="left"/>
            </w:pPr>
            <w:r>
              <w:rPr>
                <w:sz w:val="20"/>
              </w:rPr>
              <w:t xml:space="preserve">- Review and suggest revisions to tuition fees, hostel fees, transport fees, and other charges periodically. </w:t>
              <w:br/>
            </w:r>
            <w:r>
              <w:rPr>
                <w:sz w:val="20"/>
              </w:rPr>
              <w:t xml:space="preserve"> - Maintain affordability while ensuring institutional financial sustainability.</w:t>
            </w:r>
          </w:p>
        </w:tc>
      </w:tr>
      <w:tr>
        <w:trPr>
          <w:cantSplit w:val="true"/>
        </w:trPr>
        <w:tc>
          <w:tcPr>
            <w:tcW w:type="dxa" w:w="3118"/>
            <w:shd w:val="clear" w:color="auto" w:fill="E8EEF5"/>
          </w:tcPr>
          <w:p>
            <w:pPr>
              <w:spacing w:after="20" w:before="20" w:line="240" w:lineRule="auto"/>
              <w:jc w:val="left"/>
            </w:pPr>
            <w:r>
              <w:rPr>
                <w:sz w:val="20"/>
              </w:rPr>
              <w:t>Monitoring Authority</w:t>
            </w:r>
          </w:p>
        </w:tc>
        <w:tc>
          <w:tcPr>
            <w:tcW w:type="dxa" w:w="6293"/>
            <w:shd w:val="clear" w:color="auto" w:fill="E8EEF5"/>
          </w:tcPr>
          <w:p>
            <w:pPr>
              <w:spacing w:after="20" w:before="20" w:line="240" w:lineRule="auto"/>
              <w:jc w:val="left"/>
            </w:pPr>
            <w:r>
              <w:rPr>
                <w:sz w:val="20"/>
              </w:rPr>
              <w:t xml:space="preserve">- Monitor financial performance through quarterly and annual reports. </w:t>
              <w:br/>
            </w:r>
            <w:r>
              <w:rPr>
                <w:sz w:val="20"/>
              </w:rPr>
              <w:t xml:space="preserve"> - Conduct internal audits and ensure financial transparency. </w:t>
              <w:br/>
            </w:r>
            <w:r>
              <w:rPr>
                <w:sz w:val="20"/>
              </w:rPr>
              <w:t xml:space="preserve"> - Analyze financial risks and recommend mitigation strategies.</w:t>
            </w:r>
          </w:p>
        </w:tc>
      </w:tr>
      <w:tr>
        <w:trPr>
          <w:cantSplit w:val="true"/>
        </w:trPr>
        <w:tc>
          <w:tcPr>
            <w:tcW w:type="dxa" w:w="3118"/>
          </w:tcPr>
          <w:p>
            <w:pPr>
              <w:spacing w:after="20" w:before="20" w:line="240" w:lineRule="auto"/>
              <w:jc w:val="left"/>
            </w:pPr>
            <w:r>
              <w:rPr>
                <w:sz w:val="20"/>
              </w:rPr>
              <w:t>Strategic Support Partner</w:t>
            </w:r>
          </w:p>
        </w:tc>
        <w:tc>
          <w:tcPr>
            <w:tcW w:type="dxa" w:w="6293"/>
          </w:tcPr>
          <w:p>
            <w:pPr>
              <w:spacing w:after="20" w:before="20" w:line="240" w:lineRule="auto"/>
              <w:jc w:val="left"/>
            </w:pPr>
            <w:r>
              <w:rPr>
                <w:sz w:val="20"/>
              </w:rPr>
              <w:t xml:space="preserve">- Provide financial inputs during major decisions like expansion projects, collaborations, or launch of new academic programs. </w:t>
              <w:br/>
            </w:r>
            <w:r>
              <w:rPr>
                <w:sz w:val="20"/>
              </w:rPr>
              <w:t xml:space="preserve"> - Support planning for infrastructure development, ICT upgrades, and research enhancement.</w:t>
            </w:r>
          </w:p>
        </w:tc>
      </w:tr>
      <w:tr>
        <w:trPr>
          <w:cantSplit w:val="true"/>
        </w:trPr>
        <w:tc>
          <w:tcPr>
            <w:tcW w:type="dxa" w:w="3118"/>
            <w:shd w:val="clear" w:color="auto" w:fill="E8EEF5"/>
          </w:tcPr>
          <w:p>
            <w:pPr>
              <w:spacing w:after="20" w:before="20" w:line="240" w:lineRule="auto"/>
              <w:jc w:val="left"/>
            </w:pPr>
            <w:r>
              <w:rPr>
                <w:sz w:val="20"/>
              </w:rPr>
              <w:t>Facilitator for Financial Aid and Scholarships</w:t>
            </w:r>
          </w:p>
        </w:tc>
        <w:tc>
          <w:tcPr>
            <w:tcW w:type="dxa" w:w="6293"/>
            <w:shd w:val="clear" w:color="auto" w:fill="E8EEF5"/>
          </w:tcPr>
          <w:p>
            <w:pPr>
              <w:spacing w:after="20" w:before="20" w:line="240" w:lineRule="auto"/>
              <w:jc w:val="left"/>
            </w:pPr>
            <w:r>
              <w:rPr>
                <w:sz w:val="20"/>
              </w:rPr>
              <w:t xml:space="preserve">- Oversee the distribution of scholarships, fellowships, and financial aid to students. </w:t>
              <w:br/>
            </w:r>
            <w:r>
              <w:rPr>
                <w:sz w:val="20"/>
              </w:rPr>
              <w:t xml:space="preserve"> - Ensure transparency and fairness in the selection process.</w:t>
            </w:r>
          </w:p>
        </w:tc>
      </w:tr>
      <w:tr>
        <w:trPr>
          <w:cantSplit w:val="true"/>
        </w:trPr>
        <w:tc>
          <w:tcPr>
            <w:tcW w:type="dxa" w:w="3118"/>
          </w:tcPr>
          <w:p>
            <w:pPr>
              <w:spacing w:after="20" w:before="20" w:line="240" w:lineRule="auto"/>
              <w:jc w:val="left"/>
            </w:pPr>
            <w:r>
              <w:rPr>
                <w:sz w:val="20"/>
              </w:rPr>
              <w:t>Vendor Management and Procurement Advisor</w:t>
            </w:r>
          </w:p>
        </w:tc>
        <w:tc>
          <w:tcPr>
            <w:tcW w:type="dxa" w:w="6293"/>
          </w:tcPr>
          <w:p>
            <w:pPr>
              <w:spacing w:after="20" w:before="20" w:line="240" w:lineRule="auto"/>
              <w:jc w:val="left"/>
            </w:pPr>
            <w:r>
              <w:rPr>
                <w:sz w:val="20"/>
              </w:rPr>
              <w:t xml:space="preserve">- Approve major procurement plans. </w:t>
              <w:br/>
            </w:r>
            <w:r>
              <w:rPr>
                <w:sz w:val="20"/>
              </w:rPr>
              <w:t xml:space="preserve"> - Ensure procurement follows due process, tender norms, and achieves cost efficiency.</w:t>
            </w:r>
          </w:p>
        </w:tc>
      </w:tr>
    </w:tbl>
    <w:p>
      <w:pPr>
        <w:spacing w:after="80" w:line="240" w:lineRule="auto"/>
      </w:pPr>
    </w:p>
    <w:p>
      <w:pPr>
        <w:pStyle w:val="Heading2"/>
      </w:pPr>
      <w:r>
        <w:rPr/>
        <w:t>Member-wise Roles and Responsibilities of the Finance Committee</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4309"/>
        <w:gridCol w:w="5102"/>
      </w:tblGrid>
      <w:tr>
        <w:trPr>
          <w:cantSplit w:val="true"/>
          <w:tblHeader w:val="true"/>
        </w:trPr>
        <w:tc>
          <w:tcPr>
            <w:tcW w:type="dxa" w:w="4309"/>
            <w:shd w:val="clear" w:color="auto" w:fill="1F3A5F"/>
          </w:tcPr>
          <w:p>
            <w:pPr>
              <w:spacing w:after="20" w:before="20" w:line="240" w:lineRule="auto"/>
              <w:jc w:val="left"/>
            </w:pPr>
            <w:r>
              <w:rPr>
                <w:b/>
                <w:color w:val="FFFFFF"/>
                <w:sz w:val="20"/>
              </w:rPr>
              <w:t>Committee Member</w:t>
            </w:r>
          </w:p>
        </w:tc>
        <w:tc>
          <w:tcPr>
            <w:tcW w:type="dxa" w:w="5102"/>
            <w:shd w:val="clear" w:color="auto" w:fill="1F3A5F"/>
          </w:tcPr>
          <w:p>
            <w:pPr>
              <w:spacing w:after="20" w:before="20" w:line="240" w:lineRule="auto"/>
              <w:jc w:val="left"/>
            </w:pPr>
            <w:r>
              <w:rPr>
                <w:b/>
                <w:color w:val="FFFFFF"/>
                <w:sz w:val="20"/>
              </w:rPr>
              <w:t>Roles and Responsibilities</w:t>
            </w:r>
          </w:p>
        </w:tc>
      </w:tr>
      <w:tr>
        <w:trPr>
          <w:cantSplit w:val="true"/>
        </w:trPr>
        <w:tc>
          <w:tcPr>
            <w:tcW w:type="dxa" w:w="4309"/>
          </w:tcPr>
          <w:p>
            <w:pPr>
              <w:spacing w:after="20" w:before="20" w:line="240" w:lineRule="auto"/>
              <w:jc w:val="left"/>
            </w:pPr>
            <w:r>
              <w:rPr>
                <w:sz w:val="20"/>
              </w:rPr>
              <w:t>Chairperson (Usually the Head of the Institution/Principal)</w:t>
            </w:r>
          </w:p>
        </w:tc>
        <w:tc>
          <w:tcPr>
            <w:tcW w:type="dxa" w:w="5102"/>
          </w:tcPr>
          <w:p>
            <w:pPr>
              <w:spacing w:after="20" w:before="20" w:line="240" w:lineRule="auto"/>
              <w:jc w:val="left"/>
            </w:pPr>
            <w:r>
              <w:rPr>
                <w:sz w:val="20"/>
              </w:rPr>
              <w:t xml:space="preserve">- Preside over all Finance Committee meetings. </w:t>
              <w:br/>
            </w:r>
            <w:r>
              <w:rPr>
                <w:sz w:val="20"/>
              </w:rPr>
              <w:t xml:space="preserve"> - Ensure that financial planning aligns with the institution's strategic goals. </w:t>
              <w:br/>
            </w:r>
            <w:r>
              <w:rPr>
                <w:sz w:val="20"/>
              </w:rPr>
              <w:t xml:space="preserve"> - Approve the agenda and proposals before presenting to Governing Body. </w:t>
              <w:br/>
            </w:r>
            <w:r>
              <w:rPr>
                <w:sz w:val="20"/>
              </w:rPr>
              <w:t xml:space="preserve"> - Act as the link between Finance Committee and the Governing Body.</w:t>
            </w:r>
          </w:p>
        </w:tc>
      </w:tr>
      <w:tr>
        <w:trPr>
          <w:cantSplit w:val="true"/>
        </w:trPr>
        <w:tc>
          <w:tcPr>
            <w:tcW w:type="dxa" w:w="4309"/>
            <w:shd w:val="clear" w:color="auto" w:fill="E8EEF5"/>
          </w:tcPr>
          <w:p>
            <w:pPr>
              <w:spacing w:after="20" w:before="20" w:line="240" w:lineRule="auto"/>
              <w:jc w:val="left"/>
            </w:pPr>
            <w:r>
              <w:rPr>
                <w:sz w:val="20"/>
              </w:rPr>
              <w:t>Finance Officer / Accounts Officer</w:t>
            </w:r>
          </w:p>
        </w:tc>
        <w:tc>
          <w:tcPr>
            <w:tcW w:type="dxa" w:w="5102"/>
            <w:shd w:val="clear" w:color="auto" w:fill="E8EEF5"/>
          </w:tcPr>
          <w:p>
            <w:pPr>
              <w:spacing w:after="20" w:before="20" w:line="240" w:lineRule="auto"/>
              <w:jc w:val="left"/>
            </w:pPr>
            <w:r>
              <w:rPr>
                <w:sz w:val="20"/>
              </w:rPr>
              <w:t xml:space="preserve">- Present detailed budgets, income &amp; expenditure statements, audit reports. </w:t>
              <w:br/>
            </w:r>
            <w:r>
              <w:rPr>
                <w:sz w:val="20"/>
              </w:rPr>
              <w:t xml:space="preserve"> - Assist in financial planning, projections, and forecasting. </w:t>
              <w:br/>
            </w:r>
            <w:r>
              <w:rPr>
                <w:sz w:val="20"/>
              </w:rPr>
              <w:t xml:space="preserve"> - Monitor the day-to-day financial operations. </w:t>
              <w:br/>
            </w:r>
            <w:r>
              <w:rPr>
                <w:sz w:val="20"/>
              </w:rPr>
              <w:t xml:space="preserve"> - Ensure statutory compliances in financial matters (tax, PF, etc.).</w:t>
            </w:r>
          </w:p>
        </w:tc>
      </w:tr>
      <w:tr>
        <w:trPr>
          <w:cantSplit w:val="true"/>
        </w:trPr>
        <w:tc>
          <w:tcPr>
            <w:tcW w:type="dxa" w:w="4309"/>
          </w:tcPr>
          <w:p>
            <w:pPr>
              <w:spacing w:after="20" w:before="20" w:line="240" w:lineRule="auto"/>
              <w:jc w:val="left"/>
            </w:pPr>
            <w:r>
              <w:rPr>
                <w:sz w:val="20"/>
              </w:rPr>
              <w:t>Senior Faculty Representative</w:t>
            </w:r>
          </w:p>
        </w:tc>
        <w:tc>
          <w:tcPr>
            <w:tcW w:type="dxa" w:w="5102"/>
          </w:tcPr>
          <w:p>
            <w:pPr>
              <w:spacing w:after="20" w:before="20" w:line="240" w:lineRule="auto"/>
              <w:jc w:val="left"/>
            </w:pPr>
            <w:r>
              <w:rPr>
                <w:sz w:val="20"/>
              </w:rPr>
              <w:t xml:space="preserve">- Represent academic departments’ financial needs. </w:t>
              <w:br/>
            </w:r>
            <w:r>
              <w:rPr>
                <w:sz w:val="20"/>
              </w:rPr>
              <w:t xml:space="preserve"> - Propose allocation for academic initiatives like research projects, seminars, workshops, labs, etc. </w:t>
              <w:br/>
            </w:r>
            <w:r>
              <w:rPr>
                <w:sz w:val="20"/>
              </w:rPr>
              <w:t xml:space="preserve"> - Assist in budget prioritization based on academic requirements.</w:t>
            </w:r>
          </w:p>
        </w:tc>
      </w:tr>
      <w:tr>
        <w:trPr>
          <w:cantSplit w:val="true"/>
        </w:trPr>
        <w:tc>
          <w:tcPr>
            <w:tcW w:type="dxa" w:w="4309"/>
            <w:shd w:val="clear" w:color="auto" w:fill="E8EEF5"/>
          </w:tcPr>
          <w:p>
            <w:pPr>
              <w:spacing w:after="20" w:before="20" w:line="240" w:lineRule="auto"/>
              <w:jc w:val="left"/>
            </w:pPr>
            <w:r>
              <w:rPr>
                <w:sz w:val="20"/>
              </w:rPr>
              <w:t>Administrative Officer / Registrar</w:t>
            </w:r>
          </w:p>
        </w:tc>
        <w:tc>
          <w:tcPr>
            <w:tcW w:type="dxa" w:w="5102"/>
            <w:shd w:val="clear" w:color="auto" w:fill="E8EEF5"/>
          </w:tcPr>
          <w:p>
            <w:pPr>
              <w:spacing w:after="20" w:before="20" w:line="240" w:lineRule="auto"/>
              <w:jc w:val="left"/>
            </w:pPr>
            <w:r>
              <w:rPr>
                <w:sz w:val="20"/>
              </w:rPr>
              <w:t xml:space="preserve">- Coordinate budget proposals received from various departments. </w:t>
              <w:br/>
            </w:r>
            <w:r>
              <w:rPr>
                <w:sz w:val="20"/>
              </w:rPr>
              <w:t xml:space="preserve"> - Facilitate documentation for procurement, audits, and approvals. </w:t>
              <w:br/>
            </w:r>
            <w:r>
              <w:rPr>
                <w:sz w:val="20"/>
              </w:rPr>
              <w:t xml:space="preserve"> - Ensure adherence to administrative and regulatory financial norms.</w:t>
            </w:r>
          </w:p>
        </w:tc>
      </w:tr>
      <w:tr>
        <w:trPr>
          <w:cantSplit w:val="true"/>
        </w:trPr>
        <w:tc>
          <w:tcPr>
            <w:tcW w:type="dxa" w:w="4309"/>
          </w:tcPr>
          <w:p>
            <w:pPr>
              <w:spacing w:after="20" w:before="20" w:line="240" w:lineRule="auto"/>
              <w:jc w:val="left"/>
            </w:pPr>
            <w:r>
              <w:rPr>
                <w:sz w:val="20"/>
              </w:rPr>
              <w:t>External Financial Expert / Auditor (if any)</w:t>
            </w:r>
          </w:p>
        </w:tc>
        <w:tc>
          <w:tcPr>
            <w:tcW w:type="dxa" w:w="5102"/>
          </w:tcPr>
          <w:p>
            <w:pPr>
              <w:spacing w:after="20" w:before="20" w:line="240" w:lineRule="auto"/>
              <w:jc w:val="left"/>
            </w:pPr>
            <w:r>
              <w:rPr>
                <w:sz w:val="20"/>
              </w:rPr>
              <w:t xml:space="preserve">- Provide professional advice on financial planning, risk management, investments. </w:t>
              <w:br/>
            </w:r>
            <w:r>
              <w:rPr>
                <w:sz w:val="20"/>
              </w:rPr>
              <w:t xml:space="preserve"> - Review institutional audit reports, identify gaps and suggest improvements. </w:t>
              <w:br/>
            </w:r>
            <w:r>
              <w:rPr>
                <w:sz w:val="20"/>
              </w:rPr>
              <w:t xml:space="preserve"> - Ensure transparency and compliance with government and accreditation body norms.</w:t>
            </w:r>
          </w:p>
        </w:tc>
      </w:tr>
      <w:tr>
        <w:trPr>
          <w:cantSplit w:val="true"/>
        </w:trPr>
        <w:tc>
          <w:tcPr>
            <w:tcW w:type="dxa" w:w="4309"/>
            <w:shd w:val="clear" w:color="auto" w:fill="E8EEF5"/>
          </w:tcPr>
          <w:p>
            <w:pPr>
              <w:spacing w:after="20" w:before="20" w:line="240" w:lineRule="auto"/>
              <w:jc w:val="left"/>
            </w:pPr>
            <w:r>
              <w:rPr>
                <w:sz w:val="20"/>
              </w:rPr>
              <w:t>Management Representative / Trust/Board Member (for Private Institutions)</w:t>
            </w:r>
          </w:p>
        </w:tc>
        <w:tc>
          <w:tcPr>
            <w:tcW w:type="dxa" w:w="5102"/>
            <w:shd w:val="clear" w:color="auto" w:fill="E8EEF5"/>
          </w:tcPr>
          <w:p>
            <w:pPr>
              <w:spacing w:after="20" w:before="20" w:line="240" w:lineRule="auto"/>
              <w:jc w:val="left"/>
            </w:pPr>
            <w:r>
              <w:rPr>
                <w:sz w:val="20"/>
              </w:rPr>
              <w:t xml:space="preserve">- Represent the interest of the institution’s management or trustees. </w:t>
              <w:br/>
            </w:r>
            <w:r>
              <w:rPr>
                <w:sz w:val="20"/>
              </w:rPr>
              <w:t xml:space="preserve"> - Approve or provide suggestions on major financial investments and expenditures. </w:t>
              <w:br/>
            </w:r>
            <w:r>
              <w:rPr>
                <w:sz w:val="20"/>
              </w:rPr>
              <w:t xml:space="preserve"> - Guide the committee regarding fund generation activities, donations, endowments.</w:t>
            </w:r>
          </w:p>
        </w:tc>
      </w:tr>
      <w:tr>
        <w:trPr>
          <w:cantSplit w:val="true"/>
        </w:trPr>
        <w:tc>
          <w:tcPr>
            <w:tcW w:type="dxa" w:w="4309"/>
          </w:tcPr>
          <w:p>
            <w:pPr>
              <w:spacing w:after="20" w:before="20" w:line="240" w:lineRule="auto"/>
              <w:jc w:val="left"/>
            </w:pPr>
            <w:r>
              <w:rPr>
                <w:sz w:val="20"/>
              </w:rPr>
              <w:t>Student Representative (optional, if included)</w:t>
            </w:r>
          </w:p>
        </w:tc>
        <w:tc>
          <w:tcPr>
            <w:tcW w:type="dxa" w:w="5102"/>
          </w:tcPr>
          <w:p>
            <w:pPr>
              <w:spacing w:after="20" w:before="20" w:line="240" w:lineRule="auto"/>
              <w:jc w:val="left"/>
            </w:pPr>
            <w:r>
              <w:rPr>
                <w:sz w:val="20"/>
              </w:rPr>
              <w:t xml:space="preserve">- Highlight student-centric financial concerns (like fee structure, scholarships, welfare schemes). </w:t>
              <w:br/>
            </w:r>
            <w:r>
              <w:rPr>
                <w:sz w:val="20"/>
              </w:rPr>
              <w:t xml:space="preserve"> - Provide inputs regarding affordability and transparency in fee-related matters.</w:t>
            </w:r>
          </w:p>
        </w:tc>
      </w:tr>
    </w:tbl>
    <w:p>
      <w:pPr>
        <w:spacing w:after="80" w:line="240" w:lineRule="auto"/>
      </w:pPr>
    </w:p>
    <w:p>
      <w:pPr>
        <w:pStyle w:val="Heading2"/>
      </w:pPr>
      <w:r>
        <w:rPr/>
        <w:t>Alignment with NAAC and NBA</w:t>
      </w:r>
    </w:p>
    <w:tbl>
      <w:tblPr>
        <w:tblW w:type="dxa" w:w="941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1701"/>
        <w:gridCol w:w="3515"/>
        <w:gridCol w:w="4195"/>
      </w:tblGrid>
      <w:tr>
        <w:trPr>
          <w:cantSplit w:val="true"/>
          <w:tblHeader w:val="true"/>
        </w:trPr>
        <w:tc>
          <w:tcPr>
            <w:tcW w:type="dxa" w:w="1701"/>
            <w:shd w:val="clear" w:color="auto" w:fill="1F3A5F"/>
          </w:tcPr>
          <w:p>
            <w:pPr>
              <w:spacing w:after="20" w:before="20" w:line="240" w:lineRule="auto"/>
              <w:jc w:val="left"/>
            </w:pPr>
            <w:r>
              <w:rPr>
                <w:b/>
                <w:color w:val="FFFFFF"/>
                <w:sz w:val="20"/>
              </w:rPr>
              <w:t>Accreditation Body</w:t>
            </w:r>
          </w:p>
        </w:tc>
        <w:tc>
          <w:tcPr>
            <w:tcW w:type="dxa" w:w="3515"/>
            <w:shd w:val="clear" w:color="auto" w:fill="1F3A5F"/>
          </w:tcPr>
          <w:p>
            <w:pPr>
              <w:spacing w:after="20" w:before="20" w:line="240" w:lineRule="auto"/>
              <w:jc w:val="left"/>
            </w:pPr>
            <w:r>
              <w:rPr>
                <w:b/>
                <w:color w:val="FFFFFF"/>
                <w:sz w:val="20"/>
              </w:rPr>
              <w:t>Criterion</w:t>
            </w:r>
          </w:p>
        </w:tc>
        <w:tc>
          <w:tcPr>
            <w:tcW w:type="dxa" w:w="4195"/>
            <w:shd w:val="clear" w:color="auto" w:fill="1F3A5F"/>
          </w:tcPr>
          <w:p>
            <w:pPr>
              <w:spacing w:after="20" w:before="20" w:line="240" w:lineRule="auto"/>
              <w:jc w:val="left"/>
            </w:pPr>
            <w:r>
              <w:rPr>
                <w:b/>
                <w:color w:val="FFFFFF"/>
                <w:sz w:val="20"/>
              </w:rPr>
              <w:t>Finance Committee’s Contribution</w:t>
            </w:r>
          </w:p>
        </w:tc>
      </w:tr>
      <w:tr>
        <w:trPr>
          <w:cantSplit w:val="true"/>
        </w:trPr>
        <w:tc>
          <w:tcPr>
            <w:tcW w:type="dxa" w:w="1701"/>
          </w:tcPr>
          <w:p>
            <w:pPr>
              <w:spacing w:after="20" w:before="20" w:line="240" w:lineRule="auto"/>
              <w:jc w:val="left"/>
            </w:pPr>
            <w:r>
              <w:rPr>
                <w:sz w:val="20"/>
              </w:rPr>
              <w:t>NAAC</w:t>
            </w:r>
          </w:p>
        </w:tc>
        <w:tc>
          <w:tcPr>
            <w:tcW w:type="dxa" w:w="3515"/>
          </w:tcPr>
          <w:p>
            <w:pPr>
              <w:spacing w:after="20" w:before="20" w:line="240" w:lineRule="auto"/>
              <w:jc w:val="left"/>
            </w:pPr>
            <w:r>
              <w:rPr>
                <w:sz w:val="20"/>
              </w:rPr>
              <w:t>Criterion 6: Governance, Leadership &amp; Management</w:t>
            </w:r>
          </w:p>
        </w:tc>
        <w:tc>
          <w:tcPr>
            <w:tcW w:type="dxa" w:w="4195"/>
          </w:tcPr>
          <w:p>
            <w:pPr>
              <w:spacing w:after="20" w:before="20" w:line="240" w:lineRule="auto"/>
              <w:jc w:val="left"/>
            </w:pPr>
            <w:r>
              <w:rPr>
                <w:sz w:val="20"/>
              </w:rPr>
              <w:t>Supports efficient financial management and autonomy in resource planning</w:t>
            </w:r>
          </w:p>
        </w:tc>
      </w:tr>
      <w:tr>
        <w:trPr>
          <w:cantSplit w:val="true"/>
        </w:trPr>
        <w:tc>
          <w:tcPr>
            <w:tcW w:type="dxa" w:w="1701"/>
            <w:shd w:val="clear" w:color="auto" w:fill="E8EEF5"/>
          </w:tcPr>
          <w:p>
            <w:pPr>
              <w:spacing w:after="20" w:before="20" w:line="240" w:lineRule="auto"/>
              <w:jc w:val="left"/>
            </w:pPr>
          </w:p>
        </w:tc>
        <w:tc>
          <w:tcPr>
            <w:tcW w:type="dxa" w:w="3515"/>
            <w:shd w:val="clear" w:color="auto" w:fill="E8EEF5"/>
          </w:tcPr>
          <w:p>
            <w:pPr>
              <w:spacing w:after="20" w:before="20" w:line="240" w:lineRule="auto"/>
              <w:jc w:val="left"/>
            </w:pPr>
            <w:r>
              <w:rPr>
                <w:sz w:val="20"/>
              </w:rPr>
              <w:t>Criterion 4: Infrastructure &amp; Learning Resources</w:t>
            </w:r>
          </w:p>
        </w:tc>
        <w:tc>
          <w:tcPr>
            <w:tcW w:type="dxa" w:w="4195"/>
            <w:shd w:val="clear" w:color="auto" w:fill="E8EEF5"/>
          </w:tcPr>
          <w:p>
            <w:pPr>
              <w:spacing w:after="20" w:before="20" w:line="240" w:lineRule="auto"/>
              <w:jc w:val="left"/>
            </w:pPr>
            <w:r>
              <w:rPr>
                <w:sz w:val="20"/>
              </w:rPr>
              <w:t>Ensures funds for infrastructure development and maintenance</w:t>
            </w:r>
          </w:p>
        </w:tc>
      </w:tr>
      <w:tr>
        <w:trPr>
          <w:cantSplit w:val="true"/>
        </w:trPr>
        <w:tc>
          <w:tcPr>
            <w:tcW w:type="dxa" w:w="1701"/>
          </w:tcPr>
          <w:p>
            <w:pPr>
              <w:spacing w:after="20" w:before="20" w:line="240" w:lineRule="auto"/>
              <w:jc w:val="left"/>
            </w:pPr>
          </w:p>
        </w:tc>
        <w:tc>
          <w:tcPr>
            <w:tcW w:type="dxa" w:w="3515"/>
          </w:tcPr>
          <w:p>
            <w:pPr>
              <w:spacing w:after="20" w:before="20" w:line="240" w:lineRule="auto"/>
              <w:jc w:val="left"/>
            </w:pPr>
            <w:r>
              <w:rPr>
                <w:sz w:val="20"/>
              </w:rPr>
              <w:t>Criterion 3: Research, Innovation &amp; Extension</w:t>
            </w:r>
          </w:p>
        </w:tc>
        <w:tc>
          <w:tcPr>
            <w:tcW w:type="dxa" w:w="4195"/>
          </w:tcPr>
          <w:p>
            <w:pPr>
              <w:spacing w:after="20" w:before="20" w:line="240" w:lineRule="auto"/>
              <w:jc w:val="left"/>
            </w:pPr>
            <w:r>
              <w:rPr>
                <w:sz w:val="20"/>
              </w:rPr>
              <w:t>Monitors and allocates budget for research activities and innovations</w:t>
            </w:r>
          </w:p>
        </w:tc>
      </w:tr>
      <w:tr>
        <w:trPr>
          <w:cantSplit w:val="true"/>
        </w:trPr>
        <w:tc>
          <w:tcPr>
            <w:tcW w:type="dxa" w:w="1701"/>
            <w:shd w:val="clear" w:color="auto" w:fill="E8EEF5"/>
          </w:tcPr>
          <w:p>
            <w:pPr>
              <w:spacing w:after="20" w:before="20" w:line="240" w:lineRule="auto"/>
              <w:jc w:val="left"/>
            </w:pPr>
            <w:r>
              <w:rPr>
                <w:sz w:val="20"/>
              </w:rPr>
              <w:t>NBA</w:t>
            </w:r>
          </w:p>
        </w:tc>
        <w:tc>
          <w:tcPr>
            <w:tcW w:type="dxa" w:w="3515"/>
            <w:shd w:val="clear" w:color="auto" w:fill="E8EEF5"/>
          </w:tcPr>
          <w:p>
            <w:pPr>
              <w:spacing w:after="20" w:before="20" w:line="240" w:lineRule="auto"/>
              <w:jc w:val="left"/>
            </w:pPr>
            <w:r>
              <w:rPr>
                <w:sz w:val="20"/>
              </w:rPr>
              <w:t>Criterion 2: Program Curriculum &amp; Teaching-Learning</w:t>
            </w:r>
          </w:p>
        </w:tc>
        <w:tc>
          <w:tcPr>
            <w:tcW w:type="dxa" w:w="4195"/>
            <w:shd w:val="clear" w:color="auto" w:fill="E8EEF5"/>
          </w:tcPr>
          <w:p>
            <w:pPr>
              <w:spacing w:after="20" w:before="20" w:line="240" w:lineRule="auto"/>
              <w:jc w:val="left"/>
            </w:pPr>
            <w:r>
              <w:rPr>
                <w:sz w:val="20"/>
              </w:rPr>
              <w:t>Allocates financial resources for lab upgrades, academic reforms</w:t>
            </w:r>
          </w:p>
        </w:tc>
      </w:tr>
      <w:tr>
        <w:trPr>
          <w:cantSplit w:val="true"/>
        </w:trPr>
        <w:tc>
          <w:tcPr>
            <w:tcW w:type="dxa" w:w="1701"/>
          </w:tcPr>
          <w:p>
            <w:pPr>
              <w:spacing w:after="20" w:before="20" w:line="240" w:lineRule="auto"/>
              <w:jc w:val="left"/>
            </w:pPr>
          </w:p>
        </w:tc>
        <w:tc>
          <w:tcPr>
            <w:tcW w:type="dxa" w:w="3515"/>
          </w:tcPr>
          <w:p>
            <w:pPr>
              <w:spacing w:after="20" w:before="20" w:line="240" w:lineRule="auto"/>
              <w:jc w:val="left"/>
            </w:pPr>
            <w:r>
              <w:rPr>
                <w:sz w:val="20"/>
              </w:rPr>
              <w:t>Criterion 6: Facilities &amp; Technical Support</w:t>
            </w:r>
          </w:p>
        </w:tc>
        <w:tc>
          <w:tcPr>
            <w:tcW w:type="dxa" w:w="4195"/>
          </w:tcPr>
          <w:p>
            <w:pPr>
              <w:spacing w:after="20" w:before="20" w:line="240" w:lineRule="auto"/>
              <w:jc w:val="left"/>
            </w:pPr>
            <w:r>
              <w:rPr>
                <w:sz w:val="20"/>
              </w:rPr>
              <w:t>Approves purchases of equipment, ICT tools, and technical resources</w:t>
            </w:r>
          </w:p>
        </w:tc>
      </w:tr>
      <w:tr>
        <w:trPr>
          <w:cantSplit w:val="true"/>
        </w:trPr>
        <w:tc>
          <w:tcPr>
            <w:tcW w:type="dxa" w:w="1701"/>
            <w:shd w:val="clear" w:color="auto" w:fill="E8EEF5"/>
          </w:tcPr>
          <w:p>
            <w:pPr>
              <w:spacing w:after="20" w:before="20" w:line="240" w:lineRule="auto"/>
              <w:jc w:val="left"/>
            </w:pPr>
          </w:p>
        </w:tc>
        <w:tc>
          <w:tcPr>
            <w:tcW w:type="dxa" w:w="3515"/>
            <w:shd w:val="clear" w:color="auto" w:fill="E8EEF5"/>
          </w:tcPr>
          <w:p>
            <w:pPr>
              <w:spacing w:after="20" w:before="20" w:line="240" w:lineRule="auto"/>
              <w:jc w:val="left"/>
            </w:pPr>
            <w:r>
              <w:rPr>
                <w:sz w:val="20"/>
              </w:rPr>
              <w:t>Criterion 7: Institutional Support</w:t>
            </w:r>
          </w:p>
        </w:tc>
        <w:tc>
          <w:tcPr>
            <w:tcW w:type="dxa" w:w="4195"/>
            <w:shd w:val="clear" w:color="auto" w:fill="E8EEF5"/>
          </w:tcPr>
          <w:p>
            <w:pPr>
              <w:spacing w:after="20" w:before="20" w:line="240" w:lineRule="auto"/>
              <w:jc w:val="left"/>
            </w:pPr>
            <w:r>
              <w:rPr>
                <w:sz w:val="20"/>
              </w:rPr>
              <w:t>Ensures sustainability and faculty development through appropriate funding</w:t>
            </w:r>
          </w:p>
        </w:tc>
      </w:tr>
    </w:tbl>
    <w:p>
      <w:pPr>
        <w:spacing w:after="80" w:line="240" w:lineRule="auto"/>
      </w:pPr>
    </w:p>
    <w:p>
      <w:pPr>
        <w:pStyle w:val="Heading2"/>
      </w:pPr>
      <w:r>
        <w:rPr/>
        <w:t>Frequency of Meetings</w:t>
      </w:r>
    </w:p>
    <w:p>
      <w:pPr>
        <w:numPr>
          <w:ilvl w:val="0"/>
          <w:numId w:val="90"/>
        </w:numPr>
        <w:spacing w:after="60"/>
      </w:pPr>
      <w:r>
        <w:rPr>
          <w:b/>
        </w:rPr>
        <w:t>Minimum:</w:t>
      </w:r>
      <w:r>
        <w:rPr/>
        <w:t xml:space="preserve"> Twice a year (before start and end of financial year)</w:t>
      </w:r>
    </w:p>
    <w:p>
      <w:pPr>
        <w:numPr>
          <w:ilvl w:val="0"/>
          <w:numId w:val="90"/>
        </w:numPr>
        <w:spacing w:after="60"/>
      </w:pPr>
      <w:r>
        <w:rPr>
          <w:b/>
        </w:rPr>
        <w:t>Special Meetings:</w:t>
      </w:r>
      <w:r>
        <w:rPr/>
        <w:t xml:space="preserve"> As and when required for urgent approvals or financial reviews</w:t>
      </w:r>
    </w:p>
    <w:p>
      <w:pPr>
        <w:pStyle w:val="Heading2"/>
      </w:pPr>
      <w:r>
        <w:rPr/>
        <w:t>Documentation Required</w:t>
      </w:r>
    </w:p>
    <w:p>
      <w:pPr>
        <w:numPr>
          <w:ilvl w:val="0"/>
          <w:numId w:val="90"/>
        </w:numPr>
        <w:spacing w:after="60"/>
      </w:pPr>
      <w:r>
        <w:rPr/>
        <w:t>Annual Budget Plan</w:t>
      </w:r>
    </w:p>
    <w:p>
      <w:pPr>
        <w:numPr>
          <w:ilvl w:val="0"/>
          <w:numId w:val="90"/>
        </w:numPr>
        <w:spacing w:after="60"/>
      </w:pPr>
      <w:r>
        <w:rPr/>
        <w:t>Minutes of Finance Committee Meetings</w:t>
      </w:r>
    </w:p>
    <w:p>
      <w:pPr>
        <w:numPr>
          <w:ilvl w:val="0"/>
          <w:numId w:val="90"/>
        </w:numPr>
        <w:spacing w:after="60"/>
      </w:pPr>
      <w:r>
        <w:rPr/>
        <w:t>Utilization Certificates</w:t>
      </w:r>
    </w:p>
    <w:p>
      <w:pPr>
        <w:numPr>
          <w:ilvl w:val="0"/>
          <w:numId w:val="90"/>
        </w:numPr>
        <w:spacing w:after="60"/>
      </w:pPr>
      <w:r>
        <w:rPr/>
        <w:t>Audit Reports (Internal &amp; External)</w:t>
      </w:r>
    </w:p>
    <w:p>
      <w:pPr>
        <w:numPr>
          <w:ilvl w:val="0"/>
          <w:numId w:val="90"/>
        </w:numPr>
        <w:spacing w:after="60"/>
      </w:pPr>
      <w:r>
        <w:rPr/>
        <w:t>Expenditure Statements</w:t>
      </w:r>
    </w:p>
    <w:p>
      <w:pPr>
        <w:numPr>
          <w:ilvl w:val="0"/>
          <w:numId w:val="90"/>
        </w:numPr>
        <w:spacing w:after="60"/>
      </w:pPr>
      <w:r>
        <w:rPr/>
        <w:t>Records of Fund Allocations to Departments/Projects</w:t>
      </w:r>
    </w:p>
    <w:p>
      <w:pPr>
        <w:pStyle w:val="Heading2"/>
      </w:pPr>
      <w:r>
        <w:rPr/>
        <w:t>Sample Agenda Items</w:t>
      </w:r>
    </w:p>
    <w:p>
      <w:pPr>
        <w:tabs>
          <w:tab w:pos="425" w:val="left"/>
        </w:tabs>
        <w:spacing w:after="60"/>
        <w:ind w:left="425" w:hanging="425"/>
      </w:pPr>
      <w:r>
        <w:rPr/>
        <w:t>1.</w:t>
        <w:tab/>
        <w:t>Approval of Annual Budget</w:t>
      </w:r>
    </w:p>
    <w:p>
      <w:pPr>
        <w:tabs>
          <w:tab w:pos="425" w:val="left"/>
        </w:tabs>
        <w:spacing w:after="60"/>
        <w:ind w:left="425" w:hanging="425"/>
      </w:pPr>
      <w:r>
        <w:rPr/>
        <w:t>2.</w:t>
        <w:tab/>
        <w:t>Review of Expenditure vs Budget</w:t>
      </w:r>
    </w:p>
    <w:p>
      <w:pPr>
        <w:tabs>
          <w:tab w:pos="425" w:val="left"/>
        </w:tabs>
        <w:spacing w:after="60"/>
        <w:ind w:left="425" w:hanging="425"/>
      </w:pPr>
      <w:r>
        <w:rPr/>
        <w:t>3.</w:t>
        <w:tab/>
        <w:t>Approval of New Capital Expenditure</w:t>
      </w:r>
    </w:p>
    <w:p>
      <w:pPr>
        <w:tabs>
          <w:tab w:pos="425" w:val="left"/>
        </w:tabs>
        <w:spacing w:after="60"/>
        <w:ind w:left="425" w:hanging="425"/>
      </w:pPr>
      <w:r>
        <w:rPr/>
        <w:t>4.</w:t>
        <w:tab/>
        <w:t>Discussion on Audit Findings and Compliance</w:t>
      </w:r>
    </w:p>
    <w:p>
      <w:pPr>
        <w:tabs>
          <w:tab w:pos="425" w:val="left"/>
        </w:tabs>
        <w:spacing w:after="60"/>
        <w:ind w:left="425" w:hanging="425"/>
      </w:pPr>
      <w:r>
        <w:rPr/>
        <w:t>5.</w:t>
        <w:tab/>
        <w:t>Allocation of R&amp;D/Project Funds</w:t>
      </w:r>
    </w:p>
    <w:p>
      <w:pPr>
        <w:tabs>
          <w:tab w:pos="425" w:val="left"/>
        </w:tabs>
        <w:spacing w:after="60"/>
        <w:ind w:left="425" w:hanging="425"/>
      </w:pPr>
      <w:r>
        <w:rPr/>
        <w:t>6.</w:t>
        <w:tab/>
        <w:t>Review of Fee Structures/Financial Aid Proposals</w:t>
      </w:r>
    </w:p>
    <w:p>
      <w:pPr>
        <w:pStyle w:val="Heading2"/>
      </w:pPr>
      <w:r>
        <w:rPr/>
        <w:t>Key Documents Maintained by the Finance Committee</w:t>
      </w:r>
    </w:p>
    <w:p>
      <w:pPr>
        <w:numPr>
          <w:ilvl w:val="0"/>
          <w:numId w:val="90"/>
        </w:numPr>
        <w:spacing w:after="60"/>
      </w:pPr>
      <w:r>
        <w:rPr>
          <w:b/>
        </w:rPr>
        <w:t>Annual Budget Reports:</w:t>
      </w:r>
      <w:r>
        <w:rPr/>
        <w:t xml:space="preserve"> Detailed breakdown of the annual income and expenditures, including specific allocations for departments, staff salaries, operational costs, etc.</w:t>
      </w:r>
    </w:p>
    <w:p>
      <w:pPr>
        <w:numPr>
          <w:ilvl w:val="0"/>
          <w:numId w:val="90"/>
        </w:numPr>
        <w:spacing w:after="60"/>
      </w:pPr>
      <w:r>
        <w:rPr>
          <w:b/>
        </w:rPr>
        <w:t>Quarterly/Annual Financial Reports:</w:t>
      </w:r>
      <w:r>
        <w:rPr/>
        <w:t xml:space="preserve"> Financial statements, including profit and loss, balance sheet, and cash flow statements.</w:t>
      </w:r>
    </w:p>
    <w:p>
      <w:pPr>
        <w:numPr>
          <w:ilvl w:val="0"/>
          <w:numId w:val="90"/>
        </w:numPr>
        <w:spacing w:after="60"/>
      </w:pPr>
      <w:r>
        <w:rPr>
          <w:b/>
        </w:rPr>
        <w:t>Audit Reports:</w:t>
      </w:r>
      <w:r>
        <w:rPr/>
        <w:t xml:space="preserve"> Reports from internal and external auditors highlighting the institution's financial health and compliance with regulations.</w:t>
      </w:r>
    </w:p>
    <w:p>
      <w:pPr>
        <w:numPr>
          <w:ilvl w:val="0"/>
          <w:numId w:val="90"/>
        </w:numPr>
        <w:spacing w:after="60"/>
      </w:pPr>
      <w:r>
        <w:rPr>
          <w:b/>
        </w:rPr>
        <w:t>Revenue and Expense Analysis:</w:t>
      </w:r>
      <w:r>
        <w:rPr/>
        <w:t xml:space="preserve"> Detailed reports showing income generation (from tuition, grants, and donations) and expense analysis (salaries, infrastructure, etc.).</w:t>
      </w:r>
    </w:p>
    <w:p>
      <w:pPr>
        <w:numPr>
          <w:ilvl w:val="0"/>
          <w:numId w:val="90"/>
        </w:numPr>
        <w:spacing w:after="60"/>
      </w:pPr>
      <w:r>
        <w:rPr>
          <w:b/>
        </w:rPr>
        <w:t>Investment Reports:</w:t>
      </w:r>
      <w:r>
        <w:rPr/>
        <w:t xml:space="preserve"> Documentation of all institutional investments, including risk assessments and returns.</w:t>
      </w:r>
    </w:p>
    <w:p>
      <w:pPr>
        <w:numPr>
          <w:ilvl w:val="0"/>
          <w:numId w:val="90"/>
        </w:numPr>
        <w:spacing w:after="60"/>
      </w:pPr>
      <w:r>
        <w:rPr>
          <w:b/>
        </w:rPr>
        <w:t>Grants and Donations Records:</w:t>
      </w:r>
      <w:r>
        <w:rPr/>
        <w:t xml:space="preserve"> Documentation on any government or non-government funding or donations received by the institution.</w:t>
      </w:r>
    </w:p>
    <w:p>
      <w:pPr>
        <w:numPr>
          <w:ilvl w:val="0"/>
          <w:numId w:val="90"/>
        </w:numPr>
        <w:spacing w:after="60"/>
      </w:pPr>
      <w:r>
        <w:rPr>
          <w:b/>
        </w:rPr>
        <w:t>Capital Expenditure Proposals:</w:t>
      </w:r>
      <w:r>
        <w:rPr/>
        <w:t xml:space="preserve"> Detailed proposals for infrastructure, technology, and development expenditure, with cost-benefit analysis.</w:t>
      </w:r>
    </w:p>
    <w:p>
      <w:pPr>
        <w:pStyle w:val="Heading2"/>
      </w:pPr>
      <w:r>
        <w:rPr/>
        <w:t>Meeting Documentation</w:t>
      </w:r>
    </w:p>
    <w:p>
      <w:pPr>
        <w:numPr>
          <w:ilvl w:val="0"/>
          <w:numId w:val="90"/>
        </w:numPr>
        <w:spacing w:after="60"/>
      </w:pPr>
      <w:r>
        <w:rPr>
          <w:b/>
        </w:rPr>
        <w:t>Meeting Agendas:</w:t>
      </w:r>
      <w:r>
        <w:rPr/>
        <w:t xml:space="preserve"> Documented agendas for each finance committee meeting, including discussion points and key decisions.</w:t>
      </w:r>
    </w:p>
    <w:p>
      <w:pPr>
        <w:numPr>
          <w:ilvl w:val="0"/>
          <w:numId w:val="90"/>
        </w:numPr>
        <w:spacing w:after="60"/>
      </w:pPr>
      <w:r>
        <w:rPr>
          <w:b/>
        </w:rPr>
        <w:t>Minutes of Meetings:</w:t>
      </w:r>
      <w:r>
        <w:rPr/>
        <w:t xml:space="preserve"> Written records of each meeting, including decisions made, action items, and responsibilities assigned.</w:t>
      </w:r>
    </w:p>
    <w:p>
      <w:pPr>
        <w:numPr>
          <w:ilvl w:val="0"/>
          <w:numId w:val="90"/>
        </w:numPr>
        <w:spacing w:after="60"/>
      </w:pPr>
      <w:r>
        <w:rPr>
          <w:b/>
        </w:rPr>
        <w:t>Follow-up Actions:</w:t>
      </w:r>
      <w:r>
        <w:rPr/>
        <w:t xml:space="preserve"> A record of actions and resolutions from the previous meetings, ensuring that tasks are completed on time.</w:t>
      </w:r>
    </w:p>
    <w:p>
      <w:pPr>
        <w:pStyle w:val="Heading2"/>
      </w:pPr>
      <w:r>
        <w:rPr/>
        <w:t>Finance Committee Reporting</w:t>
      </w:r>
    </w:p>
    <w:p>
      <w:pPr>
        <w:numPr>
          <w:ilvl w:val="0"/>
          <w:numId w:val="90"/>
        </w:numPr>
        <w:spacing w:after="60"/>
      </w:pPr>
      <w:r>
        <w:rPr>
          <w:b/>
        </w:rPr>
        <w:t>To the Governing Body:</w:t>
      </w:r>
      <w:r>
        <w:rPr/>
        <w:t xml:space="preserve"> The Finance Committee should provide periodic reports to the institution’s Governing Body or Board of Trustees, summarizing the institution's financial position, challenges, and opportunities.</w:t>
      </w:r>
    </w:p>
    <w:p>
      <w:pPr>
        <w:numPr>
          <w:ilvl w:val="0"/>
          <w:numId w:val="90"/>
        </w:numPr>
        <w:spacing w:after="60"/>
      </w:pPr>
      <w:r>
        <w:rPr>
          <w:b/>
        </w:rPr>
        <w:t>To the Faculty and Staff:</w:t>
      </w:r>
      <w:r>
        <w:rPr/>
        <w:t xml:space="preserve"> Annual financial reports should be shared with faculty and staff to ensure transparency.</w:t>
      </w:r>
    </w:p>
    <w:p>
      <w:pPr>
        <w:numPr>
          <w:ilvl w:val="0"/>
          <w:numId w:val="90"/>
        </w:numPr>
        <w:spacing w:after="60"/>
      </w:pPr>
      <w:r>
        <w:rPr>
          <w:b/>
        </w:rPr>
        <w:t>To Regulatory Bodies:</w:t>
      </w:r>
      <w:r>
        <w:rPr/>
        <w:t xml:space="preserve"> Reports required by government bodies or accrediting organizations (e.g., NAAC, UGC) should be prepared and submitted as per guidelines.</w:t>
      </w:r>
    </w:p>
    <w:p>
      <w:pPr>
        <w:pStyle w:val="Heading2"/>
      </w:pPr>
      <w:r>
        <w:rPr/>
        <w:t>Periodicity of Finance Committee Meetings</w:t>
      </w:r>
    </w:p>
    <w:p>
      <w:pPr>
        <w:numPr>
          <w:ilvl w:val="0"/>
          <w:numId w:val="90"/>
        </w:numPr>
        <w:spacing w:after="60"/>
      </w:pPr>
      <w:r>
        <w:rPr>
          <w:b/>
        </w:rPr>
        <w:t>Quarterly:</w:t>
      </w:r>
      <w:r>
        <w:rPr/>
        <w:t xml:space="preserve"> Regular quarterly meetings to review financial performance and make necessary adjustments to the budget or financial strategies.</w:t>
      </w:r>
    </w:p>
    <w:p>
      <w:pPr>
        <w:numPr>
          <w:ilvl w:val="0"/>
          <w:numId w:val="90"/>
        </w:numPr>
        <w:spacing w:after="60"/>
      </w:pPr>
      <w:r>
        <w:rPr>
          <w:b/>
        </w:rPr>
        <w:t>Annually:</w:t>
      </w:r>
      <w:r>
        <w:rPr/>
        <w:t xml:space="preserve"> Annual budget planning and review meeting, including detailed discussions on long-term financial strategies, capital expenditures, and major financial decisions.</w:t>
      </w:r>
    </w:p>
    <w:p>
      <w:pPr>
        <w:numPr>
          <w:ilvl w:val="0"/>
          <w:numId w:val="90"/>
        </w:numPr>
        <w:spacing w:after="60"/>
      </w:pPr>
      <w:r>
        <w:rPr>
          <w:b/>
        </w:rPr>
        <w:t>Special Meetings:</w:t>
      </w:r>
      <w:r>
        <w:rPr/>
        <w:t xml:space="preserve"> As necessary, for urgent financial matters like unexpected expenses, grants, or major investments.</w:t>
      </w:r>
    </w:p>
    <w:p>
      <w:pPr>
        <w:pStyle w:val="Heading2"/>
      </w:pPr>
      <w:r>
        <w:rPr/>
        <w:t>Accountability Guidelines for the Finance Committee</w:t>
      </w:r>
    </w:p>
    <w:p>
      <w:pPr>
        <w:tabs>
          <w:tab w:pos="425" w:val="left"/>
        </w:tabs>
        <w:spacing w:after="60"/>
        <w:ind w:left="425" w:hanging="425"/>
      </w:pPr>
      <w:r>
        <w:rPr>
          <w:b/>
        </w:rPr>
        <w:t>1.</w:t>
      </w:r>
      <w:r>
        <w:rPr/>
        <w:tab/>
        <w:t>Reporting to the Governing Body:</w:t>
      </w:r>
    </w:p>
    <w:p>
      <w:pPr>
        <w:numPr>
          <w:ilvl w:val="1"/>
          <w:numId w:val="90"/>
        </w:numPr>
        <w:spacing w:after="60"/>
      </w:pPr>
      <w:r>
        <w:rPr/>
        <w:t xml:space="preserve">The Finance Committee is responsible for </w:t>
      </w:r>
      <w:r>
        <w:rPr>
          <w:b/>
        </w:rPr>
        <w:t>regularly reporting</w:t>
      </w:r>
      <w:r>
        <w:rPr/>
        <w:t xml:space="preserve"> its discussions and recommendations to the </w:t>
      </w:r>
      <w:r>
        <w:rPr>
          <w:b/>
        </w:rPr>
        <w:t>Governing Body</w:t>
      </w:r>
      <w:r>
        <w:rPr/>
        <w:t xml:space="preserve">. This is achieved by maintaining </w:t>
      </w:r>
      <w:r>
        <w:rPr>
          <w:b/>
        </w:rPr>
        <w:t>detailed meeting minutes</w:t>
      </w:r>
      <w:r>
        <w:rPr/>
        <w:t xml:space="preserve"> and providing comprehensive financial reports that outline the key financial decisions, budgets, and forecasts.</w:t>
      </w:r>
    </w:p>
    <w:p>
      <w:pPr>
        <w:numPr>
          <w:ilvl w:val="1"/>
          <w:numId w:val="90"/>
        </w:numPr>
        <w:spacing w:after="60"/>
      </w:pPr>
      <w:r>
        <w:rPr/>
        <w:t xml:space="preserve">These reports should ensure that the Governing Body is </w:t>
      </w:r>
      <w:r>
        <w:rPr>
          <w:b/>
        </w:rPr>
        <w:t>well-informed</w:t>
      </w:r>
      <w:r>
        <w:rPr/>
        <w:t xml:space="preserve"> of the institution’s financial health and any potential risks or issues that could affect its stability.</w:t>
      </w:r>
    </w:p>
    <w:p>
      <w:pPr>
        <w:tabs>
          <w:tab w:pos="425" w:val="left"/>
        </w:tabs>
        <w:spacing w:after="60"/>
        <w:ind w:left="425" w:hanging="425"/>
      </w:pPr>
      <w:r>
        <w:rPr>
          <w:b/>
        </w:rPr>
        <w:t>2.</w:t>
      </w:r>
      <w:r>
        <w:rPr/>
        <w:tab/>
        <w:t>Independent Review of Financial Matters:</w:t>
      </w:r>
    </w:p>
    <w:p>
      <w:pPr>
        <w:numPr>
          <w:ilvl w:val="1"/>
          <w:numId w:val="90"/>
        </w:numPr>
        <w:spacing w:after="60"/>
      </w:pPr>
      <w:r>
        <w:rPr/>
        <w:t xml:space="preserve">The Finance Committee is empowered to conduct independent reviews of financial matters without management present, if necessary. This ensures </w:t>
      </w:r>
      <w:r>
        <w:rPr>
          <w:b/>
        </w:rPr>
        <w:t>objectivity</w:t>
      </w:r>
      <w:r>
        <w:rPr/>
        <w:t xml:space="preserve"> and </w:t>
      </w:r>
      <w:r>
        <w:rPr>
          <w:b/>
        </w:rPr>
        <w:t>transparency</w:t>
      </w:r>
      <w:r>
        <w:rPr/>
        <w:t xml:space="preserve"> in the review process, especially when evaluating sensitive financial topics, such as audits, budgets, or discrepancies.</w:t>
      </w:r>
    </w:p>
    <w:p>
      <w:pPr>
        <w:tabs>
          <w:tab w:pos="425" w:val="left"/>
        </w:tabs>
        <w:spacing w:after="60"/>
        <w:ind w:left="425" w:hanging="425"/>
      </w:pPr>
      <w:r>
        <w:rPr>
          <w:b/>
        </w:rPr>
        <w:t>3.</w:t>
      </w:r>
      <w:r>
        <w:rPr/>
        <w:tab/>
        <w:t>Interaction with the Board Chair:</w:t>
      </w:r>
    </w:p>
    <w:p>
      <w:pPr>
        <w:numPr>
          <w:ilvl w:val="1"/>
          <w:numId w:val="90"/>
        </w:numPr>
        <w:spacing w:after="60"/>
      </w:pPr>
      <w:r>
        <w:rPr/>
        <w:t>The Chair of the Finance Committee must maintain clear communication with the Board Chair about any significant financial issues, challenges, or decisions requiring the board’s attention. This allows the board chair to be well-prepared for discussions in Governing Body meetings and ensures timely action on financial matters.</w:t>
      </w:r>
    </w:p>
    <w:p>
      <w:pPr>
        <w:tabs>
          <w:tab w:pos="425" w:val="left"/>
        </w:tabs>
        <w:spacing w:after="60"/>
        <w:ind w:left="425" w:hanging="425"/>
      </w:pPr>
      <w:r>
        <w:rPr>
          <w:b/>
        </w:rPr>
        <w:t>4.</w:t>
      </w:r>
      <w:r>
        <w:rPr/>
        <w:tab/>
        <w:t>Communication with the CEO/President:</w:t>
      </w:r>
    </w:p>
    <w:p>
      <w:pPr>
        <w:numPr>
          <w:ilvl w:val="1"/>
          <w:numId w:val="90"/>
        </w:numPr>
        <w:spacing w:after="60"/>
      </w:pPr>
      <w:r>
        <w:rPr/>
        <w:t>The Board Chair should keep the CEO/President informed about financial matters and any potential concerns raised by the Finance Committee. This helps maintain a transparent and consistent flow of information at all levels of leadership.</w:t>
      </w:r>
    </w:p>
    <w:p>
      <w:pPr>
        <w:tabs>
          <w:tab w:pos="425" w:val="left"/>
        </w:tabs>
        <w:spacing w:after="60"/>
        <w:ind w:left="425" w:hanging="425"/>
      </w:pPr>
      <w:r>
        <w:rPr>
          <w:b/>
        </w:rPr>
        <w:t>5.</w:t>
      </w:r>
      <w:r>
        <w:rPr/>
        <w:tab/>
        <w:t>Conflict of Interest in Financial Decisions:</w:t>
      </w:r>
    </w:p>
    <w:p>
      <w:pPr>
        <w:numPr>
          <w:ilvl w:val="1"/>
          <w:numId w:val="90"/>
        </w:numPr>
        <w:spacing w:after="60"/>
      </w:pPr>
      <w:r>
        <w:rPr/>
        <w:t xml:space="preserve">The Finance Committee is responsible for identifying and managing conflicts of </w:t>
      </w:r>
      <w:r>
        <w:rPr>
          <w:b/>
        </w:rPr>
        <w:t>interest</w:t>
      </w:r>
      <w:r>
        <w:rPr/>
        <w:t xml:space="preserve"> among committee members or staff involved in financial decisions. If a conflict is identified, the committee may request the affected individual to </w:t>
      </w:r>
      <w:r>
        <w:rPr>
          <w:b/>
        </w:rPr>
        <w:t>recuse themselves</w:t>
      </w:r>
      <w:r>
        <w:rPr/>
        <w:t xml:space="preserve"> from discussions or decision-making related to that matter to ensure impartiality and the integrity of financial processes.</w:t>
      </w:r>
    </w:p>
    <w:p>
      <w:pPr>
        <w:tabs>
          <w:tab w:pos="425" w:val="left"/>
        </w:tabs>
        <w:spacing w:after="60"/>
        <w:ind w:left="425" w:hanging="425"/>
      </w:pPr>
      <w:r>
        <w:rPr>
          <w:b/>
        </w:rPr>
        <w:t>6.</w:t>
      </w:r>
      <w:r>
        <w:rPr/>
        <w:tab/>
        <w:t>Ensuring Financial Compliance:</w:t>
      </w:r>
    </w:p>
    <w:p>
      <w:pPr>
        <w:numPr>
          <w:ilvl w:val="1"/>
          <w:numId w:val="90"/>
        </w:numPr>
        <w:spacing w:after="60"/>
      </w:pPr>
      <w:r>
        <w:rPr/>
        <w:t xml:space="preserve">The committee must ensure that the institution’s financial activities comply with relevant laws, regulations, and </w:t>
      </w:r>
      <w:r>
        <w:rPr>
          <w:b/>
        </w:rPr>
        <w:t>accreditation standards</w:t>
      </w:r>
      <w:r>
        <w:rPr/>
        <w:t>. This includes reviewing financial audits, overseeing financial controls, and ensuring the integrity of financial statements.</w:t>
      </w:r>
    </w:p>
    <w:p>
      <w:pPr>
        <w:numPr>
          <w:ilvl w:val="1"/>
          <w:numId w:val="90"/>
        </w:numPr>
        <w:spacing w:after="60"/>
      </w:pPr>
      <w:r>
        <w:rPr/>
        <w:t>The Finance Committee should also oversee risk management processes, ensuring that potential financial risks (e.g., cash flow issues, regulatory non-compliance, fraud risks) are adequately mitigated.</w:t>
      </w:r>
    </w:p>
    <w:p>
      <w:pPr>
        <w:tabs>
          <w:tab w:pos="425" w:val="left"/>
        </w:tabs>
        <w:spacing w:after="60"/>
        <w:ind w:left="425" w:hanging="425"/>
      </w:pPr>
      <w:r>
        <w:rPr>
          <w:b/>
        </w:rPr>
        <w:t>7.</w:t>
      </w:r>
      <w:r>
        <w:rPr/>
        <w:tab/>
        <w:t>Approval of Financial Plans:</w:t>
      </w:r>
    </w:p>
    <w:p>
      <w:pPr>
        <w:numPr>
          <w:ilvl w:val="1"/>
          <w:numId w:val="90"/>
        </w:numPr>
        <w:spacing w:after="60"/>
      </w:pPr>
      <w:r>
        <w:rPr/>
        <w:t>The Finance Committee is tasked with approving financial strategies, annual budgets, and long-term financial forecasts. All financial decisions should align with the institution's strategic objectives and ensure the effective use of resources.</w:t>
      </w:r>
    </w:p>
    <w:p>
      <w:pPr>
        <w:numPr>
          <w:ilvl w:val="1"/>
          <w:numId w:val="90"/>
        </w:numPr>
        <w:spacing w:after="60"/>
      </w:pPr>
      <w:r>
        <w:rPr/>
        <w:t>The committee is also responsible for monitoring and adjusting the institution's financial performance against the approved budget and making recommendations for any necessary adjustments.</w:t>
      </w:r>
    </w:p>
    <w:p>
      <w:pPr>
        <w:tabs>
          <w:tab w:pos="425" w:val="left"/>
        </w:tabs>
        <w:spacing w:after="60"/>
        <w:ind w:left="425" w:hanging="425"/>
      </w:pPr>
      <w:r>
        <w:rPr>
          <w:b/>
        </w:rPr>
        <w:t>8.</w:t>
      </w:r>
      <w:r>
        <w:rPr/>
        <w:tab/>
        <w:t>Oversight of Internal Controls and Audits:</w:t>
      </w:r>
    </w:p>
    <w:p>
      <w:pPr>
        <w:numPr>
          <w:ilvl w:val="1"/>
          <w:numId w:val="90"/>
        </w:numPr>
        <w:spacing w:after="60"/>
      </w:pPr>
      <w:r>
        <w:rPr/>
        <w:t>The committee ensures that adequate internal controls are in place to safeguard the institution’s assets and ensure compliance with financial regulations. This includes overseeing the internal audit processes and ensuring that external audits are conducted appropriately and issues are resolved.</w:t>
      </w:r>
    </w:p>
    <w:p>
      <w:pPr>
        <w:numPr>
          <w:ilvl w:val="1"/>
          <w:numId w:val="90"/>
        </w:numPr>
        <w:spacing w:after="60"/>
      </w:pPr>
      <w:r>
        <w:rPr/>
        <w:t>The Finance Committee is responsible for reviewing audit findings and ensuring that any financial discrepancies or concerns are addressed promptly.</w:t>
      </w:r>
    </w:p>
    <w:p>
      <w:pPr>
        <w:tabs>
          <w:tab w:pos="425" w:val="left"/>
        </w:tabs>
        <w:spacing w:after="60"/>
        <w:ind w:left="425" w:hanging="425"/>
      </w:pPr>
      <w:r>
        <w:rPr>
          <w:b/>
        </w:rPr>
        <w:t>9.</w:t>
      </w:r>
      <w:r>
        <w:rPr/>
        <w:tab/>
        <w:t>Transparency and Communication with Stakeholders:</w:t>
      </w:r>
    </w:p>
    <w:p>
      <w:pPr>
        <w:numPr>
          <w:ilvl w:val="1"/>
          <w:numId w:val="90"/>
        </w:numPr>
        <w:spacing w:after="60"/>
      </w:pPr>
      <w:r>
        <w:rPr/>
        <w:t>The Finance Committee ensures that there is transparency in the financial decision-making process, particularly with regard to budgeting, fundraising, and use of institutional funds. It should make the necessary financial information available to relevant stakeholders, such as faculty, staff, students, and donors, where appropriate.</w:t>
      </w:r>
    </w:p>
    <w:p>
      <w:pPr>
        <w:tabs>
          <w:tab w:pos="425" w:val="left"/>
        </w:tabs>
        <w:spacing w:after="60"/>
        <w:ind w:left="425" w:hanging="425"/>
      </w:pPr>
      <w:r>
        <w:rPr>
          <w:b/>
        </w:rPr>
        <w:t>10.</w:t>
      </w:r>
      <w:r>
        <w:rPr/>
        <w:tab/>
        <w:t>Regular Review of Financial Performance:</w:t>
      </w:r>
    </w:p>
    <w:p>
      <w:pPr>
        <w:numPr>
          <w:ilvl w:val="1"/>
          <w:numId w:val="90"/>
        </w:numPr>
        <w:spacing w:after="60"/>
      </w:pPr>
      <w:r>
        <w:rPr/>
        <w:t>The committee must regularly monitor and review the institution's financial performance in relation to the approved budget and long-term financial goals. The Finance Committee is responsible for reporting significant variances and proposing corrective actions when necessary.</w:t>
      </w:r>
    </w:p>
    <w:p>
      <w:pPr>
        <w:pStyle w:val="Heading2"/>
      </w:pPr>
      <w:r>
        <w:rPr/>
        <w:t>Budgeting and Control-Based Policies</w:t>
      </w:r>
    </w:p>
    <w:p>
      <w:pPr>
        <w:tabs>
          <w:tab w:pos="425" w:val="left"/>
        </w:tabs>
        <w:spacing w:after="60"/>
        <w:ind w:left="425" w:hanging="425"/>
      </w:pPr>
      <w:r>
        <w:rPr>
          <w:b/>
        </w:rPr>
        <w:t>1.</w:t>
      </w:r>
      <w:r>
        <w:rPr/>
        <w:tab/>
        <w:t>Advance Budget Notifications:</w:t>
      </w:r>
    </w:p>
    <w:p>
      <w:pPr>
        <w:numPr>
          <w:ilvl w:val="1"/>
          <w:numId w:val="90"/>
        </w:numPr>
        <w:spacing w:after="60"/>
      </w:pPr>
      <w:r>
        <w:rPr/>
        <w:t>The Finance Committee shall notify the financial budgets for the academic year, which must be made available to the departments six months ahead of the start of the academic year. This early notification ensures that all departments can plan and manage their finances effectively in line with institutional goals.</w:t>
      </w:r>
    </w:p>
    <w:p>
      <w:pPr>
        <w:tabs>
          <w:tab w:pos="425" w:val="left"/>
        </w:tabs>
        <w:spacing w:after="60"/>
        <w:ind w:left="425" w:hanging="425"/>
      </w:pPr>
      <w:r>
        <w:rPr>
          <w:b/>
        </w:rPr>
        <w:t>2.</w:t>
      </w:r>
      <w:r>
        <w:rPr/>
        <w:tab/>
        <w:t>Budget Submission Process for Organizational Units:</w:t>
      </w:r>
    </w:p>
    <w:p>
      <w:pPr>
        <w:numPr>
          <w:ilvl w:val="1"/>
          <w:numId w:val="90"/>
        </w:numPr>
        <w:spacing w:after="60"/>
      </w:pPr>
      <w:r>
        <w:rPr/>
        <w:t>Each organizational unit (e.g., departments, research centers) requiring financial resources to meet their operational, maintenance, and development expenses must submit a comprehensive financial plan five months before the academic year starts.</w:t>
      </w:r>
    </w:p>
    <w:p>
      <w:pPr>
        <w:numPr>
          <w:ilvl w:val="1"/>
          <w:numId w:val="90"/>
        </w:numPr>
        <w:spacing w:after="60"/>
      </w:pPr>
      <w:r>
        <w:rPr/>
        <w:t>The plan should outline:</w:t>
      </w:r>
    </w:p>
    <w:p>
      <w:pPr>
        <w:numPr>
          <w:ilvl w:val="2"/>
          <w:numId w:val="90"/>
        </w:numPr>
        <w:spacing w:after="60"/>
      </w:pPr>
      <w:r>
        <w:rPr>
          <w:b/>
        </w:rPr>
        <w:t>Operational Expenditure:</w:t>
      </w:r>
      <w:r>
        <w:rPr/>
        <w:t xml:space="preserve"> Costs for consumables.</w:t>
      </w:r>
    </w:p>
    <w:p>
      <w:pPr>
        <w:numPr>
          <w:ilvl w:val="2"/>
          <w:numId w:val="90"/>
        </w:numPr>
        <w:spacing w:after="60"/>
      </w:pPr>
      <w:r>
        <w:rPr>
          <w:b/>
        </w:rPr>
        <w:t>Maintenance Expenditure:</w:t>
      </w:r>
      <w:r>
        <w:rPr/>
        <w:t xml:space="preserve"> Costs for upkeep and servicing of physical infrastructure.</w:t>
      </w:r>
    </w:p>
    <w:p>
      <w:pPr>
        <w:numPr>
          <w:ilvl w:val="2"/>
          <w:numId w:val="90"/>
        </w:numPr>
        <w:spacing w:after="60"/>
      </w:pPr>
      <w:r>
        <w:rPr>
          <w:b/>
        </w:rPr>
        <w:t>Development Expenditure (Capital Expenditure):</w:t>
      </w:r>
      <w:r>
        <w:rPr/>
        <w:t xml:space="preserve"> Costs for expansion, upgrades, or infrastructure improvements.</w:t>
      </w:r>
    </w:p>
    <w:p>
      <w:pPr>
        <w:numPr>
          <w:ilvl w:val="1"/>
          <w:numId w:val="90"/>
        </w:numPr>
        <w:spacing w:after="60"/>
      </w:pPr>
      <w:r>
        <w:rPr/>
        <w:t>The plan should include detailed descriptions of the physical resources required, with proper specifications for each item.</w:t>
      </w:r>
    </w:p>
    <w:p>
      <w:pPr>
        <w:tabs>
          <w:tab w:pos="425" w:val="left"/>
        </w:tabs>
        <w:spacing w:after="60"/>
        <w:ind w:left="425" w:hanging="425"/>
      </w:pPr>
      <w:r>
        <w:rPr>
          <w:b/>
        </w:rPr>
        <w:t>3.</w:t>
      </w:r>
      <w:r>
        <w:rPr/>
        <w:tab/>
        <w:t>Financial Estimates for Resources:</w:t>
      </w:r>
    </w:p>
    <w:p>
      <w:pPr>
        <w:numPr>
          <w:ilvl w:val="1"/>
          <w:numId w:val="90"/>
        </w:numPr>
        <w:spacing w:after="60"/>
      </w:pPr>
      <w:r>
        <w:rPr/>
        <w:t>The Estimate Committee is tasked with preparing financial estimates for the required physical resources based on the submitted plans, ensuring that they align with budgetary constraints.</w:t>
      </w:r>
    </w:p>
    <w:p>
      <w:pPr>
        <w:tabs>
          <w:tab w:pos="425" w:val="left"/>
        </w:tabs>
        <w:spacing w:after="60"/>
        <w:ind w:left="425" w:hanging="425"/>
      </w:pPr>
      <w:r>
        <w:rPr>
          <w:b/>
        </w:rPr>
        <w:t>4.</w:t>
      </w:r>
      <w:r>
        <w:rPr/>
        <w:tab/>
        <w:t>Procurement Proposals:</w:t>
      </w:r>
    </w:p>
    <w:p>
      <w:pPr>
        <w:numPr>
          <w:ilvl w:val="1"/>
          <w:numId w:val="90"/>
        </w:numPr>
        <w:spacing w:after="60"/>
      </w:pPr>
      <w:r>
        <w:rPr/>
        <w:t>Organizational units requiring the purchase of goods or services must submit a procurement proposal to the Finance Officer. The Finance Officer is responsible for:</w:t>
      </w:r>
    </w:p>
    <w:p>
      <w:pPr>
        <w:numPr>
          <w:ilvl w:val="2"/>
          <w:numId w:val="90"/>
        </w:numPr>
        <w:spacing w:after="60"/>
      </w:pPr>
      <w:r>
        <w:rPr/>
        <w:t>Verifying that the proposal is in line with the approved budgetary provisions.</w:t>
      </w:r>
    </w:p>
    <w:p>
      <w:pPr>
        <w:numPr>
          <w:ilvl w:val="2"/>
          <w:numId w:val="90"/>
        </w:numPr>
        <w:spacing w:after="60"/>
      </w:pPr>
      <w:r>
        <w:rPr/>
        <w:t>Confirming the availability of funds.</w:t>
      </w:r>
    </w:p>
    <w:p>
      <w:pPr>
        <w:numPr>
          <w:ilvl w:val="2"/>
          <w:numId w:val="90"/>
        </w:numPr>
        <w:spacing w:after="60"/>
      </w:pPr>
      <w:r>
        <w:rPr/>
        <w:t>Submitting recommendations to the Finance Committee for scrutiny.</w:t>
      </w:r>
    </w:p>
    <w:p>
      <w:pPr>
        <w:numPr>
          <w:ilvl w:val="2"/>
          <w:numId w:val="90"/>
        </w:numPr>
        <w:spacing w:after="60"/>
      </w:pPr>
      <w:r>
        <w:rPr/>
        <w:t>The Finance Committee will review the proposal and, after due consideration, seek approval from the Chairman.</w:t>
      </w:r>
    </w:p>
    <w:p>
      <w:pPr>
        <w:numPr>
          <w:ilvl w:val="1"/>
          <w:numId w:val="90"/>
        </w:numPr>
        <w:spacing w:after="60"/>
      </w:pPr>
      <w:r>
        <w:rPr/>
        <w:t>Once approved, the proposal is forwarded to the Finance Officer, the In-charge Purchase, and the respective organizational unit to proceed with the procurement process.</w:t>
      </w:r>
    </w:p>
    <w:p>
      <w:pPr>
        <w:tabs>
          <w:tab w:pos="425" w:val="left"/>
        </w:tabs>
        <w:spacing w:after="60"/>
        <w:ind w:left="425" w:hanging="425"/>
      </w:pPr>
      <w:r>
        <w:rPr>
          <w:b/>
        </w:rPr>
        <w:t>5.</w:t>
      </w:r>
      <w:r>
        <w:rPr/>
        <w:tab/>
        <w:t>Procurement Process:</w:t>
      </w:r>
    </w:p>
    <w:p>
      <w:pPr>
        <w:numPr>
          <w:ilvl w:val="1"/>
          <w:numId w:val="90"/>
        </w:numPr>
        <w:spacing w:after="60"/>
      </w:pPr>
      <w:r>
        <w:rPr/>
        <w:t>The In-charge Purchase shall follow the standard procurement procedures to ensure that purchases are made in an efficient, transparent, and cost-effective manner. The Central Stores will manage the distribution of procured items, providing the necessary goods to the respective organizational units through an issue note.</w:t>
      </w:r>
    </w:p>
    <w:p>
      <w:pPr>
        <w:tabs>
          <w:tab w:pos="425" w:val="left"/>
        </w:tabs>
        <w:spacing w:after="60"/>
        <w:ind w:left="425" w:hanging="425"/>
      </w:pPr>
      <w:r>
        <w:rPr>
          <w:b/>
        </w:rPr>
        <w:t>6.</w:t>
      </w:r>
      <w:r>
        <w:rPr/>
        <w:tab/>
        <w:t>Construction and Infrastructure Procurement:</w:t>
      </w:r>
    </w:p>
    <w:p>
      <w:pPr>
        <w:numPr>
          <w:ilvl w:val="1"/>
          <w:numId w:val="90"/>
        </w:numPr>
        <w:spacing w:after="60"/>
      </w:pPr>
      <w:r>
        <w:rPr/>
        <w:t>For construction projects, the In-charge Construction will prepare a detailed engineering proposal outlining the necessary materials and services required for the project.</w:t>
      </w:r>
    </w:p>
    <w:p>
      <w:pPr>
        <w:numPr>
          <w:ilvl w:val="1"/>
          <w:numId w:val="90"/>
        </w:numPr>
        <w:spacing w:after="60"/>
      </w:pPr>
      <w:r>
        <w:rPr/>
        <w:t>This proposal is submitted to the Finance Officer, who verifies the proposal with reference to budgetary provisions. The verified proposal is then forwarded to the Finance Committee, which seeks approval from the President.</w:t>
      </w:r>
    </w:p>
    <w:p>
      <w:pPr>
        <w:numPr>
          <w:ilvl w:val="1"/>
          <w:numId w:val="90"/>
        </w:numPr>
        <w:spacing w:after="60"/>
      </w:pPr>
      <w:r>
        <w:rPr/>
        <w:t>After receiving approval, the proposal is sent back to the Estimate Committee and Finance Officer for further processing.</w:t>
      </w:r>
    </w:p>
    <w:p>
      <w:pPr>
        <w:tabs>
          <w:tab w:pos="425" w:val="left"/>
        </w:tabs>
        <w:spacing w:after="60"/>
        <w:ind w:left="425" w:hanging="425"/>
      </w:pPr>
      <w:r>
        <w:rPr>
          <w:b/>
        </w:rPr>
        <w:t>7.</w:t>
      </w:r>
      <w:r>
        <w:rPr/>
        <w:tab/>
        <w:t>Expenditure Control:</w:t>
      </w:r>
    </w:p>
    <w:p>
      <w:pPr>
        <w:numPr>
          <w:ilvl w:val="1"/>
          <w:numId w:val="90"/>
        </w:numPr>
        <w:spacing w:after="60"/>
      </w:pPr>
      <w:r>
        <w:rPr/>
        <w:t>All expenditure must strictly align with the approved budget. Any expenditure related to the purchase of goods, services, or conducting activities requires prior approval from the Principal/Chairman.</w:t>
      </w:r>
    </w:p>
    <w:p>
      <w:pPr>
        <w:numPr>
          <w:ilvl w:val="1"/>
          <w:numId w:val="90"/>
        </w:numPr>
        <w:spacing w:after="60"/>
      </w:pPr>
      <w:r>
        <w:rPr/>
        <w:t>The institution reserves the right to re-appropriate the budgeted expenditure as necessary, based on utility, necessity, or for other unforeseen reasons. This ensures financial flexibility and adaptability to changing circumstances during the academic year.</w:t>
      </w:r>
    </w:p>
    <w:p>
      <w:pPr>
        <w:pStyle w:val="Heading2"/>
      </w:pPr>
      <w:r>
        <w:rPr/>
        <w:t>Best Practices of Finance Committee</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850"/>
        <w:gridCol w:w="2835"/>
        <w:gridCol w:w="5556"/>
      </w:tblGrid>
      <w:tr>
        <w:trPr>
          <w:cantSplit w:val="true"/>
          <w:tblHeader w:val="true"/>
        </w:trPr>
        <w:tc>
          <w:tcPr>
            <w:tcW w:type="dxa" w:w="850"/>
            <w:shd w:val="clear" w:color="auto" w:fill="1F3A5F"/>
          </w:tcPr>
          <w:p>
            <w:pPr>
              <w:spacing w:after="20" w:before="20" w:line="240" w:lineRule="auto"/>
              <w:jc w:val="left"/>
            </w:pPr>
            <w:r>
              <w:rPr>
                <w:b/>
                <w:color w:val="FFFFFF"/>
                <w:sz w:val="20"/>
              </w:rPr>
              <w:t>S. No.</w:t>
            </w:r>
          </w:p>
        </w:tc>
        <w:tc>
          <w:tcPr>
            <w:tcW w:type="dxa" w:w="2835"/>
            <w:shd w:val="clear" w:color="auto" w:fill="1F3A5F"/>
          </w:tcPr>
          <w:p>
            <w:pPr>
              <w:spacing w:after="20" w:before="20" w:line="240" w:lineRule="auto"/>
              <w:jc w:val="left"/>
            </w:pPr>
            <w:r>
              <w:rPr>
                <w:b/>
                <w:color w:val="FFFFFF"/>
                <w:sz w:val="20"/>
              </w:rPr>
              <w:t>Best Practice</w:t>
            </w:r>
          </w:p>
        </w:tc>
        <w:tc>
          <w:tcPr>
            <w:tcW w:type="dxa" w:w="5556"/>
            <w:shd w:val="clear" w:color="auto" w:fill="1F3A5F"/>
          </w:tcPr>
          <w:p>
            <w:pPr>
              <w:spacing w:after="20" w:before="20" w:line="240" w:lineRule="auto"/>
              <w:jc w:val="left"/>
            </w:pPr>
            <w:r>
              <w:rPr>
                <w:b/>
                <w:color w:val="FFFFFF"/>
                <w:sz w:val="20"/>
              </w:rPr>
              <w:t>Description</w:t>
            </w:r>
          </w:p>
        </w:tc>
      </w:tr>
      <w:tr>
        <w:trPr>
          <w:cantSplit w:val="true"/>
        </w:trPr>
        <w:tc>
          <w:tcPr>
            <w:tcW w:type="dxa" w:w="850"/>
          </w:tcPr>
          <w:p>
            <w:pPr>
              <w:spacing w:after="20" w:before="20" w:line="240" w:lineRule="auto"/>
              <w:jc w:val="left"/>
            </w:pPr>
            <w:r>
              <w:rPr>
                <w:sz w:val="20"/>
              </w:rPr>
              <w:t>1</w:t>
            </w:r>
          </w:p>
        </w:tc>
        <w:tc>
          <w:tcPr>
            <w:tcW w:type="dxa" w:w="2835"/>
          </w:tcPr>
          <w:p>
            <w:pPr>
              <w:spacing w:after="20" w:before="20" w:line="240" w:lineRule="auto"/>
              <w:jc w:val="left"/>
            </w:pPr>
            <w:r>
              <w:rPr>
                <w:sz w:val="20"/>
              </w:rPr>
              <w:t>Transparent Budgeting Process</w:t>
            </w:r>
          </w:p>
        </w:tc>
        <w:tc>
          <w:tcPr>
            <w:tcW w:type="dxa" w:w="5556"/>
          </w:tcPr>
          <w:p>
            <w:pPr>
              <w:spacing w:after="20" w:before="20" w:line="240" w:lineRule="auto"/>
              <w:jc w:val="left"/>
            </w:pPr>
            <w:r>
              <w:rPr>
                <w:sz w:val="20"/>
              </w:rPr>
              <w:t>Budget preparation is participative, involving department heads, and aligned with institutional strategic goals.</w:t>
            </w:r>
          </w:p>
        </w:tc>
      </w:tr>
      <w:tr>
        <w:trPr>
          <w:cantSplit w:val="true"/>
        </w:trPr>
        <w:tc>
          <w:tcPr>
            <w:tcW w:type="dxa" w:w="850"/>
            <w:shd w:val="clear" w:color="auto" w:fill="E8EEF5"/>
          </w:tcPr>
          <w:p>
            <w:pPr>
              <w:spacing w:after="20" w:before="20" w:line="240" w:lineRule="auto"/>
              <w:jc w:val="left"/>
            </w:pPr>
            <w:r>
              <w:rPr>
                <w:sz w:val="20"/>
              </w:rPr>
              <w:t>2</w:t>
            </w:r>
          </w:p>
        </w:tc>
        <w:tc>
          <w:tcPr>
            <w:tcW w:type="dxa" w:w="2835"/>
            <w:shd w:val="clear" w:color="auto" w:fill="E8EEF5"/>
          </w:tcPr>
          <w:p>
            <w:pPr>
              <w:spacing w:after="20" w:before="20" w:line="240" w:lineRule="auto"/>
              <w:jc w:val="left"/>
            </w:pPr>
            <w:r>
              <w:rPr>
                <w:sz w:val="20"/>
              </w:rPr>
              <w:t>Quarterly Financial Reviews</w:t>
            </w:r>
          </w:p>
        </w:tc>
        <w:tc>
          <w:tcPr>
            <w:tcW w:type="dxa" w:w="5556"/>
            <w:shd w:val="clear" w:color="auto" w:fill="E8EEF5"/>
          </w:tcPr>
          <w:p>
            <w:pPr>
              <w:spacing w:after="20" w:before="20" w:line="240" w:lineRule="auto"/>
              <w:jc w:val="left"/>
            </w:pPr>
            <w:r>
              <w:rPr>
                <w:sz w:val="20"/>
              </w:rPr>
              <w:t>Conducts regular reviews to track budget utilization, forecast deviations, and suggest corrective actions.</w:t>
            </w:r>
          </w:p>
        </w:tc>
      </w:tr>
      <w:tr>
        <w:trPr>
          <w:cantSplit w:val="true"/>
        </w:trPr>
        <w:tc>
          <w:tcPr>
            <w:tcW w:type="dxa" w:w="850"/>
          </w:tcPr>
          <w:p>
            <w:pPr>
              <w:spacing w:after="20" w:before="20" w:line="240" w:lineRule="auto"/>
              <w:jc w:val="left"/>
            </w:pPr>
            <w:r>
              <w:rPr>
                <w:sz w:val="20"/>
              </w:rPr>
              <w:t>3</w:t>
            </w:r>
          </w:p>
        </w:tc>
        <w:tc>
          <w:tcPr>
            <w:tcW w:type="dxa" w:w="2835"/>
          </w:tcPr>
          <w:p>
            <w:pPr>
              <w:spacing w:after="20" w:before="20" w:line="240" w:lineRule="auto"/>
              <w:jc w:val="left"/>
            </w:pPr>
            <w:r>
              <w:rPr>
                <w:sz w:val="20"/>
              </w:rPr>
              <w:t>Digital Financial Management</w:t>
            </w:r>
          </w:p>
        </w:tc>
        <w:tc>
          <w:tcPr>
            <w:tcW w:type="dxa" w:w="5556"/>
          </w:tcPr>
          <w:p>
            <w:pPr>
              <w:spacing w:after="20" w:before="20" w:line="240" w:lineRule="auto"/>
              <w:jc w:val="left"/>
            </w:pPr>
            <w:r>
              <w:rPr>
                <w:sz w:val="20"/>
              </w:rPr>
              <w:t>Uses ERP or finance software to manage accounts, payroll, procurement, and auditing processes digitally.</w:t>
            </w:r>
          </w:p>
        </w:tc>
      </w:tr>
      <w:tr>
        <w:trPr>
          <w:cantSplit w:val="true"/>
        </w:trPr>
        <w:tc>
          <w:tcPr>
            <w:tcW w:type="dxa" w:w="850"/>
            <w:shd w:val="clear" w:color="auto" w:fill="E8EEF5"/>
          </w:tcPr>
          <w:p>
            <w:pPr>
              <w:spacing w:after="20" w:before="20" w:line="240" w:lineRule="auto"/>
              <w:jc w:val="left"/>
            </w:pPr>
            <w:r>
              <w:rPr>
                <w:sz w:val="20"/>
              </w:rPr>
              <w:t>4</w:t>
            </w:r>
          </w:p>
        </w:tc>
        <w:tc>
          <w:tcPr>
            <w:tcW w:type="dxa" w:w="2835"/>
            <w:shd w:val="clear" w:color="auto" w:fill="E8EEF5"/>
          </w:tcPr>
          <w:p>
            <w:pPr>
              <w:spacing w:after="20" w:before="20" w:line="240" w:lineRule="auto"/>
              <w:jc w:val="left"/>
            </w:pPr>
            <w:r>
              <w:rPr>
                <w:sz w:val="20"/>
              </w:rPr>
              <w:t>Resource Mobilization Strategy</w:t>
            </w:r>
          </w:p>
        </w:tc>
        <w:tc>
          <w:tcPr>
            <w:tcW w:type="dxa" w:w="5556"/>
            <w:shd w:val="clear" w:color="auto" w:fill="E8EEF5"/>
          </w:tcPr>
          <w:p>
            <w:pPr>
              <w:spacing w:after="20" w:before="20" w:line="240" w:lineRule="auto"/>
              <w:jc w:val="left"/>
            </w:pPr>
            <w:r>
              <w:rPr>
                <w:sz w:val="20"/>
              </w:rPr>
              <w:t>Diversifies income sources through consultancy, research funding, alumni donations, and industry tie-ups.</w:t>
            </w:r>
          </w:p>
        </w:tc>
      </w:tr>
      <w:tr>
        <w:trPr>
          <w:cantSplit w:val="true"/>
        </w:trPr>
        <w:tc>
          <w:tcPr>
            <w:tcW w:type="dxa" w:w="850"/>
          </w:tcPr>
          <w:p>
            <w:pPr>
              <w:spacing w:after="20" w:before="20" w:line="240" w:lineRule="auto"/>
              <w:jc w:val="left"/>
            </w:pPr>
            <w:r>
              <w:rPr>
                <w:sz w:val="20"/>
              </w:rPr>
              <w:t>5</w:t>
            </w:r>
          </w:p>
        </w:tc>
        <w:tc>
          <w:tcPr>
            <w:tcW w:type="dxa" w:w="2835"/>
          </w:tcPr>
          <w:p>
            <w:pPr>
              <w:spacing w:after="20" w:before="20" w:line="240" w:lineRule="auto"/>
              <w:jc w:val="left"/>
            </w:pPr>
            <w:r>
              <w:rPr>
                <w:sz w:val="20"/>
              </w:rPr>
              <w:t>Cost Optimization Measures</w:t>
            </w:r>
          </w:p>
        </w:tc>
        <w:tc>
          <w:tcPr>
            <w:tcW w:type="dxa" w:w="5556"/>
          </w:tcPr>
          <w:p>
            <w:pPr>
              <w:spacing w:after="20" w:before="20" w:line="240" w:lineRule="auto"/>
              <w:jc w:val="left"/>
            </w:pPr>
            <w:r>
              <w:rPr>
                <w:sz w:val="20"/>
              </w:rPr>
              <w:t>Promotes energy efficiency, paperless operations, and procurement through e-tendering to reduce costs.</w:t>
            </w:r>
          </w:p>
        </w:tc>
      </w:tr>
      <w:tr>
        <w:trPr>
          <w:cantSplit w:val="true"/>
        </w:trPr>
        <w:tc>
          <w:tcPr>
            <w:tcW w:type="dxa" w:w="850"/>
            <w:shd w:val="clear" w:color="auto" w:fill="E8EEF5"/>
          </w:tcPr>
          <w:p>
            <w:pPr>
              <w:spacing w:after="20" w:before="20" w:line="240" w:lineRule="auto"/>
              <w:jc w:val="left"/>
            </w:pPr>
            <w:r>
              <w:rPr>
                <w:sz w:val="20"/>
              </w:rPr>
              <w:t>6</w:t>
            </w:r>
          </w:p>
        </w:tc>
        <w:tc>
          <w:tcPr>
            <w:tcW w:type="dxa" w:w="2835"/>
            <w:shd w:val="clear" w:color="auto" w:fill="E8EEF5"/>
          </w:tcPr>
          <w:p>
            <w:pPr>
              <w:spacing w:after="20" w:before="20" w:line="240" w:lineRule="auto"/>
              <w:jc w:val="left"/>
            </w:pPr>
            <w:r>
              <w:rPr>
                <w:sz w:val="20"/>
              </w:rPr>
              <w:t>Financial Audit &amp; Compliance</w:t>
            </w:r>
          </w:p>
        </w:tc>
        <w:tc>
          <w:tcPr>
            <w:tcW w:type="dxa" w:w="5556"/>
            <w:shd w:val="clear" w:color="auto" w:fill="E8EEF5"/>
          </w:tcPr>
          <w:p>
            <w:pPr>
              <w:spacing w:after="20" w:before="20" w:line="240" w:lineRule="auto"/>
              <w:jc w:val="left"/>
            </w:pPr>
            <w:r>
              <w:rPr>
                <w:sz w:val="20"/>
              </w:rPr>
              <w:t>Ensures timely internal and external audits and maintains compliance with UGC, AICTE, and income tax regulations.</w:t>
            </w:r>
          </w:p>
        </w:tc>
      </w:tr>
      <w:tr>
        <w:trPr>
          <w:cantSplit w:val="true"/>
        </w:trPr>
        <w:tc>
          <w:tcPr>
            <w:tcW w:type="dxa" w:w="850"/>
          </w:tcPr>
          <w:p>
            <w:pPr>
              <w:spacing w:after="20" w:before="20" w:line="240" w:lineRule="auto"/>
              <w:jc w:val="left"/>
            </w:pPr>
            <w:r>
              <w:rPr>
                <w:sz w:val="20"/>
              </w:rPr>
              <w:t>7</w:t>
            </w:r>
          </w:p>
        </w:tc>
        <w:tc>
          <w:tcPr>
            <w:tcW w:type="dxa" w:w="2835"/>
          </w:tcPr>
          <w:p>
            <w:pPr>
              <w:spacing w:after="20" w:before="20" w:line="240" w:lineRule="auto"/>
              <w:jc w:val="left"/>
            </w:pPr>
            <w:r>
              <w:rPr>
                <w:sz w:val="20"/>
              </w:rPr>
              <w:t>Contingency Planning</w:t>
            </w:r>
          </w:p>
        </w:tc>
        <w:tc>
          <w:tcPr>
            <w:tcW w:type="dxa" w:w="5556"/>
          </w:tcPr>
          <w:p>
            <w:pPr>
              <w:spacing w:after="20" w:before="20" w:line="240" w:lineRule="auto"/>
              <w:jc w:val="left"/>
            </w:pPr>
            <w:r>
              <w:rPr>
                <w:sz w:val="20"/>
              </w:rPr>
              <w:t>Maintains a reserve or emergency fund for unforeseen expenses and financial crises.</w:t>
            </w:r>
          </w:p>
        </w:tc>
      </w:tr>
      <w:tr>
        <w:trPr>
          <w:cantSplit w:val="true"/>
        </w:trPr>
        <w:tc>
          <w:tcPr>
            <w:tcW w:type="dxa" w:w="850"/>
            <w:shd w:val="clear" w:color="auto" w:fill="E8EEF5"/>
          </w:tcPr>
          <w:p>
            <w:pPr>
              <w:spacing w:after="20" w:before="20" w:line="240" w:lineRule="auto"/>
              <w:jc w:val="left"/>
            </w:pPr>
            <w:r>
              <w:rPr>
                <w:sz w:val="20"/>
              </w:rPr>
              <w:t>8</w:t>
            </w:r>
          </w:p>
        </w:tc>
        <w:tc>
          <w:tcPr>
            <w:tcW w:type="dxa" w:w="2835"/>
            <w:shd w:val="clear" w:color="auto" w:fill="E8EEF5"/>
          </w:tcPr>
          <w:p>
            <w:pPr>
              <w:spacing w:after="20" w:before="20" w:line="240" w:lineRule="auto"/>
              <w:jc w:val="left"/>
            </w:pPr>
            <w:r>
              <w:rPr>
                <w:sz w:val="20"/>
              </w:rPr>
              <w:t>Support for Academic Excellence</w:t>
            </w:r>
          </w:p>
        </w:tc>
        <w:tc>
          <w:tcPr>
            <w:tcW w:type="dxa" w:w="5556"/>
            <w:shd w:val="clear" w:color="auto" w:fill="E8EEF5"/>
          </w:tcPr>
          <w:p>
            <w:pPr>
              <w:spacing w:after="20" w:before="20" w:line="240" w:lineRule="auto"/>
              <w:jc w:val="left"/>
            </w:pPr>
            <w:r>
              <w:rPr>
                <w:sz w:val="20"/>
              </w:rPr>
              <w:t>Allocates funds for faculty development, research, student scholarships, and infrastructure upgrades.</w:t>
            </w:r>
          </w:p>
        </w:tc>
      </w:tr>
      <w:tr>
        <w:trPr>
          <w:cantSplit w:val="true"/>
        </w:trPr>
        <w:tc>
          <w:tcPr>
            <w:tcW w:type="dxa" w:w="850"/>
          </w:tcPr>
          <w:p>
            <w:pPr>
              <w:spacing w:after="20" w:before="20" w:line="240" w:lineRule="auto"/>
              <w:jc w:val="left"/>
            </w:pPr>
            <w:r>
              <w:rPr>
                <w:sz w:val="20"/>
              </w:rPr>
              <w:t>9</w:t>
            </w:r>
          </w:p>
        </w:tc>
        <w:tc>
          <w:tcPr>
            <w:tcW w:type="dxa" w:w="2835"/>
          </w:tcPr>
          <w:p>
            <w:pPr>
              <w:spacing w:after="20" w:before="20" w:line="240" w:lineRule="auto"/>
              <w:jc w:val="left"/>
            </w:pPr>
            <w:r>
              <w:rPr>
                <w:sz w:val="20"/>
              </w:rPr>
              <w:t>Performance-Based Funding</w:t>
            </w:r>
          </w:p>
        </w:tc>
        <w:tc>
          <w:tcPr>
            <w:tcW w:type="dxa" w:w="5556"/>
          </w:tcPr>
          <w:p>
            <w:pPr>
              <w:spacing w:after="20" w:before="20" w:line="240" w:lineRule="auto"/>
              <w:jc w:val="left"/>
            </w:pPr>
            <w:r>
              <w:rPr>
                <w:sz w:val="20"/>
              </w:rPr>
              <w:t>Introduces incentives for departments based on academic and research performance.</w:t>
            </w:r>
          </w:p>
        </w:tc>
      </w:tr>
      <w:tr>
        <w:trPr>
          <w:cantSplit w:val="true"/>
        </w:trPr>
        <w:tc>
          <w:tcPr>
            <w:tcW w:type="dxa" w:w="850"/>
            <w:shd w:val="clear" w:color="auto" w:fill="E8EEF5"/>
          </w:tcPr>
          <w:p>
            <w:pPr>
              <w:spacing w:after="20" w:before="20" w:line="240" w:lineRule="auto"/>
              <w:jc w:val="left"/>
            </w:pPr>
            <w:r>
              <w:rPr>
                <w:sz w:val="20"/>
              </w:rPr>
              <w:t>10</w:t>
            </w:r>
          </w:p>
        </w:tc>
        <w:tc>
          <w:tcPr>
            <w:tcW w:type="dxa" w:w="2835"/>
            <w:shd w:val="clear" w:color="auto" w:fill="E8EEF5"/>
          </w:tcPr>
          <w:p>
            <w:pPr>
              <w:spacing w:after="20" w:before="20" w:line="240" w:lineRule="auto"/>
              <w:jc w:val="left"/>
            </w:pPr>
            <w:r>
              <w:rPr>
                <w:sz w:val="20"/>
              </w:rPr>
              <w:t>Publication of Annual Financial Reports</w:t>
            </w:r>
          </w:p>
        </w:tc>
        <w:tc>
          <w:tcPr>
            <w:tcW w:type="dxa" w:w="5556"/>
            <w:shd w:val="clear" w:color="auto" w:fill="E8EEF5"/>
          </w:tcPr>
          <w:p>
            <w:pPr>
              <w:spacing w:after="20" w:before="20" w:line="240" w:lineRule="auto"/>
              <w:jc w:val="left"/>
            </w:pPr>
            <w:r>
              <w:rPr>
                <w:sz w:val="20"/>
              </w:rPr>
              <w:t>Publishes audited statements annually and shares them with stakeholders to enhance accountability and trust.</w:t>
            </w:r>
          </w:p>
        </w:tc>
      </w:tr>
    </w:tbl>
    <w:p>
      <w:pPr>
        <w:spacing w:after="80" w:line="240" w:lineRule="auto"/>
      </w:pPr>
    </w:p>
    <w:p>
      <w:pPr>
        <w:numPr>
          <w:ilvl w:val="0"/>
          <w:numId w:val="90"/>
        </w:numPr>
        <w:spacing w:after="60"/>
      </w:pPr>
      <w:r>
        <w:rPr/>
        <w:t>Maintain a transparent accounting system</w:t>
      </w:r>
    </w:p>
    <w:p>
      <w:pPr>
        <w:numPr>
          <w:ilvl w:val="0"/>
          <w:numId w:val="90"/>
        </w:numPr>
        <w:spacing w:after="60"/>
      </w:pPr>
      <w:r>
        <w:rPr/>
        <w:t>Digitize budget and expense tracking</w:t>
      </w:r>
    </w:p>
    <w:p>
      <w:pPr>
        <w:numPr>
          <w:ilvl w:val="0"/>
          <w:numId w:val="90"/>
        </w:numPr>
        <w:spacing w:after="60"/>
      </w:pPr>
      <w:r>
        <w:rPr/>
        <w:t>Publish annual financial statements</w:t>
      </w:r>
    </w:p>
    <w:p>
      <w:pPr>
        <w:numPr>
          <w:ilvl w:val="0"/>
          <w:numId w:val="90"/>
        </w:numPr>
        <w:spacing w:after="60"/>
      </w:pPr>
      <w:r>
        <w:rPr/>
        <w:t>Ensure periodic financial review by Governing Body</w:t>
      </w:r>
    </w:p>
    <w:p>
      <w:pPr>
        <w:numPr>
          <w:ilvl w:val="0"/>
          <w:numId w:val="90"/>
        </w:numPr>
        <w:spacing w:after="60"/>
      </w:pPr>
      <w:r>
        <w:rPr/>
        <w:t>Align financial policies with academic goals (e.g., funding for FDPs, MOOCs, internships, labs)</w:t>
      </w:r>
    </w:p>
    <w:p>
      <w:pPr>
        <w:pStyle w:val="Heading2"/>
      </w:pPr>
      <w:r>
        <w:rPr/>
        <w:t>Challenges Faced by the Finance Committee</w:t>
      </w:r>
    </w:p>
    <w:p>
      <w:pPr>
        <w:numPr>
          <w:ilvl w:val="0"/>
          <w:numId w:val="90"/>
        </w:numPr>
        <w:spacing w:after="60"/>
      </w:pPr>
      <w:r>
        <w:rPr>
          <w:b/>
        </w:rPr>
        <w:t>Revenue Constraints:</w:t>
      </w:r>
      <w:r>
        <w:rPr/>
        <w:t xml:space="preserve"> Difficulty in generating sufficient revenue to meet the institution's growing needs.</w:t>
      </w:r>
    </w:p>
    <w:p>
      <w:pPr>
        <w:numPr>
          <w:ilvl w:val="0"/>
          <w:numId w:val="90"/>
        </w:numPr>
        <w:spacing w:after="60"/>
      </w:pPr>
      <w:r>
        <w:rPr>
          <w:b/>
        </w:rPr>
        <w:t>Cost Escalation:</w:t>
      </w:r>
      <w:r>
        <w:rPr/>
        <w:t xml:space="preserve"> Increased operational costs that are not in line with income generation.</w:t>
      </w:r>
    </w:p>
    <w:p>
      <w:pPr>
        <w:numPr>
          <w:ilvl w:val="0"/>
          <w:numId w:val="90"/>
        </w:numPr>
        <w:spacing w:after="60"/>
      </w:pPr>
      <w:r>
        <w:rPr>
          <w:b/>
        </w:rPr>
        <w:t>Compliance with Regulatory Changes:</w:t>
      </w:r>
      <w:r>
        <w:rPr/>
        <w:t xml:space="preserve"> Adapting to frequent changes in financial regulations and reporting requirements.</w:t>
      </w:r>
    </w:p>
    <w:p>
      <w:pPr>
        <w:numPr>
          <w:ilvl w:val="0"/>
          <w:numId w:val="90"/>
        </w:numPr>
        <w:spacing w:after="60"/>
      </w:pPr>
      <w:r>
        <w:rPr>
          <w:b/>
        </w:rPr>
        <w:t>Investment Risks:</w:t>
      </w:r>
      <w:r>
        <w:rPr/>
        <w:t xml:space="preserve"> Balancing risk and return in institutional investments.</w:t>
      </w:r>
    </w:p>
    <w:p>
      <w:pPr>
        <w:pStyle w:val="Heading2"/>
      </w:pPr>
      <w:r>
        <w:rPr/>
        <w:t>Financial Planning for Future</w:t>
      </w:r>
    </w:p>
    <w:p>
      <w:pPr>
        <w:numPr>
          <w:ilvl w:val="0"/>
          <w:numId w:val="90"/>
        </w:numPr>
        <w:spacing w:after="60"/>
      </w:pPr>
      <w:r>
        <w:rPr>
          <w:b/>
        </w:rPr>
        <w:t>Growth Strategies:</w:t>
      </w:r>
      <w:r>
        <w:rPr/>
        <w:t xml:space="preserve"> Identify ways to enhance revenue generation, including strategic partnerships, endowment funds, or philanthropic donations.</w:t>
      </w:r>
    </w:p>
    <w:p>
      <w:pPr>
        <w:numPr>
          <w:ilvl w:val="0"/>
          <w:numId w:val="90"/>
        </w:numPr>
        <w:spacing w:after="60"/>
      </w:pPr>
      <w:r>
        <w:rPr>
          <w:b/>
        </w:rPr>
        <w:t>Infrastructure Development:</w:t>
      </w:r>
      <w:r>
        <w:rPr/>
        <w:t xml:space="preserve"> Plan capital expenditure for expanding or upgrading campus facilities and technology.</w:t>
      </w:r>
    </w:p>
    <w:p>
      <w:pPr>
        <w:numPr>
          <w:ilvl w:val="0"/>
          <w:numId w:val="90"/>
        </w:numPr>
        <w:spacing w:after="60"/>
      </w:pPr>
      <w:r>
        <w:rPr>
          <w:b/>
        </w:rPr>
        <w:t>Sustainability Plans:</w:t>
      </w:r>
      <w:r>
        <w:rPr/>
        <w:t xml:space="preserve"> Ensure the financial sustainability of the institution by building financial reserves and securing diversified funding sources.</w:t>
      </w:r>
    </w:p>
    <w:p>
      <w:pPr>
        <w:pStyle w:val="Heading2"/>
      </w:pPr>
      <w:r>
        <w:rPr/>
        <w:t>Year Planner: Finance Committee</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1417"/>
        <w:gridCol w:w="4535"/>
        <w:gridCol w:w="3288"/>
      </w:tblGrid>
      <w:tr>
        <w:trPr>
          <w:cantSplit w:val="true"/>
          <w:tblHeader w:val="true"/>
        </w:trPr>
        <w:tc>
          <w:tcPr>
            <w:tcW w:type="dxa" w:w="1417"/>
            <w:shd w:val="clear" w:color="auto" w:fill="1F3A5F"/>
          </w:tcPr>
          <w:p>
            <w:pPr>
              <w:spacing w:after="20" w:before="20" w:line="240" w:lineRule="auto"/>
              <w:jc w:val="left"/>
            </w:pPr>
            <w:r>
              <w:rPr>
                <w:b/>
                <w:color w:val="FFFFFF"/>
                <w:sz w:val="20"/>
              </w:rPr>
              <w:t>Month</w:t>
            </w:r>
          </w:p>
        </w:tc>
        <w:tc>
          <w:tcPr>
            <w:tcW w:type="dxa" w:w="4535"/>
            <w:shd w:val="clear" w:color="auto" w:fill="1F3A5F"/>
          </w:tcPr>
          <w:p>
            <w:pPr>
              <w:spacing w:after="20" w:before="20" w:line="240" w:lineRule="auto"/>
              <w:jc w:val="left"/>
            </w:pPr>
            <w:r>
              <w:rPr>
                <w:b/>
                <w:color w:val="FFFFFF"/>
                <w:sz w:val="20"/>
              </w:rPr>
              <w:t>Activities/Events</w:t>
            </w:r>
          </w:p>
        </w:tc>
        <w:tc>
          <w:tcPr>
            <w:tcW w:type="dxa" w:w="3288"/>
            <w:shd w:val="clear" w:color="auto" w:fill="1F3A5F"/>
          </w:tcPr>
          <w:p>
            <w:pPr>
              <w:spacing w:after="20" w:before="20" w:line="240" w:lineRule="auto"/>
              <w:jc w:val="left"/>
            </w:pPr>
            <w:r>
              <w:rPr>
                <w:b/>
                <w:color w:val="FFFFFF"/>
                <w:sz w:val="20"/>
              </w:rPr>
              <w:t>Responsibility</w:t>
            </w:r>
          </w:p>
        </w:tc>
      </w:tr>
      <w:tr>
        <w:trPr>
          <w:cantSplit w:val="true"/>
        </w:trPr>
        <w:tc>
          <w:tcPr>
            <w:tcW w:type="dxa" w:w="1417"/>
          </w:tcPr>
          <w:p>
            <w:pPr>
              <w:spacing w:after="20" w:before="20" w:line="240" w:lineRule="auto"/>
              <w:jc w:val="left"/>
            </w:pPr>
            <w:r>
              <w:rPr>
                <w:sz w:val="20"/>
              </w:rPr>
              <w:t>January</w:t>
            </w:r>
          </w:p>
        </w:tc>
        <w:tc>
          <w:tcPr>
            <w:tcW w:type="dxa" w:w="4535"/>
          </w:tcPr>
          <w:p>
            <w:pPr>
              <w:spacing w:after="20" w:before="20" w:line="240" w:lineRule="auto"/>
              <w:jc w:val="left"/>
            </w:pPr>
            <w:r>
              <w:rPr>
                <w:sz w:val="20"/>
              </w:rPr>
              <w:t>Review of half-yearly financial reports and budget utilization.</w:t>
            </w:r>
          </w:p>
        </w:tc>
        <w:tc>
          <w:tcPr>
            <w:tcW w:type="dxa" w:w="3288"/>
          </w:tcPr>
          <w:p>
            <w:pPr>
              <w:spacing w:after="20" w:before="20" w:line="240" w:lineRule="auto"/>
              <w:jc w:val="left"/>
            </w:pPr>
            <w:r>
              <w:rPr>
                <w:sz w:val="20"/>
              </w:rPr>
              <w:t>Finance Officer, Committee Members</w:t>
            </w:r>
          </w:p>
        </w:tc>
      </w:tr>
      <w:tr>
        <w:trPr>
          <w:cantSplit w:val="true"/>
        </w:trPr>
        <w:tc>
          <w:tcPr>
            <w:tcW w:type="dxa" w:w="1417"/>
            <w:shd w:val="clear" w:color="auto" w:fill="E8EEF5"/>
          </w:tcPr>
          <w:p>
            <w:pPr>
              <w:spacing w:after="20" w:before="20" w:line="240" w:lineRule="auto"/>
              <w:jc w:val="left"/>
            </w:pPr>
            <w:r>
              <w:rPr>
                <w:sz w:val="20"/>
              </w:rPr>
              <w:t>February</w:t>
            </w:r>
          </w:p>
        </w:tc>
        <w:tc>
          <w:tcPr>
            <w:tcW w:type="dxa" w:w="4535"/>
            <w:shd w:val="clear" w:color="auto" w:fill="E8EEF5"/>
          </w:tcPr>
          <w:p>
            <w:pPr>
              <w:spacing w:after="20" w:before="20" w:line="240" w:lineRule="auto"/>
              <w:jc w:val="left"/>
            </w:pPr>
            <w:r>
              <w:rPr>
                <w:sz w:val="20"/>
              </w:rPr>
              <w:t>Budget preparation for the next academic/financial year: Departmental needs assessment.</w:t>
            </w:r>
          </w:p>
        </w:tc>
        <w:tc>
          <w:tcPr>
            <w:tcW w:type="dxa" w:w="3288"/>
            <w:shd w:val="clear" w:color="auto" w:fill="E8EEF5"/>
          </w:tcPr>
          <w:p>
            <w:pPr>
              <w:spacing w:after="20" w:before="20" w:line="240" w:lineRule="auto"/>
              <w:jc w:val="left"/>
            </w:pPr>
            <w:r>
              <w:rPr>
                <w:sz w:val="20"/>
              </w:rPr>
              <w:t>Finance Officer, HoDs, Administrative Officer</w:t>
            </w:r>
          </w:p>
        </w:tc>
      </w:tr>
      <w:tr>
        <w:trPr>
          <w:cantSplit w:val="true"/>
        </w:trPr>
        <w:tc>
          <w:tcPr>
            <w:tcW w:type="dxa" w:w="1417"/>
          </w:tcPr>
          <w:p>
            <w:pPr>
              <w:spacing w:after="20" w:before="20" w:line="240" w:lineRule="auto"/>
              <w:jc w:val="left"/>
            </w:pPr>
            <w:r>
              <w:rPr>
                <w:sz w:val="20"/>
              </w:rPr>
              <w:t>March</w:t>
            </w:r>
          </w:p>
        </w:tc>
        <w:tc>
          <w:tcPr>
            <w:tcW w:type="dxa" w:w="4535"/>
          </w:tcPr>
          <w:p>
            <w:pPr>
              <w:spacing w:after="20" w:before="20" w:line="240" w:lineRule="auto"/>
              <w:jc w:val="left"/>
            </w:pPr>
            <w:r>
              <w:rPr>
                <w:sz w:val="20"/>
              </w:rPr>
              <w:t>Finalization and submission of draft budget to the Governing Body.</w:t>
            </w:r>
          </w:p>
        </w:tc>
        <w:tc>
          <w:tcPr>
            <w:tcW w:type="dxa" w:w="3288"/>
          </w:tcPr>
          <w:p>
            <w:pPr>
              <w:spacing w:after="20" w:before="20" w:line="240" w:lineRule="auto"/>
              <w:jc w:val="left"/>
            </w:pPr>
            <w:r>
              <w:rPr>
                <w:sz w:val="20"/>
              </w:rPr>
              <w:t>Chairperson, Finance Officer</w:t>
            </w:r>
          </w:p>
        </w:tc>
      </w:tr>
      <w:tr>
        <w:trPr>
          <w:cantSplit w:val="true"/>
        </w:trPr>
        <w:tc>
          <w:tcPr>
            <w:tcW w:type="dxa" w:w="1417"/>
            <w:shd w:val="clear" w:color="auto" w:fill="E8EEF5"/>
          </w:tcPr>
          <w:p>
            <w:pPr>
              <w:spacing w:after="20" w:before="20" w:line="240" w:lineRule="auto"/>
              <w:jc w:val="left"/>
            </w:pPr>
            <w:r>
              <w:rPr>
                <w:sz w:val="20"/>
              </w:rPr>
              <w:t>April</w:t>
            </w:r>
          </w:p>
        </w:tc>
        <w:tc>
          <w:tcPr>
            <w:tcW w:type="dxa" w:w="4535"/>
            <w:shd w:val="clear" w:color="auto" w:fill="E8EEF5"/>
          </w:tcPr>
          <w:p>
            <w:pPr>
              <w:spacing w:after="20" w:before="20" w:line="240" w:lineRule="auto"/>
              <w:jc w:val="left"/>
            </w:pPr>
            <w:r>
              <w:rPr>
                <w:sz w:val="20"/>
              </w:rPr>
              <w:t>Audit planning: Coordination with internal/external auditors for year-end audit.</w:t>
            </w:r>
          </w:p>
        </w:tc>
        <w:tc>
          <w:tcPr>
            <w:tcW w:type="dxa" w:w="3288"/>
            <w:shd w:val="clear" w:color="auto" w:fill="E8EEF5"/>
          </w:tcPr>
          <w:p>
            <w:pPr>
              <w:spacing w:after="20" w:before="20" w:line="240" w:lineRule="auto"/>
              <w:jc w:val="left"/>
            </w:pPr>
            <w:r>
              <w:rPr>
                <w:sz w:val="20"/>
              </w:rPr>
              <w:t>Finance Officer, Auditor</w:t>
            </w:r>
          </w:p>
        </w:tc>
      </w:tr>
      <w:tr>
        <w:trPr>
          <w:cantSplit w:val="true"/>
        </w:trPr>
        <w:tc>
          <w:tcPr>
            <w:tcW w:type="dxa" w:w="1417"/>
          </w:tcPr>
          <w:p>
            <w:pPr>
              <w:spacing w:after="20" w:before="20" w:line="240" w:lineRule="auto"/>
              <w:jc w:val="left"/>
            </w:pPr>
            <w:r>
              <w:rPr>
                <w:sz w:val="20"/>
              </w:rPr>
              <w:t>May</w:t>
            </w:r>
          </w:p>
        </w:tc>
        <w:tc>
          <w:tcPr>
            <w:tcW w:type="dxa" w:w="4535"/>
          </w:tcPr>
          <w:p>
            <w:pPr>
              <w:spacing w:after="20" w:before="20" w:line="240" w:lineRule="auto"/>
              <w:jc w:val="left"/>
            </w:pPr>
            <w:r>
              <w:rPr>
                <w:sz w:val="20"/>
              </w:rPr>
              <w:t>Conduct internal financial audit and prepare audit report.</w:t>
            </w:r>
          </w:p>
        </w:tc>
        <w:tc>
          <w:tcPr>
            <w:tcW w:type="dxa" w:w="3288"/>
          </w:tcPr>
          <w:p>
            <w:pPr>
              <w:spacing w:after="20" w:before="20" w:line="240" w:lineRule="auto"/>
              <w:jc w:val="left"/>
            </w:pPr>
            <w:r>
              <w:rPr>
                <w:sz w:val="20"/>
              </w:rPr>
              <w:t>Finance Officer, Audit Team</w:t>
            </w:r>
          </w:p>
        </w:tc>
      </w:tr>
      <w:tr>
        <w:trPr>
          <w:cantSplit w:val="true"/>
        </w:trPr>
        <w:tc>
          <w:tcPr>
            <w:tcW w:type="dxa" w:w="1417"/>
            <w:shd w:val="clear" w:color="auto" w:fill="E8EEF5"/>
          </w:tcPr>
          <w:p>
            <w:pPr>
              <w:spacing w:after="20" w:before="20" w:line="240" w:lineRule="auto"/>
              <w:jc w:val="left"/>
            </w:pPr>
            <w:r>
              <w:rPr>
                <w:sz w:val="20"/>
              </w:rPr>
              <w:t>June</w:t>
            </w:r>
          </w:p>
        </w:tc>
        <w:tc>
          <w:tcPr>
            <w:tcW w:type="dxa" w:w="4535"/>
            <w:shd w:val="clear" w:color="auto" w:fill="E8EEF5"/>
          </w:tcPr>
          <w:p>
            <w:pPr>
              <w:spacing w:after="20" w:before="20" w:line="240" w:lineRule="auto"/>
              <w:jc w:val="left"/>
            </w:pPr>
            <w:r>
              <w:rPr>
                <w:sz w:val="20"/>
              </w:rPr>
              <w:t>Review of audit findings and compliance report submission to management.</w:t>
            </w:r>
          </w:p>
        </w:tc>
        <w:tc>
          <w:tcPr>
            <w:tcW w:type="dxa" w:w="3288"/>
            <w:shd w:val="clear" w:color="auto" w:fill="E8EEF5"/>
          </w:tcPr>
          <w:p>
            <w:pPr>
              <w:spacing w:after="20" w:before="20" w:line="240" w:lineRule="auto"/>
              <w:jc w:val="left"/>
            </w:pPr>
            <w:r>
              <w:rPr>
                <w:sz w:val="20"/>
              </w:rPr>
              <w:t>Finance Committee</w:t>
            </w:r>
          </w:p>
        </w:tc>
      </w:tr>
      <w:tr>
        <w:trPr>
          <w:cantSplit w:val="true"/>
        </w:trPr>
        <w:tc>
          <w:tcPr>
            <w:tcW w:type="dxa" w:w="1417"/>
          </w:tcPr>
          <w:p>
            <w:pPr>
              <w:spacing w:after="20" w:before="20" w:line="240" w:lineRule="auto"/>
              <w:jc w:val="left"/>
            </w:pPr>
            <w:r>
              <w:rPr>
                <w:sz w:val="20"/>
              </w:rPr>
              <w:t>July</w:t>
            </w:r>
          </w:p>
        </w:tc>
        <w:tc>
          <w:tcPr>
            <w:tcW w:type="dxa" w:w="4535"/>
          </w:tcPr>
          <w:p>
            <w:pPr>
              <w:spacing w:after="20" w:before="20" w:line="240" w:lineRule="auto"/>
              <w:jc w:val="left"/>
            </w:pPr>
            <w:r>
              <w:rPr>
                <w:sz w:val="20"/>
              </w:rPr>
              <w:t>Fund allocation approvals for academic activities (seminars, workshops, infrastructure needs).</w:t>
            </w:r>
          </w:p>
        </w:tc>
        <w:tc>
          <w:tcPr>
            <w:tcW w:type="dxa" w:w="3288"/>
          </w:tcPr>
          <w:p>
            <w:pPr>
              <w:spacing w:after="20" w:before="20" w:line="240" w:lineRule="auto"/>
              <w:jc w:val="left"/>
            </w:pPr>
            <w:r>
              <w:rPr>
                <w:sz w:val="20"/>
              </w:rPr>
              <w:t>Chairperson, Committee Members</w:t>
            </w:r>
          </w:p>
        </w:tc>
      </w:tr>
      <w:tr>
        <w:trPr>
          <w:cantSplit w:val="true"/>
        </w:trPr>
        <w:tc>
          <w:tcPr>
            <w:tcW w:type="dxa" w:w="1417"/>
            <w:shd w:val="clear" w:color="auto" w:fill="E8EEF5"/>
          </w:tcPr>
          <w:p>
            <w:pPr>
              <w:spacing w:after="20" w:before="20" w:line="240" w:lineRule="auto"/>
              <w:jc w:val="left"/>
            </w:pPr>
            <w:r>
              <w:rPr>
                <w:sz w:val="20"/>
              </w:rPr>
              <w:t>August</w:t>
            </w:r>
          </w:p>
        </w:tc>
        <w:tc>
          <w:tcPr>
            <w:tcW w:type="dxa" w:w="4535"/>
            <w:shd w:val="clear" w:color="auto" w:fill="E8EEF5"/>
          </w:tcPr>
          <w:p>
            <w:pPr>
              <w:spacing w:after="20" w:before="20" w:line="240" w:lineRule="auto"/>
              <w:jc w:val="left"/>
            </w:pPr>
            <w:r>
              <w:rPr>
                <w:sz w:val="20"/>
              </w:rPr>
              <w:t>Review and approve expenditure for new admissions and academic session start.</w:t>
            </w:r>
          </w:p>
        </w:tc>
        <w:tc>
          <w:tcPr>
            <w:tcW w:type="dxa" w:w="3288"/>
            <w:shd w:val="clear" w:color="auto" w:fill="E8EEF5"/>
          </w:tcPr>
          <w:p>
            <w:pPr>
              <w:spacing w:after="20" w:before="20" w:line="240" w:lineRule="auto"/>
              <w:jc w:val="left"/>
            </w:pPr>
            <w:r>
              <w:rPr>
                <w:sz w:val="20"/>
              </w:rPr>
              <w:t>Finance Committee</w:t>
            </w:r>
          </w:p>
        </w:tc>
      </w:tr>
      <w:tr>
        <w:trPr>
          <w:cantSplit w:val="true"/>
        </w:trPr>
        <w:tc>
          <w:tcPr>
            <w:tcW w:type="dxa" w:w="1417"/>
          </w:tcPr>
          <w:p>
            <w:pPr>
              <w:spacing w:after="20" w:before="20" w:line="240" w:lineRule="auto"/>
              <w:jc w:val="left"/>
            </w:pPr>
            <w:r>
              <w:rPr>
                <w:sz w:val="20"/>
              </w:rPr>
              <w:t>September</w:t>
            </w:r>
          </w:p>
        </w:tc>
        <w:tc>
          <w:tcPr>
            <w:tcW w:type="dxa" w:w="4535"/>
          </w:tcPr>
          <w:p>
            <w:pPr>
              <w:spacing w:after="20" w:before="20" w:line="240" w:lineRule="auto"/>
              <w:jc w:val="left"/>
            </w:pPr>
            <w:r>
              <w:rPr>
                <w:sz w:val="20"/>
              </w:rPr>
              <w:t>Mid-year financial review meeting: Budget vs Actuals analysis.</w:t>
            </w:r>
          </w:p>
        </w:tc>
        <w:tc>
          <w:tcPr>
            <w:tcW w:type="dxa" w:w="3288"/>
          </w:tcPr>
          <w:p>
            <w:pPr>
              <w:spacing w:after="20" w:before="20" w:line="240" w:lineRule="auto"/>
              <w:jc w:val="left"/>
            </w:pPr>
            <w:r>
              <w:rPr>
                <w:sz w:val="20"/>
              </w:rPr>
              <w:t>Finance Officer, Committee Members</w:t>
            </w:r>
          </w:p>
        </w:tc>
      </w:tr>
      <w:tr>
        <w:trPr>
          <w:cantSplit w:val="true"/>
        </w:trPr>
        <w:tc>
          <w:tcPr>
            <w:tcW w:type="dxa" w:w="1417"/>
            <w:shd w:val="clear" w:color="auto" w:fill="E8EEF5"/>
          </w:tcPr>
          <w:p>
            <w:pPr>
              <w:spacing w:after="20" w:before="20" w:line="240" w:lineRule="auto"/>
              <w:jc w:val="left"/>
            </w:pPr>
            <w:r>
              <w:rPr>
                <w:sz w:val="20"/>
              </w:rPr>
              <w:t>October</w:t>
            </w:r>
          </w:p>
        </w:tc>
        <w:tc>
          <w:tcPr>
            <w:tcW w:type="dxa" w:w="4535"/>
            <w:shd w:val="clear" w:color="auto" w:fill="E8EEF5"/>
          </w:tcPr>
          <w:p>
            <w:pPr>
              <w:spacing w:after="20" w:before="20" w:line="240" w:lineRule="auto"/>
              <w:jc w:val="left"/>
            </w:pPr>
            <w:r>
              <w:rPr>
                <w:sz w:val="20"/>
              </w:rPr>
              <w:t>Planning for external funding, grants, donations, and alumni contributions.</w:t>
            </w:r>
          </w:p>
        </w:tc>
        <w:tc>
          <w:tcPr>
            <w:tcW w:type="dxa" w:w="3288"/>
            <w:shd w:val="clear" w:color="auto" w:fill="E8EEF5"/>
          </w:tcPr>
          <w:p>
            <w:pPr>
              <w:spacing w:after="20" w:before="20" w:line="240" w:lineRule="auto"/>
              <w:jc w:val="left"/>
            </w:pPr>
            <w:r>
              <w:rPr>
                <w:sz w:val="20"/>
              </w:rPr>
              <w:t>Finance Officer, External Relations Team</w:t>
            </w:r>
          </w:p>
        </w:tc>
      </w:tr>
      <w:tr>
        <w:trPr>
          <w:cantSplit w:val="true"/>
        </w:trPr>
        <w:tc>
          <w:tcPr>
            <w:tcW w:type="dxa" w:w="1417"/>
          </w:tcPr>
          <w:p>
            <w:pPr>
              <w:spacing w:after="20" w:before="20" w:line="240" w:lineRule="auto"/>
              <w:jc w:val="left"/>
            </w:pPr>
            <w:r>
              <w:rPr>
                <w:sz w:val="20"/>
              </w:rPr>
              <w:t>November</w:t>
            </w:r>
          </w:p>
        </w:tc>
        <w:tc>
          <w:tcPr>
            <w:tcW w:type="dxa" w:w="4535"/>
          </w:tcPr>
          <w:p>
            <w:pPr>
              <w:spacing w:after="20" w:before="20" w:line="240" w:lineRule="auto"/>
              <w:jc w:val="left"/>
            </w:pPr>
            <w:r>
              <w:rPr>
                <w:sz w:val="20"/>
              </w:rPr>
              <w:t>Proposal review for infrastructure development, laboratory upgrades, IT enhancements.</w:t>
            </w:r>
          </w:p>
        </w:tc>
        <w:tc>
          <w:tcPr>
            <w:tcW w:type="dxa" w:w="3288"/>
          </w:tcPr>
          <w:p>
            <w:pPr>
              <w:spacing w:after="20" w:before="20" w:line="240" w:lineRule="auto"/>
              <w:jc w:val="left"/>
            </w:pPr>
            <w:r>
              <w:rPr>
                <w:sz w:val="20"/>
              </w:rPr>
              <w:t>Chairperson, Finance Committee</w:t>
            </w:r>
          </w:p>
        </w:tc>
      </w:tr>
      <w:tr>
        <w:trPr>
          <w:cantSplit w:val="true"/>
        </w:trPr>
        <w:tc>
          <w:tcPr>
            <w:tcW w:type="dxa" w:w="1417"/>
            <w:shd w:val="clear" w:color="auto" w:fill="E8EEF5"/>
          </w:tcPr>
          <w:p>
            <w:pPr>
              <w:spacing w:after="20" w:before="20" w:line="240" w:lineRule="auto"/>
              <w:jc w:val="left"/>
            </w:pPr>
            <w:r>
              <w:rPr>
                <w:sz w:val="20"/>
              </w:rPr>
              <w:t>December</w:t>
            </w:r>
          </w:p>
        </w:tc>
        <w:tc>
          <w:tcPr>
            <w:tcW w:type="dxa" w:w="4535"/>
            <w:shd w:val="clear" w:color="auto" w:fill="E8EEF5"/>
          </w:tcPr>
          <w:p>
            <w:pPr>
              <w:spacing w:after="20" w:before="20" w:line="240" w:lineRule="auto"/>
              <w:jc w:val="left"/>
            </w:pPr>
            <w:r>
              <w:rPr>
                <w:sz w:val="20"/>
              </w:rPr>
              <w:t xml:space="preserve">Annual Financial Performance Review and planning for next year. </w:t>
              <w:br/>
            </w:r>
            <w:r>
              <w:rPr>
                <w:sz w:val="20"/>
              </w:rPr>
              <w:t xml:space="preserve"> Preparation of Annual Financial Report to be presented to the Governing Body.</w:t>
            </w:r>
          </w:p>
        </w:tc>
        <w:tc>
          <w:tcPr>
            <w:tcW w:type="dxa" w:w="3288"/>
            <w:shd w:val="clear" w:color="auto" w:fill="E8EEF5"/>
          </w:tcPr>
          <w:p>
            <w:pPr>
              <w:spacing w:after="20" w:before="20" w:line="240" w:lineRule="auto"/>
              <w:jc w:val="left"/>
            </w:pPr>
            <w:r>
              <w:rPr>
                <w:sz w:val="20"/>
              </w:rPr>
              <w:t>Finance Officer, Chairperson, Committee Members</w:t>
            </w:r>
          </w:p>
        </w:tc>
      </w:tr>
    </w:tbl>
    <w:p>
      <w:pPr>
        <w:spacing w:after="80" w:line="240" w:lineRule="auto"/>
      </w:pPr>
    </w:p>
    <w:p>
      <w:r>
        <w:rPr/>
        <w:t>Other Regular Activities Throughout the Year:</w:t>
      </w:r>
    </w:p>
    <w:p>
      <w:pPr>
        <w:numPr>
          <w:ilvl w:val="0"/>
          <w:numId w:val="90"/>
        </w:numPr>
        <w:spacing w:after="60"/>
      </w:pPr>
      <w:r>
        <w:rPr/>
        <w:t>Quarterly Budget Review Meetings.</w:t>
      </w:r>
    </w:p>
    <w:p>
      <w:pPr>
        <w:numPr>
          <w:ilvl w:val="0"/>
          <w:numId w:val="90"/>
        </w:numPr>
        <w:spacing w:after="60"/>
      </w:pPr>
      <w:r>
        <w:rPr/>
        <w:t>Approvals for unplanned major expenditures (case-by-case).</w:t>
      </w:r>
    </w:p>
    <w:p>
      <w:pPr>
        <w:numPr>
          <w:ilvl w:val="0"/>
          <w:numId w:val="90"/>
        </w:numPr>
        <w:spacing w:after="60"/>
      </w:pPr>
      <w:r>
        <w:rPr/>
        <w:t>Monitoring compliance with financial policies.</w:t>
      </w:r>
    </w:p>
    <w:p>
      <w:pPr>
        <w:numPr>
          <w:ilvl w:val="0"/>
          <w:numId w:val="90"/>
        </w:numPr>
        <w:spacing w:after="60"/>
      </w:pPr>
      <w:r>
        <w:rPr/>
        <w:t>Updates to financial policies and procedures if required.</w:t>
      </w:r>
    </w:p>
    <w:p>
      <w:pPr>
        <w:spacing w:after="0"/>
      </w:pPr>
      <w:r>
        <w:br w:type="page"/>
      </w:r>
    </w:p>
    <w:p>
      <w:pPr>
        <w:pStyle w:val="Heading1"/>
        <w:spacing w:before="0"/>
      </w:pPr>
      <w:r>
        <w:rPr/>
        <w:t>51. Financial Statements Format and Audit</w:t>
      </w:r>
    </w:p>
    <w:p>
      <w:pPr>
        <w:pStyle w:val="Heading2"/>
      </w:pPr>
      <w:r>
        <w:rPr/>
        <w:t>I. Financial Statements Format</w:t>
      </w:r>
    </w:p>
    <w:p>
      <w:pPr>
        <w:pStyle w:val="Heading3"/>
      </w:pPr>
      <w:r>
        <w:rPr/>
        <w:t>1. Balance Sheet</w:t>
      </w:r>
    </w:p>
    <w:p>
      <w:pPr>
        <w:numPr>
          <w:ilvl w:val="0"/>
          <w:numId w:val="90"/>
        </w:numPr>
        <w:spacing w:after="60"/>
      </w:pPr>
      <w:r>
        <w:rPr/>
        <w:t>Shows the financial position as of the end of the financial year.</w:t>
      </w:r>
    </w:p>
    <w:p>
      <w:pPr>
        <w:numPr>
          <w:ilvl w:val="0"/>
          <w:numId w:val="90"/>
        </w:numPr>
        <w:spacing w:after="60"/>
      </w:pPr>
      <w:r>
        <w:rPr/>
        <w:t>Key components:</w:t>
      </w:r>
    </w:p>
    <w:p>
      <w:pPr>
        <w:numPr>
          <w:ilvl w:val="1"/>
          <w:numId w:val="90"/>
        </w:numPr>
        <w:spacing w:after="60"/>
      </w:pPr>
      <w:r>
        <w:rPr/>
        <w:t>Assets (Fixed assets, current assets, cash &amp; bank balances)</w:t>
      </w:r>
    </w:p>
    <w:p>
      <w:pPr>
        <w:numPr>
          <w:ilvl w:val="1"/>
          <w:numId w:val="90"/>
        </w:numPr>
        <w:spacing w:after="60"/>
      </w:pPr>
      <w:r>
        <w:rPr/>
        <w:t>Liabilities (loans, payables, provisions)</w:t>
      </w:r>
    </w:p>
    <w:p>
      <w:pPr>
        <w:numPr>
          <w:ilvl w:val="1"/>
          <w:numId w:val="90"/>
        </w:numPr>
        <w:spacing w:after="60"/>
      </w:pPr>
      <w:r>
        <w:rPr/>
        <w:t>Capital Fund/Corpus and Reserves</w:t>
      </w:r>
    </w:p>
    <w:p>
      <w:pPr>
        <w:pStyle w:val="Heading3"/>
      </w:pPr>
      <w:r>
        <w:rPr/>
        <w:t>2. Income and Expenditure Account</w:t>
      </w:r>
    </w:p>
    <w:p>
      <w:pPr>
        <w:numPr>
          <w:ilvl w:val="0"/>
          <w:numId w:val="90"/>
        </w:numPr>
        <w:spacing w:after="60"/>
      </w:pPr>
      <w:r>
        <w:rPr/>
        <w:t>Reflects the institution’s operational performance.</w:t>
      </w:r>
    </w:p>
    <w:p>
      <w:pPr>
        <w:numPr>
          <w:ilvl w:val="0"/>
          <w:numId w:val="90"/>
        </w:numPr>
        <w:spacing w:after="60"/>
      </w:pPr>
      <w:r>
        <w:rPr/>
        <w:t>Records:</w:t>
      </w:r>
    </w:p>
    <w:p>
      <w:pPr>
        <w:numPr>
          <w:ilvl w:val="1"/>
          <w:numId w:val="90"/>
        </w:numPr>
        <w:spacing w:after="60"/>
      </w:pPr>
      <w:r>
        <w:rPr/>
        <w:t>Revenues (fees, grants, donations, interest, etc.)</w:t>
      </w:r>
    </w:p>
    <w:p>
      <w:pPr>
        <w:numPr>
          <w:ilvl w:val="1"/>
          <w:numId w:val="90"/>
        </w:numPr>
        <w:spacing w:after="60"/>
      </w:pPr>
      <w:r>
        <w:rPr/>
        <w:t>Expenditures (salaries, maintenance, utilities, consumables, etc.)</w:t>
      </w:r>
    </w:p>
    <w:p>
      <w:pPr>
        <w:numPr>
          <w:ilvl w:val="0"/>
          <w:numId w:val="90"/>
        </w:numPr>
        <w:spacing w:after="60"/>
      </w:pPr>
      <w:r>
        <w:rPr/>
        <w:t>Surplus or deficit is transferred to the capital fund.</w:t>
      </w:r>
    </w:p>
    <w:p>
      <w:pPr>
        <w:pStyle w:val="Heading3"/>
      </w:pPr>
      <w:r>
        <w:rPr/>
        <w:t>3. Receipts and Payments Account</w:t>
      </w:r>
    </w:p>
    <w:p>
      <w:pPr>
        <w:numPr>
          <w:ilvl w:val="0"/>
          <w:numId w:val="90"/>
        </w:numPr>
        <w:spacing w:after="60"/>
      </w:pPr>
      <w:r>
        <w:rPr/>
        <w:t>Cash-based summary of all cash inflows and outflows during the year.</w:t>
      </w:r>
    </w:p>
    <w:p>
      <w:pPr>
        <w:numPr>
          <w:ilvl w:val="0"/>
          <w:numId w:val="90"/>
        </w:numPr>
        <w:spacing w:after="60"/>
      </w:pPr>
      <w:r>
        <w:rPr/>
        <w:t>Includes both capital and revenue items:</w:t>
      </w:r>
    </w:p>
    <w:p>
      <w:pPr>
        <w:numPr>
          <w:ilvl w:val="1"/>
          <w:numId w:val="90"/>
        </w:numPr>
        <w:spacing w:after="60"/>
      </w:pPr>
      <w:r>
        <w:rPr>
          <w:b/>
        </w:rPr>
        <w:t>Receipts:</w:t>
      </w:r>
      <w:r>
        <w:rPr/>
        <w:t xml:space="preserve"> Grants, donations, student fees, interest, etc.</w:t>
      </w:r>
    </w:p>
    <w:p>
      <w:pPr>
        <w:numPr>
          <w:ilvl w:val="1"/>
          <w:numId w:val="90"/>
        </w:numPr>
        <w:spacing w:after="60"/>
      </w:pPr>
      <w:r>
        <w:rPr>
          <w:b/>
        </w:rPr>
        <w:t>Payments:</w:t>
      </w:r>
      <w:r>
        <w:rPr/>
        <w:t xml:space="preserve"> Salaries, procurement, utilities, advances, etc.</w:t>
      </w:r>
    </w:p>
    <w:p>
      <w:pPr>
        <w:pStyle w:val="Heading3"/>
      </w:pPr>
      <w:r>
        <w:rPr/>
        <w:t>4. Schedules &amp; Notes to Accounts</w:t>
      </w:r>
    </w:p>
    <w:p>
      <w:pPr>
        <w:numPr>
          <w:ilvl w:val="0"/>
          <w:numId w:val="90"/>
        </w:numPr>
        <w:spacing w:after="60"/>
      </w:pPr>
      <w:r>
        <w:rPr/>
        <w:t>Detailed breakdown of each head in the financial statements.</w:t>
      </w:r>
    </w:p>
    <w:p>
      <w:pPr>
        <w:numPr>
          <w:ilvl w:val="0"/>
          <w:numId w:val="90"/>
        </w:numPr>
        <w:spacing w:after="60"/>
      </w:pPr>
      <w:r>
        <w:rPr/>
        <w:t>Includes:</w:t>
      </w:r>
    </w:p>
    <w:p>
      <w:pPr>
        <w:numPr>
          <w:ilvl w:val="1"/>
          <w:numId w:val="90"/>
        </w:numPr>
        <w:spacing w:after="60"/>
      </w:pPr>
      <w:r>
        <w:rPr/>
        <w:t>Depreciation schedule</w:t>
      </w:r>
    </w:p>
    <w:p>
      <w:pPr>
        <w:numPr>
          <w:ilvl w:val="1"/>
          <w:numId w:val="90"/>
        </w:numPr>
        <w:spacing w:after="60"/>
      </w:pPr>
      <w:r>
        <w:rPr/>
        <w:t>Grant utilization statement</w:t>
      </w:r>
    </w:p>
    <w:p>
      <w:pPr>
        <w:numPr>
          <w:ilvl w:val="1"/>
          <w:numId w:val="90"/>
        </w:numPr>
        <w:spacing w:after="60"/>
      </w:pPr>
      <w:r>
        <w:rPr/>
        <w:t>Fixed asset register summary</w:t>
      </w:r>
    </w:p>
    <w:p>
      <w:pPr>
        <w:numPr>
          <w:ilvl w:val="1"/>
          <w:numId w:val="90"/>
        </w:numPr>
        <w:spacing w:after="60"/>
      </w:pPr>
      <w:r>
        <w:rPr/>
        <w:t>Bank reconciliation details</w:t>
      </w:r>
    </w:p>
    <w:p>
      <w:pPr>
        <w:pStyle w:val="Heading2"/>
      </w:pPr>
      <w:r>
        <w:rPr/>
        <w:t>II. Audit of Financial Statements</w:t>
      </w:r>
    </w:p>
    <w:p>
      <w:pPr>
        <w:pStyle w:val="Heading3"/>
      </w:pPr>
      <w:r>
        <w:rPr/>
        <w:t>1. Types of Audit</w:t>
      </w:r>
    </w:p>
    <w:p>
      <w:pPr>
        <w:numPr>
          <w:ilvl w:val="0"/>
          <w:numId w:val="90"/>
        </w:numPr>
        <w:spacing w:after="60"/>
      </w:pPr>
      <w:r>
        <w:rPr/>
        <w:t>Internal Audit</w:t>
      </w:r>
    </w:p>
    <w:p>
      <w:pPr>
        <w:numPr>
          <w:ilvl w:val="1"/>
          <w:numId w:val="90"/>
        </w:numPr>
        <w:spacing w:after="60"/>
      </w:pPr>
      <w:r>
        <w:rPr/>
        <w:t>Conducted periodically to ensure compliance and internal control.</w:t>
      </w:r>
    </w:p>
    <w:p>
      <w:pPr>
        <w:numPr>
          <w:ilvl w:val="1"/>
          <w:numId w:val="90"/>
        </w:numPr>
        <w:spacing w:after="60"/>
      </w:pPr>
      <w:r>
        <w:rPr/>
        <w:t>Focuses on adherence to institutional policies and procedures.</w:t>
      </w:r>
    </w:p>
    <w:p>
      <w:pPr>
        <w:numPr>
          <w:ilvl w:val="0"/>
          <w:numId w:val="90"/>
        </w:numPr>
        <w:spacing w:after="60"/>
      </w:pPr>
      <w:r>
        <w:rPr/>
        <w:t>Statutory Audit</w:t>
      </w:r>
    </w:p>
    <w:p>
      <w:pPr>
        <w:numPr>
          <w:ilvl w:val="1"/>
          <w:numId w:val="90"/>
        </w:numPr>
        <w:spacing w:after="60"/>
      </w:pPr>
      <w:r>
        <w:rPr/>
        <w:t>Conducted by an external Chartered Accountant (CA) firm.</w:t>
      </w:r>
    </w:p>
    <w:p>
      <w:pPr>
        <w:numPr>
          <w:ilvl w:val="1"/>
          <w:numId w:val="90"/>
        </w:numPr>
        <w:spacing w:after="60"/>
      </w:pPr>
      <w:r>
        <w:rPr/>
        <w:t>Ensures compliance with applicable laws (e.g., Income Tax Act, UGC/AICTE norms).</w:t>
      </w:r>
    </w:p>
    <w:p>
      <w:pPr>
        <w:pStyle w:val="Heading3"/>
      </w:pPr>
      <w:r>
        <w:rPr/>
        <w:t>2. Audit Scope</w:t>
      </w:r>
    </w:p>
    <w:p>
      <w:pPr>
        <w:numPr>
          <w:ilvl w:val="0"/>
          <w:numId w:val="90"/>
        </w:numPr>
        <w:spacing w:after="60"/>
      </w:pPr>
      <w:r>
        <w:rPr/>
        <w:t>Verification of:</w:t>
      </w:r>
    </w:p>
    <w:p>
      <w:pPr>
        <w:numPr>
          <w:ilvl w:val="1"/>
          <w:numId w:val="90"/>
        </w:numPr>
        <w:spacing w:after="60"/>
      </w:pPr>
      <w:r>
        <w:rPr/>
        <w:t>Vouchers, invoices, and supporting documents</w:t>
      </w:r>
    </w:p>
    <w:p>
      <w:pPr>
        <w:numPr>
          <w:ilvl w:val="1"/>
          <w:numId w:val="90"/>
        </w:numPr>
        <w:spacing w:after="60"/>
      </w:pPr>
      <w:r>
        <w:rPr/>
        <w:t>Budget compliance</w:t>
      </w:r>
    </w:p>
    <w:p>
      <w:pPr>
        <w:numPr>
          <w:ilvl w:val="1"/>
          <w:numId w:val="90"/>
        </w:numPr>
        <w:spacing w:after="60"/>
      </w:pPr>
      <w:r>
        <w:rPr/>
        <w:t>Utilization of grants/funds</w:t>
      </w:r>
    </w:p>
    <w:p>
      <w:pPr>
        <w:numPr>
          <w:ilvl w:val="1"/>
          <w:numId w:val="90"/>
        </w:numPr>
        <w:spacing w:after="60"/>
      </w:pPr>
      <w:r>
        <w:rPr/>
        <w:t>Bank statements and reconciliations</w:t>
      </w:r>
    </w:p>
    <w:p>
      <w:pPr>
        <w:numPr>
          <w:ilvl w:val="1"/>
          <w:numId w:val="90"/>
        </w:numPr>
        <w:spacing w:after="60"/>
      </w:pPr>
      <w:r>
        <w:rPr/>
        <w:t>Depreciation and asset records</w:t>
      </w:r>
    </w:p>
    <w:p>
      <w:pPr>
        <w:numPr>
          <w:ilvl w:val="1"/>
          <w:numId w:val="90"/>
        </w:numPr>
        <w:spacing w:after="60"/>
      </w:pPr>
      <w:r>
        <w:rPr/>
        <w:t>Fee collection and payroll</w:t>
      </w:r>
    </w:p>
    <w:p>
      <w:pPr>
        <w:pStyle w:val="Heading3"/>
      </w:pPr>
      <w:r>
        <w:rPr/>
        <w:t>3. Audit Report Components</w:t>
      </w:r>
    </w:p>
    <w:p>
      <w:pPr>
        <w:numPr>
          <w:ilvl w:val="0"/>
          <w:numId w:val="90"/>
        </w:numPr>
        <w:spacing w:after="60"/>
      </w:pPr>
      <w:r>
        <w:rPr/>
        <w:t>Auditor’s opinion on true and fair view of accounts.</w:t>
      </w:r>
    </w:p>
    <w:p>
      <w:pPr>
        <w:numPr>
          <w:ilvl w:val="0"/>
          <w:numId w:val="90"/>
        </w:numPr>
        <w:spacing w:after="60"/>
      </w:pPr>
      <w:r>
        <w:rPr/>
        <w:t>Qualified/Unqualified opinion depending on findings.</w:t>
      </w:r>
    </w:p>
    <w:p>
      <w:pPr>
        <w:numPr>
          <w:ilvl w:val="0"/>
          <w:numId w:val="90"/>
        </w:numPr>
        <w:spacing w:after="60"/>
      </w:pPr>
      <w:r>
        <w:rPr/>
        <w:t>Comments on:</w:t>
      </w:r>
    </w:p>
    <w:p>
      <w:pPr>
        <w:numPr>
          <w:ilvl w:val="1"/>
          <w:numId w:val="90"/>
        </w:numPr>
        <w:spacing w:after="60"/>
      </w:pPr>
      <w:r>
        <w:rPr/>
        <w:t>Irregularities, if any</w:t>
      </w:r>
    </w:p>
    <w:p>
      <w:pPr>
        <w:numPr>
          <w:ilvl w:val="1"/>
          <w:numId w:val="90"/>
        </w:numPr>
        <w:spacing w:after="60"/>
      </w:pPr>
      <w:r>
        <w:rPr/>
        <w:t>Delays in fund utilization</w:t>
      </w:r>
    </w:p>
    <w:p>
      <w:pPr>
        <w:numPr>
          <w:ilvl w:val="1"/>
          <w:numId w:val="90"/>
        </w:numPr>
        <w:spacing w:after="60"/>
      </w:pPr>
      <w:r>
        <w:rPr/>
        <w:t>Recommendations for financial management improvements</w:t>
      </w:r>
    </w:p>
    <w:p>
      <w:pPr>
        <w:pStyle w:val="Heading3"/>
      </w:pPr>
      <w:r>
        <w:rPr/>
        <w:t>4. Submission &amp; Approval</w:t>
      </w:r>
    </w:p>
    <w:p>
      <w:pPr>
        <w:numPr>
          <w:ilvl w:val="0"/>
          <w:numId w:val="90"/>
        </w:numPr>
        <w:spacing w:after="60"/>
      </w:pPr>
      <w:r>
        <w:rPr/>
        <w:t>Final audited statements are:</w:t>
      </w:r>
    </w:p>
    <w:p>
      <w:pPr>
        <w:numPr>
          <w:ilvl w:val="1"/>
          <w:numId w:val="90"/>
        </w:numPr>
        <w:spacing w:after="60"/>
      </w:pPr>
      <w:r>
        <w:rPr/>
        <w:t>Submitted to the Governing Body</w:t>
      </w:r>
    </w:p>
    <w:p>
      <w:pPr>
        <w:numPr>
          <w:ilvl w:val="1"/>
          <w:numId w:val="90"/>
        </w:numPr>
        <w:spacing w:after="60"/>
      </w:pPr>
      <w:r>
        <w:rPr/>
        <w:t>Forwarded to funding agencies (AICTE, UGC, etc.)</w:t>
      </w:r>
    </w:p>
    <w:p>
      <w:pPr>
        <w:numPr>
          <w:ilvl w:val="1"/>
          <w:numId w:val="90"/>
        </w:numPr>
        <w:spacing w:after="60"/>
      </w:pPr>
      <w:r>
        <w:rPr/>
        <w:t>Used for statutory filings and compliance</w:t>
      </w:r>
    </w:p>
    <w:p>
      <w:pPr>
        <w:spacing w:after="0"/>
      </w:pPr>
      <w:r>
        <w:br w:type="page"/>
      </w:r>
    </w:p>
    <w:p>
      <w:pPr>
        <w:pStyle w:val="Heading1"/>
        <w:spacing w:before="0"/>
      </w:pPr>
      <w:r>
        <w:rPr/>
        <w:t>52. Library Budget Details</w:t>
      </w:r>
    </w:p>
    <w:p>
      <w:pPr>
        <w:pStyle w:val="Heading2"/>
      </w:pPr>
      <w:r>
        <w:rPr/>
        <w:t>A. OPERATIONAL BUDGET</w:t>
      </w:r>
    </w:p>
    <w:p>
      <w:r>
        <w:rPr>
          <w:i/>
        </w:rPr>
        <w:t>(Routine recurring expenses necessary for library functioning)</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737"/>
        <w:gridCol w:w="2948"/>
        <w:gridCol w:w="1871"/>
        <w:gridCol w:w="1871"/>
        <w:gridCol w:w="1814"/>
      </w:tblGrid>
      <w:tr>
        <w:trPr>
          <w:cantSplit w:val="true"/>
          <w:tblHeader w:val="true"/>
        </w:trPr>
        <w:tc>
          <w:tcPr>
            <w:tcW w:type="dxa" w:w="737"/>
            <w:shd w:val="clear" w:color="auto" w:fill="1F3A5F"/>
          </w:tcPr>
          <w:p>
            <w:pPr>
              <w:spacing w:after="20" w:before="20" w:line="240" w:lineRule="auto"/>
              <w:jc w:val="left"/>
            </w:pPr>
            <w:r>
              <w:rPr>
                <w:b/>
                <w:color w:val="FFFFFF"/>
                <w:sz w:val="20"/>
              </w:rPr>
              <w:t>Sl. No</w:t>
            </w:r>
          </w:p>
        </w:tc>
        <w:tc>
          <w:tcPr>
            <w:tcW w:type="dxa" w:w="2948"/>
            <w:shd w:val="clear" w:color="auto" w:fill="1F3A5F"/>
          </w:tcPr>
          <w:p>
            <w:pPr>
              <w:spacing w:after="20" w:before="20" w:line="240" w:lineRule="auto"/>
              <w:jc w:val="left"/>
            </w:pPr>
            <w:r>
              <w:rPr>
                <w:b/>
                <w:color w:val="FFFFFF"/>
                <w:sz w:val="20"/>
              </w:rPr>
              <w:t>Nature of Expense</w:t>
            </w:r>
          </w:p>
        </w:tc>
        <w:tc>
          <w:tcPr>
            <w:tcW w:type="dxa" w:w="1871"/>
            <w:shd w:val="clear" w:color="auto" w:fill="1F3A5F"/>
          </w:tcPr>
          <w:p>
            <w:pPr>
              <w:spacing w:after="20" w:before="20" w:line="240" w:lineRule="auto"/>
              <w:jc w:val="left"/>
            </w:pPr>
            <w:r>
              <w:rPr>
                <w:b/>
                <w:color w:val="FFFFFF"/>
                <w:sz w:val="20"/>
              </w:rPr>
              <w:t>2022–23 Proposed Amount (Rs)</w:t>
            </w:r>
          </w:p>
        </w:tc>
        <w:tc>
          <w:tcPr>
            <w:tcW w:type="dxa" w:w="1871"/>
            <w:shd w:val="clear" w:color="auto" w:fill="1F3A5F"/>
          </w:tcPr>
          <w:p>
            <w:pPr>
              <w:spacing w:after="20" w:before="20" w:line="240" w:lineRule="auto"/>
              <w:jc w:val="left"/>
            </w:pPr>
            <w:r>
              <w:rPr>
                <w:b/>
                <w:color w:val="FFFFFF"/>
                <w:sz w:val="20"/>
              </w:rPr>
              <w:t>2021–22 Approved Amount (Rs)</w:t>
            </w:r>
          </w:p>
        </w:tc>
        <w:tc>
          <w:tcPr>
            <w:tcW w:type="dxa" w:w="1814"/>
            <w:shd w:val="clear" w:color="auto" w:fill="1F3A5F"/>
          </w:tcPr>
          <w:p>
            <w:pPr>
              <w:spacing w:after="20" w:before="20" w:line="240" w:lineRule="auto"/>
              <w:jc w:val="left"/>
            </w:pPr>
            <w:r>
              <w:rPr>
                <w:b/>
                <w:color w:val="FFFFFF"/>
                <w:sz w:val="20"/>
              </w:rPr>
              <w:t>2021–22 Expenditure (Rs)</w:t>
            </w:r>
          </w:p>
        </w:tc>
      </w:tr>
      <w:tr>
        <w:trPr>
          <w:cantSplit w:val="true"/>
        </w:trPr>
        <w:tc>
          <w:tcPr>
            <w:tcW w:type="dxa" w:w="737"/>
          </w:tcPr>
          <w:p>
            <w:pPr>
              <w:spacing w:after="20" w:before="20" w:line="240" w:lineRule="auto"/>
              <w:jc w:val="left"/>
            </w:pPr>
            <w:r>
              <w:rPr>
                <w:sz w:val="20"/>
              </w:rPr>
              <w:t>1</w:t>
            </w:r>
          </w:p>
        </w:tc>
        <w:tc>
          <w:tcPr>
            <w:tcW w:type="dxa" w:w="2948"/>
          </w:tcPr>
          <w:p>
            <w:pPr>
              <w:spacing w:after="20" w:before="20" w:line="240" w:lineRule="auto"/>
              <w:jc w:val="left"/>
            </w:pPr>
            <w:r>
              <w:rPr>
                <w:sz w:val="20"/>
              </w:rPr>
              <w:t>Printing and Stationery</w:t>
            </w:r>
          </w:p>
        </w:tc>
        <w:tc>
          <w:tcPr>
            <w:tcW w:type="dxa" w:w="1871"/>
          </w:tcPr>
          <w:p>
            <w:pPr>
              <w:spacing w:after="20" w:before="20" w:line="240" w:lineRule="auto"/>
              <w:jc w:val="left"/>
            </w:pPr>
          </w:p>
        </w:tc>
        <w:tc>
          <w:tcPr>
            <w:tcW w:type="dxa" w:w="1871"/>
          </w:tcPr>
          <w:p>
            <w:pPr>
              <w:spacing w:after="20" w:before="20" w:line="240" w:lineRule="auto"/>
              <w:jc w:val="left"/>
            </w:pPr>
          </w:p>
        </w:tc>
        <w:tc>
          <w:tcPr>
            <w:tcW w:type="dxa" w:w="1814"/>
          </w:tcPr>
          <w:p>
            <w:pPr>
              <w:spacing w:after="20" w:before="20" w:line="240" w:lineRule="auto"/>
              <w:jc w:val="left"/>
            </w:pPr>
          </w:p>
        </w:tc>
      </w:tr>
      <w:tr>
        <w:trPr>
          <w:cantSplit w:val="true"/>
        </w:trPr>
        <w:tc>
          <w:tcPr>
            <w:tcW w:type="dxa" w:w="737"/>
            <w:shd w:val="clear" w:color="auto" w:fill="E8EEF5"/>
          </w:tcPr>
          <w:p>
            <w:pPr>
              <w:spacing w:after="20" w:before="20" w:line="240" w:lineRule="auto"/>
              <w:jc w:val="left"/>
            </w:pPr>
            <w:r>
              <w:rPr>
                <w:sz w:val="20"/>
              </w:rPr>
              <w:t>2</w:t>
            </w:r>
          </w:p>
        </w:tc>
        <w:tc>
          <w:tcPr>
            <w:tcW w:type="dxa" w:w="2948"/>
            <w:shd w:val="clear" w:color="auto" w:fill="E8EEF5"/>
          </w:tcPr>
          <w:p>
            <w:pPr>
              <w:spacing w:after="20" w:before="20" w:line="240" w:lineRule="auto"/>
              <w:jc w:val="left"/>
            </w:pPr>
            <w:r>
              <w:rPr>
                <w:sz w:val="20"/>
              </w:rPr>
              <w:t>Borrowers Tokens</w:t>
            </w:r>
          </w:p>
        </w:tc>
        <w:tc>
          <w:tcPr>
            <w:tcW w:type="dxa" w:w="1871"/>
            <w:shd w:val="clear" w:color="auto" w:fill="E8EEF5"/>
          </w:tcPr>
          <w:p>
            <w:pPr>
              <w:spacing w:after="20" w:before="20" w:line="240" w:lineRule="auto"/>
              <w:jc w:val="left"/>
            </w:pPr>
          </w:p>
        </w:tc>
        <w:tc>
          <w:tcPr>
            <w:tcW w:type="dxa" w:w="1871"/>
            <w:shd w:val="clear" w:color="auto" w:fill="E8EEF5"/>
          </w:tcPr>
          <w:p>
            <w:pPr>
              <w:spacing w:after="20" w:before="20" w:line="240" w:lineRule="auto"/>
              <w:jc w:val="left"/>
            </w:pPr>
          </w:p>
        </w:tc>
        <w:tc>
          <w:tcPr>
            <w:tcW w:type="dxa" w:w="1814"/>
            <w:shd w:val="clear" w:color="auto" w:fill="E8EEF5"/>
          </w:tcPr>
          <w:p>
            <w:pPr>
              <w:spacing w:after="20" w:before="20" w:line="240" w:lineRule="auto"/>
              <w:jc w:val="left"/>
            </w:pPr>
          </w:p>
        </w:tc>
      </w:tr>
      <w:tr>
        <w:trPr>
          <w:cantSplit w:val="true"/>
        </w:trPr>
        <w:tc>
          <w:tcPr>
            <w:tcW w:type="dxa" w:w="737"/>
          </w:tcPr>
          <w:p>
            <w:pPr>
              <w:spacing w:after="20" w:before="20" w:line="240" w:lineRule="auto"/>
              <w:jc w:val="left"/>
            </w:pPr>
            <w:r>
              <w:rPr>
                <w:sz w:val="20"/>
              </w:rPr>
              <w:t>3</w:t>
            </w:r>
          </w:p>
        </w:tc>
        <w:tc>
          <w:tcPr>
            <w:tcW w:type="dxa" w:w="2948"/>
          </w:tcPr>
          <w:p>
            <w:pPr>
              <w:spacing w:after="20" w:before="20" w:line="240" w:lineRule="auto"/>
              <w:jc w:val="left"/>
            </w:pPr>
            <w:r>
              <w:rPr>
                <w:sz w:val="20"/>
              </w:rPr>
              <w:t>Barcode Labels</w:t>
            </w:r>
          </w:p>
        </w:tc>
        <w:tc>
          <w:tcPr>
            <w:tcW w:type="dxa" w:w="1871"/>
          </w:tcPr>
          <w:p>
            <w:pPr>
              <w:spacing w:after="20" w:before="20" w:line="240" w:lineRule="auto"/>
              <w:jc w:val="left"/>
            </w:pPr>
          </w:p>
        </w:tc>
        <w:tc>
          <w:tcPr>
            <w:tcW w:type="dxa" w:w="1871"/>
          </w:tcPr>
          <w:p>
            <w:pPr>
              <w:spacing w:after="20" w:before="20" w:line="240" w:lineRule="auto"/>
              <w:jc w:val="left"/>
            </w:pPr>
          </w:p>
        </w:tc>
        <w:tc>
          <w:tcPr>
            <w:tcW w:type="dxa" w:w="1814"/>
          </w:tcPr>
          <w:p>
            <w:pPr>
              <w:spacing w:after="20" w:before="20" w:line="240" w:lineRule="auto"/>
              <w:jc w:val="left"/>
            </w:pPr>
          </w:p>
        </w:tc>
      </w:tr>
      <w:tr>
        <w:trPr>
          <w:cantSplit w:val="true"/>
        </w:trPr>
        <w:tc>
          <w:tcPr>
            <w:tcW w:type="dxa" w:w="737"/>
            <w:shd w:val="clear" w:color="auto" w:fill="E8EEF5"/>
          </w:tcPr>
          <w:p>
            <w:pPr>
              <w:spacing w:after="20" w:before="20" w:line="240" w:lineRule="auto"/>
              <w:jc w:val="left"/>
            </w:pPr>
            <w:r>
              <w:rPr>
                <w:sz w:val="20"/>
              </w:rPr>
              <w:t>4</w:t>
            </w:r>
          </w:p>
        </w:tc>
        <w:tc>
          <w:tcPr>
            <w:tcW w:type="dxa" w:w="2948"/>
            <w:shd w:val="clear" w:color="auto" w:fill="E8EEF5"/>
          </w:tcPr>
          <w:p>
            <w:pPr>
              <w:spacing w:after="20" w:before="20" w:line="240" w:lineRule="auto"/>
              <w:jc w:val="left"/>
            </w:pPr>
            <w:r>
              <w:rPr>
                <w:sz w:val="20"/>
              </w:rPr>
              <w:t>Guest Lectures</w:t>
            </w:r>
          </w:p>
        </w:tc>
        <w:tc>
          <w:tcPr>
            <w:tcW w:type="dxa" w:w="1871"/>
            <w:shd w:val="clear" w:color="auto" w:fill="E8EEF5"/>
          </w:tcPr>
          <w:p>
            <w:pPr>
              <w:spacing w:after="20" w:before="20" w:line="240" w:lineRule="auto"/>
              <w:jc w:val="left"/>
            </w:pPr>
          </w:p>
        </w:tc>
        <w:tc>
          <w:tcPr>
            <w:tcW w:type="dxa" w:w="1871"/>
            <w:shd w:val="clear" w:color="auto" w:fill="E8EEF5"/>
          </w:tcPr>
          <w:p>
            <w:pPr>
              <w:spacing w:after="20" w:before="20" w:line="240" w:lineRule="auto"/>
              <w:jc w:val="left"/>
            </w:pPr>
          </w:p>
        </w:tc>
        <w:tc>
          <w:tcPr>
            <w:tcW w:type="dxa" w:w="1814"/>
            <w:shd w:val="clear" w:color="auto" w:fill="E8EEF5"/>
          </w:tcPr>
          <w:p>
            <w:pPr>
              <w:spacing w:after="20" w:before="20" w:line="240" w:lineRule="auto"/>
              <w:jc w:val="left"/>
            </w:pPr>
          </w:p>
        </w:tc>
      </w:tr>
      <w:tr>
        <w:trPr>
          <w:cantSplit w:val="true"/>
        </w:trPr>
        <w:tc>
          <w:tcPr>
            <w:tcW w:type="dxa" w:w="737"/>
          </w:tcPr>
          <w:p>
            <w:pPr>
              <w:spacing w:after="20" w:before="20" w:line="240" w:lineRule="auto"/>
              <w:jc w:val="left"/>
            </w:pPr>
            <w:r>
              <w:rPr>
                <w:sz w:val="20"/>
              </w:rPr>
              <w:t>5</w:t>
            </w:r>
          </w:p>
        </w:tc>
        <w:tc>
          <w:tcPr>
            <w:tcW w:type="dxa" w:w="2948"/>
          </w:tcPr>
          <w:p>
            <w:pPr>
              <w:spacing w:after="20" w:before="20" w:line="240" w:lineRule="auto"/>
              <w:jc w:val="left"/>
            </w:pPr>
            <w:r>
              <w:rPr>
                <w:sz w:val="20"/>
              </w:rPr>
              <w:t>International/National Conference</w:t>
            </w:r>
          </w:p>
        </w:tc>
        <w:tc>
          <w:tcPr>
            <w:tcW w:type="dxa" w:w="1871"/>
          </w:tcPr>
          <w:p>
            <w:pPr>
              <w:spacing w:after="20" w:before="20" w:line="240" w:lineRule="auto"/>
              <w:jc w:val="left"/>
            </w:pPr>
          </w:p>
        </w:tc>
        <w:tc>
          <w:tcPr>
            <w:tcW w:type="dxa" w:w="1871"/>
          </w:tcPr>
          <w:p>
            <w:pPr>
              <w:spacing w:after="20" w:before="20" w:line="240" w:lineRule="auto"/>
              <w:jc w:val="left"/>
            </w:pPr>
          </w:p>
        </w:tc>
        <w:tc>
          <w:tcPr>
            <w:tcW w:type="dxa" w:w="1814"/>
          </w:tcPr>
          <w:p>
            <w:pPr>
              <w:spacing w:after="20" w:before="20" w:line="240" w:lineRule="auto"/>
              <w:jc w:val="left"/>
            </w:pPr>
          </w:p>
        </w:tc>
      </w:tr>
      <w:tr>
        <w:trPr>
          <w:cantSplit w:val="true"/>
        </w:trPr>
        <w:tc>
          <w:tcPr>
            <w:tcW w:type="dxa" w:w="737"/>
            <w:shd w:val="clear" w:color="auto" w:fill="E8EEF5"/>
          </w:tcPr>
          <w:p>
            <w:pPr>
              <w:spacing w:after="20" w:before="20" w:line="240" w:lineRule="auto"/>
              <w:jc w:val="left"/>
            </w:pPr>
            <w:r>
              <w:rPr>
                <w:sz w:val="20"/>
              </w:rPr>
              <w:t>6</w:t>
            </w:r>
          </w:p>
        </w:tc>
        <w:tc>
          <w:tcPr>
            <w:tcW w:type="dxa" w:w="2948"/>
            <w:shd w:val="clear" w:color="auto" w:fill="E8EEF5"/>
          </w:tcPr>
          <w:p>
            <w:pPr>
              <w:spacing w:after="20" w:before="20" w:line="240" w:lineRule="auto"/>
              <w:jc w:val="left"/>
            </w:pPr>
            <w:r>
              <w:rPr>
                <w:sz w:val="20"/>
              </w:rPr>
              <w:t>TA &amp; DA</w:t>
            </w:r>
          </w:p>
        </w:tc>
        <w:tc>
          <w:tcPr>
            <w:tcW w:type="dxa" w:w="1871"/>
            <w:shd w:val="clear" w:color="auto" w:fill="E8EEF5"/>
          </w:tcPr>
          <w:p>
            <w:pPr>
              <w:spacing w:after="20" w:before="20" w:line="240" w:lineRule="auto"/>
              <w:jc w:val="left"/>
            </w:pPr>
          </w:p>
        </w:tc>
        <w:tc>
          <w:tcPr>
            <w:tcW w:type="dxa" w:w="1871"/>
            <w:shd w:val="clear" w:color="auto" w:fill="E8EEF5"/>
          </w:tcPr>
          <w:p>
            <w:pPr>
              <w:spacing w:after="20" w:before="20" w:line="240" w:lineRule="auto"/>
              <w:jc w:val="left"/>
            </w:pPr>
          </w:p>
        </w:tc>
        <w:tc>
          <w:tcPr>
            <w:tcW w:type="dxa" w:w="1814"/>
            <w:shd w:val="clear" w:color="auto" w:fill="E8EEF5"/>
          </w:tcPr>
          <w:p>
            <w:pPr>
              <w:spacing w:after="20" w:before="20" w:line="240" w:lineRule="auto"/>
              <w:jc w:val="left"/>
            </w:pPr>
          </w:p>
        </w:tc>
      </w:tr>
      <w:tr>
        <w:trPr>
          <w:cantSplit w:val="true"/>
        </w:trPr>
        <w:tc>
          <w:tcPr>
            <w:tcW w:type="dxa" w:w="737"/>
          </w:tcPr>
          <w:p>
            <w:pPr>
              <w:spacing w:after="20" w:before="20" w:line="240" w:lineRule="auto"/>
              <w:jc w:val="left"/>
            </w:pPr>
            <w:r>
              <w:rPr>
                <w:sz w:val="20"/>
              </w:rPr>
              <w:t>7</w:t>
            </w:r>
          </w:p>
        </w:tc>
        <w:tc>
          <w:tcPr>
            <w:tcW w:type="dxa" w:w="2948"/>
          </w:tcPr>
          <w:p>
            <w:pPr>
              <w:spacing w:after="20" w:before="20" w:line="240" w:lineRule="auto"/>
              <w:jc w:val="left"/>
            </w:pPr>
            <w:r>
              <w:rPr>
                <w:sz w:val="20"/>
              </w:rPr>
              <w:t>Journals and Periodicals (Online + Print)</w:t>
            </w:r>
          </w:p>
        </w:tc>
        <w:tc>
          <w:tcPr>
            <w:tcW w:type="dxa" w:w="1871"/>
          </w:tcPr>
          <w:p>
            <w:pPr>
              <w:spacing w:after="20" w:before="20" w:line="240" w:lineRule="auto"/>
              <w:jc w:val="left"/>
            </w:pPr>
          </w:p>
        </w:tc>
        <w:tc>
          <w:tcPr>
            <w:tcW w:type="dxa" w:w="1871"/>
          </w:tcPr>
          <w:p>
            <w:pPr>
              <w:spacing w:after="20" w:before="20" w:line="240" w:lineRule="auto"/>
              <w:jc w:val="left"/>
            </w:pPr>
          </w:p>
        </w:tc>
        <w:tc>
          <w:tcPr>
            <w:tcW w:type="dxa" w:w="1814"/>
          </w:tcPr>
          <w:p>
            <w:pPr>
              <w:spacing w:after="20" w:before="20" w:line="240" w:lineRule="auto"/>
              <w:jc w:val="left"/>
            </w:pPr>
          </w:p>
        </w:tc>
      </w:tr>
      <w:tr>
        <w:trPr>
          <w:cantSplit w:val="true"/>
        </w:trPr>
        <w:tc>
          <w:tcPr>
            <w:tcW w:type="dxa" w:w="737"/>
            <w:shd w:val="clear" w:color="auto" w:fill="E8EEF5"/>
          </w:tcPr>
          <w:p>
            <w:pPr>
              <w:spacing w:after="20" w:before="20" w:line="240" w:lineRule="auto"/>
              <w:jc w:val="left"/>
            </w:pPr>
            <w:r>
              <w:rPr>
                <w:sz w:val="20"/>
              </w:rPr>
              <w:t>8</w:t>
            </w:r>
          </w:p>
        </w:tc>
        <w:tc>
          <w:tcPr>
            <w:tcW w:type="dxa" w:w="2948"/>
            <w:shd w:val="clear" w:color="auto" w:fill="E8EEF5"/>
          </w:tcPr>
          <w:p>
            <w:pPr>
              <w:spacing w:after="20" w:before="20" w:line="240" w:lineRule="auto"/>
              <w:jc w:val="left"/>
            </w:pPr>
            <w:r>
              <w:rPr>
                <w:sz w:val="20"/>
              </w:rPr>
              <w:t>Local Stand Purchase</w:t>
            </w:r>
          </w:p>
        </w:tc>
        <w:tc>
          <w:tcPr>
            <w:tcW w:type="dxa" w:w="1871"/>
            <w:shd w:val="clear" w:color="auto" w:fill="E8EEF5"/>
          </w:tcPr>
          <w:p>
            <w:pPr>
              <w:spacing w:after="20" w:before="20" w:line="240" w:lineRule="auto"/>
              <w:jc w:val="left"/>
            </w:pPr>
          </w:p>
        </w:tc>
        <w:tc>
          <w:tcPr>
            <w:tcW w:type="dxa" w:w="1871"/>
            <w:shd w:val="clear" w:color="auto" w:fill="E8EEF5"/>
          </w:tcPr>
          <w:p>
            <w:pPr>
              <w:spacing w:after="20" w:before="20" w:line="240" w:lineRule="auto"/>
              <w:jc w:val="left"/>
            </w:pPr>
          </w:p>
        </w:tc>
        <w:tc>
          <w:tcPr>
            <w:tcW w:type="dxa" w:w="1814"/>
            <w:shd w:val="clear" w:color="auto" w:fill="E8EEF5"/>
          </w:tcPr>
          <w:p>
            <w:pPr>
              <w:spacing w:after="20" w:before="20" w:line="240" w:lineRule="auto"/>
              <w:jc w:val="left"/>
            </w:pPr>
          </w:p>
        </w:tc>
      </w:tr>
      <w:tr>
        <w:trPr>
          <w:cantSplit w:val="true"/>
        </w:trPr>
        <w:tc>
          <w:tcPr>
            <w:tcW w:type="dxa" w:w="737"/>
          </w:tcPr>
          <w:p>
            <w:pPr>
              <w:spacing w:after="20" w:before="20" w:line="240" w:lineRule="auto"/>
              <w:jc w:val="left"/>
            </w:pPr>
            <w:r>
              <w:rPr>
                <w:sz w:val="20"/>
              </w:rPr>
              <w:t>9</w:t>
            </w:r>
          </w:p>
        </w:tc>
        <w:tc>
          <w:tcPr>
            <w:tcW w:type="dxa" w:w="2948"/>
          </w:tcPr>
          <w:p>
            <w:pPr>
              <w:spacing w:after="20" w:before="20" w:line="240" w:lineRule="auto"/>
              <w:jc w:val="left"/>
            </w:pPr>
            <w:r>
              <w:rPr>
                <w:sz w:val="20"/>
              </w:rPr>
              <w:t>Internet</w:t>
            </w:r>
          </w:p>
        </w:tc>
        <w:tc>
          <w:tcPr>
            <w:tcW w:type="dxa" w:w="1871"/>
          </w:tcPr>
          <w:p>
            <w:pPr>
              <w:spacing w:after="20" w:before="20" w:line="240" w:lineRule="auto"/>
              <w:jc w:val="left"/>
            </w:pPr>
          </w:p>
        </w:tc>
        <w:tc>
          <w:tcPr>
            <w:tcW w:type="dxa" w:w="1871"/>
          </w:tcPr>
          <w:p>
            <w:pPr>
              <w:spacing w:after="20" w:before="20" w:line="240" w:lineRule="auto"/>
              <w:jc w:val="left"/>
            </w:pPr>
          </w:p>
        </w:tc>
        <w:tc>
          <w:tcPr>
            <w:tcW w:type="dxa" w:w="1814"/>
          </w:tcPr>
          <w:p>
            <w:pPr>
              <w:spacing w:after="20" w:before="20" w:line="240" w:lineRule="auto"/>
              <w:jc w:val="left"/>
            </w:pPr>
          </w:p>
        </w:tc>
      </w:tr>
      <w:tr>
        <w:trPr>
          <w:cantSplit w:val="true"/>
        </w:trPr>
        <w:tc>
          <w:tcPr>
            <w:tcW w:type="dxa" w:w="737"/>
            <w:shd w:val="clear" w:color="auto" w:fill="E8EEF5"/>
          </w:tcPr>
          <w:p>
            <w:pPr>
              <w:spacing w:after="20" w:before="20" w:line="240" w:lineRule="auto"/>
              <w:jc w:val="left"/>
            </w:pPr>
            <w:r>
              <w:rPr>
                <w:sz w:val="20"/>
              </w:rPr>
              <w:t>10</w:t>
            </w:r>
          </w:p>
        </w:tc>
        <w:tc>
          <w:tcPr>
            <w:tcW w:type="dxa" w:w="2948"/>
            <w:shd w:val="clear" w:color="auto" w:fill="E8EEF5"/>
          </w:tcPr>
          <w:p>
            <w:pPr>
              <w:spacing w:after="20" w:before="20" w:line="240" w:lineRule="auto"/>
              <w:jc w:val="left"/>
            </w:pPr>
            <w:r>
              <w:rPr>
                <w:sz w:val="20"/>
              </w:rPr>
              <w:t>Photostat Toner (5 Nos)</w:t>
            </w:r>
          </w:p>
        </w:tc>
        <w:tc>
          <w:tcPr>
            <w:tcW w:type="dxa" w:w="1871"/>
            <w:shd w:val="clear" w:color="auto" w:fill="E8EEF5"/>
          </w:tcPr>
          <w:p>
            <w:pPr>
              <w:spacing w:after="20" w:before="20" w:line="240" w:lineRule="auto"/>
              <w:jc w:val="left"/>
            </w:pPr>
          </w:p>
        </w:tc>
        <w:tc>
          <w:tcPr>
            <w:tcW w:type="dxa" w:w="1871"/>
            <w:shd w:val="clear" w:color="auto" w:fill="E8EEF5"/>
          </w:tcPr>
          <w:p>
            <w:pPr>
              <w:spacing w:after="20" w:before="20" w:line="240" w:lineRule="auto"/>
              <w:jc w:val="left"/>
            </w:pPr>
          </w:p>
        </w:tc>
        <w:tc>
          <w:tcPr>
            <w:tcW w:type="dxa" w:w="1814"/>
            <w:shd w:val="clear" w:color="auto" w:fill="E8EEF5"/>
          </w:tcPr>
          <w:p>
            <w:pPr>
              <w:spacing w:after="20" w:before="20" w:line="240" w:lineRule="auto"/>
              <w:jc w:val="left"/>
            </w:pPr>
          </w:p>
        </w:tc>
      </w:tr>
      <w:tr>
        <w:trPr>
          <w:cantSplit w:val="true"/>
        </w:trPr>
        <w:tc>
          <w:tcPr>
            <w:tcW w:type="dxa" w:w="737"/>
          </w:tcPr>
          <w:p>
            <w:pPr>
              <w:spacing w:after="20" w:before="20" w:line="240" w:lineRule="auto"/>
              <w:jc w:val="left"/>
            </w:pPr>
          </w:p>
        </w:tc>
        <w:tc>
          <w:tcPr>
            <w:tcW w:type="dxa" w:w="2948"/>
          </w:tcPr>
          <w:p>
            <w:pPr>
              <w:spacing w:after="20" w:before="20" w:line="240" w:lineRule="auto"/>
              <w:jc w:val="left"/>
            </w:pPr>
            <w:r>
              <w:rPr>
                <w:sz w:val="20"/>
              </w:rPr>
              <w:t>TOTAL (A)</w:t>
            </w:r>
          </w:p>
        </w:tc>
        <w:tc>
          <w:tcPr>
            <w:tcW w:type="dxa" w:w="1871"/>
          </w:tcPr>
          <w:p>
            <w:pPr>
              <w:spacing w:after="20" w:before="20" w:line="240" w:lineRule="auto"/>
              <w:jc w:val="left"/>
            </w:pPr>
          </w:p>
        </w:tc>
        <w:tc>
          <w:tcPr>
            <w:tcW w:type="dxa" w:w="1871"/>
          </w:tcPr>
          <w:p>
            <w:pPr>
              <w:spacing w:after="20" w:before="20" w:line="240" w:lineRule="auto"/>
              <w:jc w:val="left"/>
            </w:pPr>
          </w:p>
        </w:tc>
        <w:tc>
          <w:tcPr>
            <w:tcW w:type="dxa" w:w="1814"/>
          </w:tcPr>
          <w:p>
            <w:pPr>
              <w:spacing w:after="20" w:before="20" w:line="240" w:lineRule="auto"/>
              <w:jc w:val="left"/>
            </w:pPr>
          </w:p>
        </w:tc>
      </w:tr>
    </w:tbl>
    <w:p>
      <w:pPr>
        <w:spacing w:after="80" w:line="240" w:lineRule="auto"/>
      </w:pPr>
    </w:p>
    <w:p>
      <w:pPr>
        <w:pStyle w:val="Heading2"/>
      </w:pPr>
      <w:r>
        <w:rPr/>
        <w:t>B. MAINTENANCE BUDGET</w:t>
      </w:r>
    </w:p>
    <w:p>
      <w:r>
        <w:rPr>
          <w:i/>
        </w:rPr>
        <w:t>(Expenses for sustaining library resources and equipment)</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737"/>
        <w:gridCol w:w="2948"/>
        <w:gridCol w:w="1871"/>
        <w:gridCol w:w="1871"/>
        <w:gridCol w:w="1814"/>
      </w:tblGrid>
      <w:tr>
        <w:trPr>
          <w:cantSplit w:val="true"/>
          <w:tblHeader w:val="true"/>
        </w:trPr>
        <w:tc>
          <w:tcPr>
            <w:tcW w:type="dxa" w:w="737"/>
            <w:shd w:val="clear" w:color="auto" w:fill="1F3A5F"/>
          </w:tcPr>
          <w:p>
            <w:pPr>
              <w:spacing w:after="20" w:before="20" w:line="240" w:lineRule="auto"/>
              <w:jc w:val="left"/>
            </w:pPr>
            <w:r>
              <w:rPr>
                <w:b/>
                <w:color w:val="FFFFFF"/>
                <w:sz w:val="20"/>
              </w:rPr>
              <w:t>Sl. No</w:t>
            </w:r>
          </w:p>
        </w:tc>
        <w:tc>
          <w:tcPr>
            <w:tcW w:type="dxa" w:w="2948"/>
            <w:shd w:val="clear" w:color="auto" w:fill="1F3A5F"/>
          </w:tcPr>
          <w:p>
            <w:pPr>
              <w:spacing w:after="20" w:before="20" w:line="240" w:lineRule="auto"/>
              <w:jc w:val="left"/>
            </w:pPr>
            <w:r>
              <w:rPr>
                <w:b/>
                <w:color w:val="FFFFFF"/>
                <w:sz w:val="20"/>
              </w:rPr>
              <w:t>Nature of Expense</w:t>
            </w:r>
          </w:p>
        </w:tc>
        <w:tc>
          <w:tcPr>
            <w:tcW w:type="dxa" w:w="1871"/>
            <w:shd w:val="clear" w:color="auto" w:fill="1F3A5F"/>
          </w:tcPr>
          <w:p>
            <w:pPr>
              <w:spacing w:after="20" w:before="20" w:line="240" w:lineRule="auto"/>
              <w:jc w:val="left"/>
            </w:pPr>
            <w:r>
              <w:rPr>
                <w:b/>
                <w:color w:val="FFFFFF"/>
                <w:sz w:val="20"/>
              </w:rPr>
              <w:t>2022–23 Proposed Amount (Rs)</w:t>
            </w:r>
          </w:p>
        </w:tc>
        <w:tc>
          <w:tcPr>
            <w:tcW w:type="dxa" w:w="1871"/>
            <w:shd w:val="clear" w:color="auto" w:fill="1F3A5F"/>
          </w:tcPr>
          <w:p>
            <w:pPr>
              <w:spacing w:after="20" w:before="20" w:line="240" w:lineRule="auto"/>
              <w:jc w:val="left"/>
            </w:pPr>
            <w:r>
              <w:rPr>
                <w:b/>
                <w:color w:val="FFFFFF"/>
                <w:sz w:val="20"/>
              </w:rPr>
              <w:t>2021–22 Approved Amount (Rs)</w:t>
            </w:r>
          </w:p>
        </w:tc>
        <w:tc>
          <w:tcPr>
            <w:tcW w:type="dxa" w:w="1814"/>
            <w:shd w:val="clear" w:color="auto" w:fill="1F3A5F"/>
          </w:tcPr>
          <w:p>
            <w:pPr>
              <w:spacing w:after="20" w:before="20" w:line="240" w:lineRule="auto"/>
              <w:jc w:val="left"/>
            </w:pPr>
            <w:r>
              <w:rPr>
                <w:b/>
                <w:color w:val="FFFFFF"/>
                <w:sz w:val="20"/>
              </w:rPr>
              <w:t>2021–22 Expenditure (Rs)</w:t>
            </w:r>
          </w:p>
        </w:tc>
      </w:tr>
      <w:tr>
        <w:trPr>
          <w:cantSplit w:val="true"/>
        </w:trPr>
        <w:tc>
          <w:tcPr>
            <w:tcW w:type="dxa" w:w="737"/>
          </w:tcPr>
          <w:p>
            <w:pPr>
              <w:spacing w:after="20" w:before="20" w:line="240" w:lineRule="auto"/>
              <w:jc w:val="left"/>
            </w:pPr>
            <w:r>
              <w:rPr>
                <w:sz w:val="20"/>
              </w:rPr>
              <w:t>1</w:t>
            </w:r>
          </w:p>
        </w:tc>
        <w:tc>
          <w:tcPr>
            <w:tcW w:type="dxa" w:w="2948"/>
          </w:tcPr>
          <w:p>
            <w:pPr>
              <w:spacing w:after="20" w:before="20" w:line="240" w:lineRule="auto"/>
              <w:jc w:val="left"/>
            </w:pPr>
            <w:r>
              <w:rPr>
                <w:sz w:val="20"/>
              </w:rPr>
              <w:t>Book Binding (General, Book Bank, Periodicals)</w:t>
            </w:r>
          </w:p>
        </w:tc>
        <w:tc>
          <w:tcPr>
            <w:tcW w:type="dxa" w:w="1871"/>
          </w:tcPr>
          <w:p>
            <w:pPr>
              <w:spacing w:after="20" w:before="20" w:line="240" w:lineRule="auto"/>
              <w:jc w:val="left"/>
            </w:pPr>
          </w:p>
        </w:tc>
        <w:tc>
          <w:tcPr>
            <w:tcW w:type="dxa" w:w="1871"/>
          </w:tcPr>
          <w:p>
            <w:pPr>
              <w:spacing w:after="20" w:before="20" w:line="240" w:lineRule="auto"/>
              <w:jc w:val="left"/>
            </w:pPr>
          </w:p>
        </w:tc>
        <w:tc>
          <w:tcPr>
            <w:tcW w:type="dxa" w:w="1814"/>
          </w:tcPr>
          <w:p>
            <w:pPr>
              <w:spacing w:after="20" w:before="20" w:line="240" w:lineRule="auto"/>
              <w:jc w:val="left"/>
            </w:pPr>
          </w:p>
        </w:tc>
      </w:tr>
      <w:tr>
        <w:trPr>
          <w:cantSplit w:val="true"/>
        </w:trPr>
        <w:tc>
          <w:tcPr>
            <w:tcW w:type="dxa" w:w="737"/>
            <w:shd w:val="clear" w:color="auto" w:fill="E8EEF5"/>
          </w:tcPr>
          <w:p>
            <w:pPr>
              <w:spacing w:after="20" w:before="20" w:line="240" w:lineRule="auto"/>
              <w:jc w:val="left"/>
            </w:pPr>
            <w:r>
              <w:rPr>
                <w:sz w:val="20"/>
              </w:rPr>
              <w:t>2</w:t>
            </w:r>
          </w:p>
        </w:tc>
        <w:tc>
          <w:tcPr>
            <w:tcW w:type="dxa" w:w="2948"/>
            <w:shd w:val="clear" w:color="auto" w:fill="E8EEF5"/>
          </w:tcPr>
          <w:p>
            <w:pPr>
              <w:spacing w:after="20" w:before="20" w:line="240" w:lineRule="auto"/>
              <w:jc w:val="left"/>
            </w:pPr>
            <w:r>
              <w:rPr>
                <w:sz w:val="20"/>
              </w:rPr>
              <w:t>Barcode Printer Maintenance</w:t>
            </w:r>
          </w:p>
        </w:tc>
        <w:tc>
          <w:tcPr>
            <w:tcW w:type="dxa" w:w="1871"/>
            <w:shd w:val="clear" w:color="auto" w:fill="E8EEF5"/>
          </w:tcPr>
          <w:p>
            <w:pPr>
              <w:spacing w:after="20" w:before="20" w:line="240" w:lineRule="auto"/>
              <w:jc w:val="left"/>
            </w:pPr>
          </w:p>
        </w:tc>
        <w:tc>
          <w:tcPr>
            <w:tcW w:type="dxa" w:w="1871"/>
            <w:shd w:val="clear" w:color="auto" w:fill="E8EEF5"/>
          </w:tcPr>
          <w:p>
            <w:pPr>
              <w:spacing w:after="20" w:before="20" w:line="240" w:lineRule="auto"/>
              <w:jc w:val="left"/>
            </w:pPr>
          </w:p>
        </w:tc>
        <w:tc>
          <w:tcPr>
            <w:tcW w:type="dxa" w:w="1814"/>
            <w:shd w:val="clear" w:color="auto" w:fill="E8EEF5"/>
          </w:tcPr>
          <w:p>
            <w:pPr>
              <w:spacing w:after="20" w:before="20" w:line="240" w:lineRule="auto"/>
              <w:jc w:val="left"/>
            </w:pPr>
          </w:p>
        </w:tc>
      </w:tr>
      <w:tr>
        <w:trPr>
          <w:cantSplit w:val="true"/>
        </w:trPr>
        <w:tc>
          <w:tcPr>
            <w:tcW w:type="dxa" w:w="737"/>
          </w:tcPr>
          <w:p>
            <w:pPr>
              <w:spacing w:after="20" w:before="20" w:line="240" w:lineRule="auto"/>
              <w:jc w:val="left"/>
            </w:pPr>
            <w:r>
              <w:rPr>
                <w:sz w:val="20"/>
              </w:rPr>
              <w:t>3</w:t>
            </w:r>
          </w:p>
        </w:tc>
        <w:tc>
          <w:tcPr>
            <w:tcW w:type="dxa" w:w="2948"/>
          </w:tcPr>
          <w:p>
            <w:pPr>
              <w:spacing w:after="20" w:before="20" w:line="240" w:lineRule="auto"/>
              <w:jc w:val="left"/>
            </w:pPr>
            <w:r>
              <w:rPr>
                <w:sz w:val="20"/>
              </w:rPr>
              <w:t>Computer Maintenance</w:t>
            </w:r>
          </w:p>
        </w:tc>
        <w:tc>
          <w:tcPr>
            <w:tcW w:type="dxa" w:w="1871"/>
          </w:tcPr>
          <w:p>
            <w:pPr>
              <w:spacing w:after="20" w:before="20" w:line="240" w:lineRule="auto"/>
              <w:jc w:val="left"/>
            </w:pPr>
          </w:p>
        </w:tc>
        <w:tc>
          <w:tcPr>
            <w:tcW w:type="dxa" w:w="1871"/>
          </w:tcPr>
          <w:p>
            <w:pPr>
              <w:spacing w:after="20" w:before="20" w:line="240" w:lineRule="auto"/>
              <w:jc w:val="left"/>
            </w:pPr>
          </w:p>
        </w:tc>
        <w:tc>
          <w:tcPr>
            <w:tcW w:type="dxa" w:w="1814"/>
          </w:tcPr>
          <w:p>
            <w:pPr>
              <w:spacing w:after="20" w:before="20" w:line="240" w:lineRule="auto"/>
              <w:jc w:val="left"/>
            </w:pPr>
          </w:p>
        </w:tc>
      </w:tr>
      <w:tr>
        <w:trPr>
          <w:cantSplit w:val="true"/>
        </w:trPr>
        <w:tc>
          <w:tcPr>
            <w:tcW w:type="dxa" w:w="737"/>
            <w:shd w:val="clear" w:color="auto" w:fill="E8EEF5"/>
          </w:tcPr>
          <w:p>
            <w:pPr>
              <w:spacing w:after="20" w:before="20" w:line="240" w:lineRule="auto"/>
              <w:jc w:val="left"/>
            </w:pPr>
            <w:r>
              <w:rPr>
                <w:sz w:val="20"/>
              </w:rPr>
              <w:t>4</w:t>
            </w:r>
          </w:p>
        </w:tc>
        <w:tc>
          <w:tcPr>
            <w:tcW w:type="dxa" w:w="2948"/>
            <w:shd w:val="clear" w:color="auto" w:fill="E8EEF5"/>
          </w:tcPr>
          <w:p>
            <w:pPr>
              <w:spacing w:after="20" w:before="20" w:line="240" w:lineRule="auto"/>
              <w:jc w:val="left"/>
            </w:pPr>
            <w:r>
              <w:rPr>
                <w:sz w:val="20"/>
              </w:rPr>
              <w:t>Miscellaneous</w:t>
            </w:r>
          </w:p>
        </w:tc>
        <w:tc>
          <w:tcPr>
            <w:tcW w:type="dxa" w:w="1871"/>
            <w:shd w:val="clear" w:color="auto" w:fill="E8EEF5"/>
          </w:tcPr>
          <w:p>
            <w:pPr>
              <w:spacing w:after="20" w:before="20" w:line="240" w:lineRule="auto"/>
              <w:jc w:val="left"/>
            </w:pPr>
          </w:p>
        </w:tc>
        <w:tc>
          <w:tcPr>
            <w:tcW w:type="dxa" w:w="1871"/>
            <w:shd w:val="clear" w:color="auto" w:fill="E8EEF5"/>
          </w:tcPr>
          <w:p>
            <w:pPr>
              <w:spacing w:after="20" w:before="20" w:line="240" w:lineRule="auto"/>
              <w:jc w:val="left"/>
            </w:pPr>
          </w:p>
        </w:tc>
        <w:tc>
          <w:tcPr>
            <w:tcW w:type="dxa" w:w="1814"/>
            <w:shd w:val="clear" w:color="auto" w:fill="E8EEF5"/>
          </w:tcPr>
          <w:p>
            <w:pPr>
              <w:spacing w:after="20" w:before="20" w:line="240" w:lineRule="auto"/>
              <w:jc w:val="left"/>
            </w:pPr>
          </w:p>
        </w:tc>
      </w:tr>
      <w:tr>
        <w:trPr>
          <w:cantSplit w:val="true"/>
        </w:trPr>
        <w:tc>
          <w:tcPr>
            <w:tcW w:type="dxa" w:w="737"/>
          </w:tcPr>
          <w:p>
            <w:pPr>
              <w:spacing w:after="20" w:before="20" w:line="240" w:lineRule="auto"/>
              <w:jc w:val="left"/>
            </w:pPr>
            <w:r>
              <w:rPr>
                <w:sz w:val="20"/>
              </w:rPr>
              <w:t>5</w:t>
            </w:r>
          </w:p>
        </w:tc>
        <w:tc>
          <w:tcPr>
            <w:tcW w:type="dxa" w:w="2948"/>
          </w:tcPr>
          <w:p>
            <w:pPr>
              <w:spacing w:after="20" w:before="20" w:line="240" w:lineRule="auto"/>
              <w:jc w:val="left"/>
            </w:pPr>
            <w:r>
              <w:rPr>
                <w:sz w:val="20"/>
              </w:rPr>
              <w:t>Photostat Maintenance (AMC)</w:t>
            </w:r>
          </w:p>
        </w:tc>
        <w:tc>
          <w:tcPr>
            <w:tcW w:type="dxa" w:w="1871"/>
          </w:tcPr>
          <w:p>
            <w:pPr>
              <w:spacing w:after="20" w:before="20" w:line="240" w:lineRule="auto"/>
              <w:jc w:val="left"/>
            </w:pPr>
          </w:p>
        </w:tc>
        <w:tc>
          <w:tcPr>
            <w:tcW w:type="dxa" w:w="1871"/>
          </w:tcPr>
          <w:p>
            <w:pPr>
              <w:spacing w:after="20" w:before="20" w:line="240" w:lineRule="auto"/>
              <w:jc w:val="left"/>
            </w:pPr>
          </w:p>
        </w:tc>
        <w:tc>
          <w:tcPr>
            <w:tcW w:type="dxa" w:w="1814"/>
          </w:tcPr>
          <w:p>
            <w:pPr>
              <w:spacing w:after="20" w:before="20" w:line="240" w:lineRule="auto"/>
              <w:jc w:val="left"/>
            </w:pPr>
          </w:p>
        </w:tc>
      </w:tr>
      <w:tr>
        <w:trPr>
          <w:cantSplit w:val="true"/>
        </w:trPr>
        <w:tc>
          <w:tcPr>
            <w:tcW w:type="dxa" w:w="737"/>
            <w:shd w:val="clear" w:color="auto" w:fill="E8EEF5"/>
          </w:tcPr>
          <w:p>
            <w:pPr>
              <w:spacing w:after="20" w:before="20" w:line="240" w:lineRule="auto"/>
              <w:jc w:val="left"/>
            </w:pPr>
          </w:p>
        </w:tc>
        <w:tc>
          <w:tcPr>
            <w:tcW w:type="dxa" w:w="2948"/>
            <w:shd w:val="clear" w:color="auto" w:fill="E8EEF5"/>
          </w:tcPr>
          <w:p>
            <w:pPr>
              <w:spacing w:after="20" w:before="20" w:line="240" w:lineRule="auto"/>
              <w:jc w:val="left"/>
            </w:pPr>
            <w:r>
              <w:rPr>
                <w:sz w:val="20"/>
              </w:rPr>
              <w:t>TOTAL (B)</w:t>
            </w:r>
          </w:p>
        </w:tc>
        <w:tc>
          <w:tcPr>
            <w:tcW w:type="dxa" w:w="1871"/>
            <w:shd w:val="clear" w:color="auto" w:fill="E8EEF5"/>
          </w:tcPr>
          <w:p>
            <w:pPr>
              <w:spacing w:after="20" w:before="20" w:line="240" w:lineRule="auto"/>
              <w:jc w:val="left"/>
            </w:pPr>
          </w:p>
        </w:tc>
        <w:tc>
          <w:tcPr>
            <w:tcW w:type="dxa" w:w="1871"/>
            <w:shd w:val="clear" w:color="auto" w:fill="E8EEF5"/>
          </w:tcPr>
          <w:p>
            <w:pPr>
              <w:spacing w:after="20" w:before="20" w:line="240" w:lineRule="auto"/>
              <w:jc w:val="left"/>
            </w:pPr>
          </w:p>
        </w:tc>
        <w:tc>
          <w:tcPr>
            <w:tcW w:type="dxa" w:w="1814"/>
            <w:shd w:val="clear" w:color="auto" w:fill="E8EEF5"/>
          </w:tcPr>
          <w:p>
            <w:pPr>
              <w:spacing w:after="20" w:before="20" w:line="240" w:lineRule="auto"/>
              <w:jc w:val="left"/>
            </w:pPr>
          </w:p>
        </w:tc>
      </w:tr>
    </w:tbl>
    <w:p>
      <w:pPr>
        <w:spacing w:after="80" w:line="240" w:lineRule="auto"/>
      </w:pPr>
    </w:p>
    <w:p>
      <w:pPr>
        <w:pStyle w:val="Heading2"/>
      </w:pPr>
      <w:r>
        <w:rPr/>
        <w:t>C. DEVELOPMENT BUDGET</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2041"/>
        <w:gridCol w:w="2494"/>
        <w:gridCol w:w="1587"/>
        <w:gridCol w:w="1587"/>
        <w:gridCol w:w="1531"/>
      </w:tblGrid>
      <w:tr>
        <w:trPr>
          <w:cantSplit w:val="true"/>
          <w:tblHeader w:val="true"/>
        </w:trPr>
        <w:tc>
          <w:tcPr>
            <w:tcW w:type="dxa" w:w="2041"/>
            <w:shd w:val="clear" w:color="auto" w:fill="1F3A5F"/>
          </w:tcPr>
          <w:p>
            <w:pPr>
              <w:spacing w:after="20" w:before="20" w:line="240" w:lineRule="auto"/>
              <w:jc w:val="left"/>
            </w:pPr>
            <w:r>
              <w:rPr>
                <w:b/>
                <w:i/>
                <w:color w:val="FFFFFF"/>
                <w:sz w:val="20"/>
              </w:rPr>
              <w:t>(Capital investments for improving infrastructure and collections)</w:t>
            </w:r>
            <w:r>
              <w:rPr>
                <w:b/>
                <w:color w:val="FFFFFF"/>
                <w:sz w:val="20"/>
              </w:rPr>
              <w:t xml:space="preserve"> Sl. No</w:t>
            </w:r>
          </w:p>
        </w:tc>
        <w:tc>
          <w:tcPr>
            <w:tcW w:type="dxa" w:w="2494"/>
            <w:shd w:val="clear" w:color="auto" w:fill="1F3A5F"/>
          </w:tcPr>
          <w:p>
            <w:pPr>
              <w:spacing w:after="20" w:before="20" w:line="240" w:lineRule="auto"/>
              <w:jc w:val="left"/>
            </w:pPr>
            <w:r>
              <w:rPr>
                <w:b/>
                <w:color w:val="FFFFFF"/>
                <w:sz w:val="20"/>
              </w:rPr>
              <w:t>Nature of Expense</w:t>
            </w:r>
          </w:p>
        </w:tc>
        <w:tc>
          <w:tcPr>
            <w:tcW w:type="dxa" w:w="1587"/>
            <w:shd w:val="clear" w:color="auto" w:fill="1F3A5F"/>
          </w:tcPr>
          <w:p>
            <w:pPr>
              <w:spacing w:after="20" w:before="20" w:line="240" w:lineRule="auto"/>
              <w:jc w:val="left"/>
            </w:pPr>
            <w:r>
              <w:rPr>
                <w:b/>
                <w:color w:val="FFFFFF"/>
                <w:sz w:val="20"/>
              </w:rPr>
              <w:t>2022–23 Proposed Amount (Rs)</w:t>
            </w:r>
          </w:p>
        </w:tc>
        <w:tc>
          <w:tcPr>
            <w:tcW w:type="dxa" w:w="1587"/>
            <w:shd w:val="clear" w:color="auto" w:fill="1F3A5F"/>
          </w:tcPr>
          <w:p>
            <w:pPr>
              <w:spacing w:after="20" w:before="20" w:line="240" w:lineRule="auto"/>
              <w:jc w:val="left"/>
            </w:pPr>
            <w:r>
              <w:rPr>
                <w:b/>
                <w:color w:val="FFFFFF"/>
                <w:sz w:val="20"/>
              </w:rPr>
              <w:t>2021–22 Approved Amount (Rs)</w:t>
            </w:r>
          </w:p>
        </w:tc>
        <w:tc>
          <w:tcPr>
            <w:tcW w:type="dxa" w:w="1531"/>
            <w:shd w:val="clear" w:color="auto" w:fill="1F3A5F"/>
          </w:tcPr>
          <w:p>
            <w:pPr>
              <w:spacing w:after="20" w:before="20" w:line="240" w:lineRule="auto"/>
              <w:jc w:val="left"/>
            </w:pPr>
            <w:r>
              <w:rPr>
                <w:b/>
                <w:color w:val="FFFFFF"/>
                <w:sz w:val="20"/>
              </w:rPr>
              <w:t>2021–22 Expenditure (Rs)</w:t>
            </w:r>
          </w:p>
        </w:tc>
      </w:tr>
      <w:tr>
        <w:trPr>
          <w:cantSplit w:val="true"/>
        </w:trPr>
        <w:tc>
          <w:tcPr>
            <w:tcW w:type="dxa" w:w="2041"/>
          </w:tcPr>
          <w:p>
            <w:pPr>
              <w:spacing w:after="20" w:before="20" w:line="240" w:lineRule="auto"/>
              <w:jc w:val="left"/>
            </w:pPr>
            <w:r>
              <w:rPr>
                <w:sz w:val="20"/>
              </w:rPr>
              <w:t>1</w:t>
            </w:r>
          </w:p>
        </w:tc>
        <w:tc>
          <w:tcPr>
            <w:tcW w:type="dxa" w:w="2494"/>
          </w:tcPr>
          <w:p>
            <w:pPr>
              <w:spacing w:after="20" w:before="20" w:line="240" w:lineRule="auto"/>
              <w:jc w:val="left"/>
            </w:pPr>
            <w:r>
              <w:rPr>
                <w:sz w:val="20"/>
              </w:rPr>
              <w:t>Books (Volumes as per AICTE Norms) UG (x600), PG (x600)</w:t>
            </w:r>
          </w:p>
        </w:tc>
        <w:tc>
          <w:tcPr>
            <w:tcW w:type="dxa" w:w="1587"/>
          </w:tcPr>
          <w:p>
            <w:pPr>
              <w:spacing w:after="20" w:before="20" w:line="240" w:lineRule="auto"/>
              <w:jc w:val="left"/>
            </w:pPr>
          </w:p>
        </w:tc>
        <w:tc>
          <w:tcPr>
            <w:tcW w:type="dxa" w:w="1587"/>
          </w:tcPr>
          <w:p>
            <w:pPr>
              <w:spacing w:after="20" w:before="20" w:line="240" w:lineRule="auto"/>
              <w:jc w:val="left"/>
            </w:pPr>
          </w:p>
        </w:tc>
        <w:tc>
          <w:tcPr>
            <w:tcW w:type="dxa" w:w="1531"/>
          </w:tcPr>
          <w:p>
            <w:pPr>
              <w:spacing w:after="20" w:before="20" w:line="240" w:lineRule="auto"/>
              <w:jc w:val="left"/>
            </w:pPr>
          </w:p>
        </w:tc>
      </w:tr>
      <w:tr>
        <w:trPr>
          <w:cantSplit w:val="true"/>
        </w:trPr>
        <w:tc>
          <w:tcPr>
            <w:tcW w:type="dxa" w:w="2041"/>
            <w:shd w:val="clear" w:color="auto" w:fill="E8EEF5"/>
          </w:tcPr>
          <w:p>
            <w:pPr>
              <w:spacing w:after="20" w:before="20" w:line="240" w:lineRule="auto"/>
              <w:jc w:val="left"/>
            </w:pPr>
            <w:r>
              <w:rPr>
                <w:sz w:val="20"/>
              </w:rPr>
              <w:t>2</w:t>
            </w:r>
          </w:p>
        </w:tc>
        <w:tc>
          <w:tcPr>
            <w:tcW w:type="dxa" w:w="2494"/>
            <w:shd w:val="clear" w:color="auto" w:fill="E8EEF5"/>
          </w:tcPr>
          <w:p>
            <w:pPr>
              <w:spacing w:after="20" w:before="20" w:line="240" w:lineRule="auto"/>
              <w:jc w:val="left"/>
            </w:pPr>
            <w:r>
              <w:rPr>
                <w:sz w:val="20"/>
              </w:rPr>
              <w:t>New Subscription – Online + Print Journals/Periodicals</w:t>
            </w:r>
          </w:p>
        </w:tc>
        <w:tc>
          <w:tcPr>
            <w:tcW w:type="dxa" w:w="1587"/>
            <w:shd w:val="clear" w:color="auto" w:fill="E8EEF5"/>
          </w:tcPr>
          <w:p>
            <w:pPr>
              <w:spacing w:after="20" w:before="20" w:line="240" w:lineRule="auto"/>
              <w:jc w:val="left"/>
            </w:pPr>
          </w:p>
        </w:tc>
        <w:tc>
          <w:tcPr>
            <w:tcW w:type="dxa" w:w="1587"/>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r>
        <w:trPr>
          <w:cantSplit w:val="true"/>
        </w:trPr>
        <w:tc>
          <w:tcPr>
            <w:tcW w:type="dxa" w:w="2041"/>
          </w:tcPr>
          <w:p>
            <w:pPr>
              <w:spacing w:after="20" w:before="20" w:line="240" w:lineRule="auto"/>
              <w:jc w:val="left"/>
            </w:pPr>
            <w:r>
              <w:rPr>
                <w:sz w:val="20"/>
              </w:rPr>
              <w:t>3</w:t>
            </w:r>
          </w:p>
        </w:tc>
        <w:tc>
          <w:tcPr>
            <w:tcW w:type="dxa" w:w="2494"/>
          </w:tcPr>
          <w:p>
            <w:pPr>
              <w:spacing w:after="20" w:before="20" w:line="240" w:lineRule="auto"/>
              <w:jc w:val="left"/>
            </w:pPr>
            <w:r>
              <w:rPr>
                <w:sz w:val="20"/>
              </w:rPr>
              <w:t>Book Racks (5 Nos)</w:t>
            </w:r>
          </w:p>
        </w:tc>
        <w:tc>
          <w:tcPr>
            <w:tcW w:type="dxa" w:w="1587"/>
          </w:tcPr>
          <w:p>
            <w:pPr>
              <w:spacing w:after="20" w:before="20" w:line="240" w:lineRule="auto"/>
              <w:jc w:val="left"/>
            </w:pPr>
          </w:p>
        </w:tc>
        <w:tc>
          <w:tcPr>
            <w:tcW w:type="dxa" w:w="1587"/>
          </w:tcPr>
          <w:p>
            <w:pPr>
              <w:spacing w:after="20" w:before="20" w:line="240" w:lineRule="auto"/>
              <w:jc w:val="left"/>
            </w:pPr>
          </w:p>
        </w:tc>
        <w:tc>
          <w:tcPr>
            <w:tcW w:type="dxa" w:w="1531"/>
          </w:tcPr>
          <w:p>
            <w:pPr>
              <w:spacing w:after="20" w:before="20" w:line="240" w:lineRule="auto"/>
              <w:jc w:val="left"/>
            </w:pPr>
          </w:p>
        </w:tc>
      </w:tr>
      <w:tr>
        <w:trPr>
          <w:cantSplit w:val="true"/>
        </w:trPr>
        <w:tc>
          <w:tcPr>
            <w:tcW w:type="dxa" w:w="2041"/>
            <w:shd w:val="clear" w:color="auto" w:fill="E8EEF5"/>
          </w:tcPr>
          <w:p>
            <w:pPr>
              <w:spacing w:after="20" w:before="20" w:line="240" w:lineRule="auto"/>
              <w:jc w:val="left"/>
            </w:pPr>
            <w:r>
              <w:rPr>
                <w:sz w:val="20"/>
              </w:rPr>
              <w:t>4</w:t>
            </w:r>
          </w:p>
        </w:tc>
        <w:tc>
          <w:tcPr>
            <w:tcW w:type="dxa" w:w="2494"/>
            <w:shd w:val="clear" w:color="auto" w:fill="E8EEF5"/>
          </w:tcPr>
          <w:p>
            <w:pPr>
              <w:spacing w:after="20" w:before="20" w:line="240" w:lineRule="auto"/>
              <w:jc w:val="left"/>
            </w:pPr>
            <w:r>
              <w:rPr>
                <w:sz w:val="20"/>
              </w:rPr>
              <w:t>Barcode Scanners (2 Nos)</w:t>
            </w:r>
          </w:p>
        </w:tc>
        <w:tc>
          <w:tcPr>
            <w:tcW w:type="dxa" w:w="1587"/>
            <w:shd w:val="clear" w:color="auto" w:fill="E8EEF5"/>
          </w:tcPr>
          <w:p>
            <w:pPr>
              <w:spacing w:after="20" w:before="20" w:line="240" w:lineRule="auto"/>
              <w:jc w:val="left"/>
            </w:pPr>
          </w:p>
        </w:tc>
        <w:tc>
          <w:tcPr>
            <w:tcW w:type="dxa" w:w="1587"/>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r>
        <w:trPr>
          <w:cantSplit w:val="true"/>
        </w:trPr>
        <w:tc>
          <w:tcPr>
            <w:tcW w:type="dxa" w:w="2041"/>
          </w:tcPr>
          <w:p>
            <w:pPr>
              <w:spacing w:after="20" w:before="20" w:line="240" w:lineRule="auto"/>
              <w:jc w:val="left"/>
            </w:pPr>
            <w:r>
              <w:rPr>
                <w:sz w:val="20"/>
              </w:rPr>
              <w:t>5</w:t>
            </w:r>
          </w:p>
        </w:tc>
        <w:tc>
          <w:tcPr>
            <w:tcW w:type="dxa" w:w="2494"/>
          </w:tcPr>
          <w:p>
            <w:pPr>
              <w:spacing w:after="20" w:before="20" w:line="240" w:lineRule="auto"/>
              <w:jc w:val="left"/>
            </w:pPr>
            <w:r>
              <w:rPr>
                <w:sz w:val="20"/>
              </w:rPr>
              <w:t>Step Stools (2 Nos)</w:t>
            </w:r>
          </w:p>
        </w:tc>
        <w:tc>
          <w:tcPr>
            <w:tcW w:type="dxa" w:w="1587"/>
          </w:tcPr>
          <w:p>
            <w:pPr>
              <w:spacing w:after="20" w:before="20" w:line="240" w:lineRule="auto"/>
              <w:jc w:val="left"/>
            </w:pPr>
          </w:p>
        </w:tc>
        <w:tc>
          <w:tcPr>
            <w:tcW w:type="dxa" w:w="1587"/>
          </w:tcPr>
          <w:p>
            <w:pPr>
              <w:spacing w:after="20" w:before="20" w:line="240" w:lineRule="auto"/>
              <w:jc w:val="left"/>
            </w:pPr>
          </w:p>
        </w:tc>
        <w:tc>
          <w:tcPr>
            <w:tcW w:type="dxa" w:w="1531"/>
          </w:tcPr>
          <w:p>
            <w:pPr>
              <w:spacing w:after="20" w:before="20" w:line="240" w:lineRule="auto"/>
              <w:jc w:val="left"/>
            </w:pPr>
          </w:p>
        </w:tc>
      </w:tr>
      <w:tr>
        <w:trPr>
          <w:cantSplit w:val="true"/>
        </w:trPr>
        <w:tc>
          <w:tcPr>
            <w:tcW w:type="dxa" w:w="2041"/>
            <w:shd w:val="clear" w:color="auto" w:fill="E8EEF5"/>
          </w:tcPr>
          <w:p>
            <w:pPr>
              <w:spacing w:after="20" w:before="20" w:line="240" w:lineRule="auto"/>
              <w:jc w:val="left"/>
            </w:pPr>
            <w:r>
              <w:rPr>
                <w:sz w:val="20"/>
              </w:rPr>
              <w:t>6</w:t>
            </w:r>
          </w:p>
        </w:tc>
        <w:tc>
          <w:tcPr>
            <w:tcW w:type="dxa" w:w="2494"/>
            <w:shd w:val="clear" w:color="auto" w:fill="E8EEF5"/>
          </w:tcPr>
          <w:p>
            <w:pPr>
              <w:spacing w:after="20" w:before="20" w:line="240" w:lineRule="auto"/>
              <w:jc w:val="left"/>
            </w:pPr>
            <w:r>
              <w:rPr>
                <w:sz w:val="20"/>
              </w:rPr>
              <w:t>Laser Printer for Library Office</w:t>
            </w:r>
          </w:p>
        </w:tc>
        <w:tc>
          <w:tcPr>
            <w:tcW w:type="dxa" w:w="1587"/>
            <w:shd w:val="clear" w:color="auto" w:fill="E8EEF5"/>
          </w:tcPr>
          <w:p>
            <w:pPr>
              <w:spacing w:after="20" w:before="20" w:line="240" w:lineRule="auto"/>
              <w:jc w:val="left"/>
            </w:pPr>
          </w:p>
        </w:tc>
        <w:tc>
          <w:tcPr>
            <w:tcW w:type="dxa" w:w="1587"/>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r>
        <w:trPr>
          <w:cantSplit w:val="true"/>
        </w:trPr>
        <w:tc>
          <w:tcPr>
            <w:tcW w:type="dxa" w:w="2041"/>
          </w:tcPr>
          <w:p>
            <w:pPr>
              <w:spacing w:after="20" w:before="20" w:line="240" w:lineRule="auto"/>
              <w:jc w:val="left"/>
            </w:pPr>
            <w:r>
              <w:rPr>
                <w:sz w:val="20"/>
              </w:rPr>
              <w:t>7</w:t>
            </w:r>
          </w:p>
        </w:tc>
        <w:tc>
          <w:tcPr>
            <w:tcW w:type="dxa" w:w="2494"/>
          </w:tcPr>
          <w:p>
            <w:pPr>
              <w:spacing w:after="20" w:before="20" w:line="240" w:lineRule="auto"/>
              <w:jc w:val="left"/>
            </w:pPr>
            <w:r>
              <w:rPr>
                <w:sz w:val="20"/>
              </w:rPr>
              <w:t>Book Trolley</w:t>
            </w:r>
          </w:p>
        </w:tc>
        <w:tc>
          <w:tcPr>
            <w:tcW w:type="dxa" w:w="1587"/>
          </w:tcPr>
          <w:p>
            <w:pPr>
              <w:spacing w:after="20" w:before="20" w:line="240" w:lineRule="auto"/>
              <w:jc w:val="left"/>
            </w:pPr>
          </w:p>
        </w:tc>
        <w:tc>
          <w:tcPr>
            <w:tcW w:type="dxa" w:w="1587"/>
          </w:tcPr>
          <w:p>
            <w:pPr>
              <w:spacing w:after="20" w:before="20" w:line="240" w:lineRule="auto"/>
              <w:jc w:val="left"/>
            </w:pPr>
          </w:p>
        </w:tc>
        <w:tc>
          <w:tcPr>
            <w:tcW w:type="dxa" w:w="1531"/>
          </w:tcPr>
          <w:p>
            <w:pPr>
              <w:spacing w:after="20" w:before="20" w:line="240" w:lineRule="auto"/>
              <w:jc w:val="left"/>
            </w:pPr>
          </w:p>
        </w:tc>
      </w:tr>
      <w:tr>
        <w:trPr>
          <w:cantSplit w:val="true"/>
        </w:trPr>
        <w:tc>
          <w:tcPr>
            <w:tcW w:type="dxa" w:w="2041"/>
            <w:shd w:val="clear" w:color="auto" w:fill="E8EEF5"/>
          </w:tcPr>
          <w:p>
            <w:pPr>
              <w:spacing w:after="20" w:before="20" w:line="240" w:lineRule="auto"/>
              <w:jc w:val="left"/>
            </w:pPr>
          </w:p>
        </w:tc>
        <w:tc>
          <w:tcPr>
            <w:tcW w:type="dxa" w:w="2494"/>
            <w:shd w:val="clear" w:color="auto" w:fill="E8EEF5"/>
          </w:tcPr>
          <w:p>
            <w:pPr>
              <w:spacing w:after="20" w:before="20" w:line="240" w:lineRule="auto"/>
              <w:jc w:val="left"/>
            </w:pPr>
            <w:r>
              <w:rPr>
                <w:sz w:val="20"/>
              </w:rPr>
              <w:t>TOTAL (C)</w:t>
            </w:r>
          </w:p>
        </w:tc>
        <w:tc>
          <w:tcPr>
            <w:tcW w:type="dxa" w:w="1587"/>
            <w:shd w:val="clear" w:color="auto" w:fill="E8EEF5"/>
          </w:tcPr>
          <w:p>
            <w:pPr>
              <w:spacing w:after="20" w:before="20" w:line="240" w:lineRule="auto"/>
              <w:jc w:val="left"/>
            </w:pPr>
          </w:p>
        </w:tc>
        <w:tc>
          <w:tcPr>
            <w:tcW w:type="dxa" w:w="1587"/>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bl>
    <w:p>
      <w:pPr>
        <w:spacing w:after="80" w:line="240" w:lineRule="auto"/>
      </w:pPr>
    </w:p>
    <w:p>
      <w:pPr>
        <w:pStyle w:val="Heading2"/>
      </w:pPr>
      <w:r>
        <w:rPr/>
        <w:t>SUMMARY OF 2022–23 BUDGET</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850"/>
        <w:gridCol w:w="4706"/>
        <w:gridCol w:w="3685"/>
      </w:tblGrid>
      <w:tr>
        <w:trPr>
          <w:cantSplit w:val="true"/>
          <w:tblHeader w:val="true"/>
        </w:trPr>
        <w:tc>
          <w:tcPr>
            <w:tcW w:type="dxa" w:w="850"/>
            <w:shd w:val="clear" w:color="auto" w:fill="1F3A5F"/>
          </w:tcPr>
          <w:p>
            <w:pPr>
              <w:spacing w:after="20" w:before="20" w:line="240" w:lineRule="auto"/>
              <w:jc w:val="left"/>
            </w:pPr>
            <w:r>
              <w:rPr>
                <w:b/>
                <w:color w:val="FFFFFF"/>
                <w:sz w:val="20"/>
              </w:rPr>
              <w:t>S. No</w:t>
            </w:r>
          </w:p>
        </w:tc>
        <w:tc>
          <w:tcPr>
            <w:tcW w:type="dxa" w:w="4706"/>
            <w:shd w:val="clear" w:color="auto" w:fill="1F3A5F"/>
          </w:tcPr>
          <w:p>
            <w:pPr>
              <w:spacing w:after="20" w:before="20" w:line="240" w:lineRule="auto"/>
              <w:jc w:val="left"/>
            </w:pPr>
            <w:r>
              <w:rPr>
                <w:b/>
                <w:color w:val="FFFFFF"/>
                <w:sz w:val="20"/>
              </w:rPr>
              <w:t>Nature of Budget</w:t>
            </w:r>
          </w:p>
        </w:tc>
        <w:tc>
          <w:tcPr>
            <w:tcW w:type="dxa" w:w="3685"/>
            <w:shd w:val="clear" w:color="auto" w:fill="1F3A5F"/>
          </w:tcPr>
          <w:p>
            <w:pPr>
              <w:spacing w:after="20" w:before="20" w:line="240" w:lineRule="auto"/>
              <w:jc w:val="left"/>
            </w:pPr>
            <w:r>
              <w:rPr>
                <w:b/>
                <w:color w:val="FFFFFF"/>
                <w:sz w:val="20"/>
              </w:rPr>
              <w:t>Total Amount (Rs)</w:t>
            </w:r>
          </w:p>
        </w:tc>
      </w:tr>
      <w:tr>
        <w:trPr>
          <w:cantSplit w:val="true"/>
        </w:trPr>
        <w:tc>
          <w:tcPr>
            <w:tcW w:type="dxa" w:w="850"/>
          </w:tcPr>
          <w:p>
            <w:pPr>
              <w:spacing w:after="20" w:before="20" w:line="240" w:lineRule="auto"/>
              <w:jc w:val="left"/>
            </w:pPr>
            <w:r>
              <w:rPr>
                <w:sz w:val="20"/>
              </w:rPr>
              <w:t>1</w:t>
            </w:r>
          </w:p>
        </w:tc>
        <w:tc>
          <w:tcPr>
            <w:tcW w:type="dxa" w:w="4706"/>
          </w:tcPr>
          <w:p>
            <w:pPr>
              <w:spacing w:after="20" w:before="20" w:line="240" w:lineRule="auto"/>
              <w:jc w:val="left"/>
            </w:pPr>
            <w:r>
              <w:rPr>
                <w:sz w:val="20"/>
              </w:rPr>
              <w:t>Operational Budget (A)</w:t>
            </w:r>
          </w:p>
        </w:tc>
        <w:tc>
          <w:tcPr>
            <w:tcW w:type="dxa" w:w="3685"/>
          </w:tcPr>
          <w:p>
            <w:pPr>
              <w:spacing w:after="20" w:before="20" w:line="240" w:lineRule="auto"/>
              <w:jc w:val="left"/>
            </w:pPr>
          </w:p>
        </w:tc>
      </w:tr>
      <w:tr>
        <w:trPr>
          <w:cantSplit w:val="true"/>
        </w:trPr>
        <w:tc>
          <w:tcPr>
            <w:tcW w:type="dxa" w:w="850"/>
            <w:shd w:val="clear" w:color="auto" w:fill="E8EEF5"/>
          </w:tcPr>
          <w:p>
            <w:pPr>
              <w:spacing w:after="20" w:before="20" w:line="240" w:lineRule="auto"/>
              <w:jc w:val="left"/>
            </w:pPr>
            <w:r>
              <w:rPr>
                <w:sz w:val="20"/>
              </w:rPr>
              <w:t>2</w:t>
            </w:r>
          </w:p>
        </w:tc>
        <w:tc>
          <w:tcPr>
            <w:tcW w:type="dxa" w:w="4706"/>
            <w:shd w:val="clear" w:color="auto" w:fill="E8EEF5"/>
          </w:tcPr>
          <w:p>
            <w:pPr>
              <w:spacing w:after="20" w:before="20" w:line="240" w:lineRule="auto"/>
              <w:jc w:val="left"/>
            </w:pPr>
            <w:r>
              <w:rPr>
                <w:sz w:val="20"/>
              </w:rPr>
              <w:t>Maintenance Budget (B)</w:t>
            </w:r>
          </w:p>
        </w:tc>
        <w:tc>
          <w:tcPr>
            <w:tcW w:type="dxa" w:w="3685"/>
            <w:shd w:val="clear" w:color="auto" w:fill="E8EEF5"/>
          </w:tcPr>
          <w:p>
            <w:pPr>
              <w:spacing w:after="20" w:before="20" w:line="240" w:lineRule="auto"/>
              <w:jc w:val="left"/>
            </w:pPr>
          </w:p>
        </w:tc>
      </w:tr>
      <w:tr>
        <w:trPr>
          <w:cantSplit w:val="true"/>
        </w:trPr>
        <w:tc>
          <w:tcPr>
            <w:tcW w:type="dxa" w:w="850"/>
          </w:tcPr>
          <w:p>
            <w:pPr>
              <w:spacing w:after="20" w:before="20" w:line="240" w:lineRule="auto"/>
              <w:jc w:val="left"/>
            </w:pPr>
            <w:r>
              <w:rPr>
                <w:sz w:val="20"/>
              </w:rPr>
              <w:t>3</w:t>
            </w:r>
          </w:p>
        </w:tc>
        <w:tc>
          <w:tcPr>
            <w:tcW w:type="dxa" w:w="4706"/>
          </w:tcPr>
          <w:p>
            <w:pPr>
              <w:spacing w:after="20" w:before="20" w:line="240" w:lineRule="auto"/>
              <w:jc w:val="left"/>
            </w:pPr>
            <w:r>
              <w:rPr>
                <w:sz w:val="20"/>
              </w:rPr>
              <w:t>Development Budget (C)</w:t>
            </w:r>
          </w:p>
        </w:tc>
        <w:tc>
          <w:tcPr>
            <w:tcW w:type="dxa" w:w="3685"/>
          </w:tcPr>
          <w:p>
            <w:pPr>
              <w:spacing w:after="20" w:before="20" w:line="240" w:lineRule="auto"/>
              <w:jc w:val="left"/>
            </w:pPr>
          </w:p>
        </w:tc>
      </w:tr>
      <w:tr>
        <w:trPr>
          <w:cantSplit w:val="true"/>
        </w:trPr>
        <w:tc>
          <w:tcPr>
            <w:tcW w:type="dxa" w:w="850"/>
            <w:shd w:val="clear" w:color="auto" w:fill="E8EEF5"/>
          </w:tcPr>
          <w:p>
            <w:pPr>
              <w:spacing w:after="20" w:before="20" w:line="240" w:lineRule="auto"/>
              <w:jc w:val="left"/>
            </w:pPr>
          </w:p>
        </w:tc>
        <w:tc>
          <w:tcPr>
            <w:tcW w:type="dxa" w:w="4706"/>
            <w:shd w:val="clear" w:color="auto" w:fill="E8EEF5"/>
          </w:tcPr>
          <w:p>
            <w:pPr>
              <w:spacing w:after="20" w:before="20" w:line="240" w:lineRule="auto"/>
              <w:jc w:val="left"/>
            </w:pPr>
            <w:r>
              <w:rPr>
                <w:sz w:val="20"/>
              </w:rPr>
              <w:t>TOTAL AMOUNT (A+B+C)</w:t>
            </w:r>
          </w:p>
        </w:tc>
        <w:tc>
          <w:tcPr>
            <w:tcW w:type="dxa" w:w="3685"/>
            <w:shd w:val="clear" w:color="auto" w:fill="E8EEF5"/>
          </w:tcPr>
          <w:p>
            <w:pPr>
              <w:spacing w:after="20" w:before="20" w:line="240" w:lineRule="auto"/>
              <w:jc w:val="left"/>
            </w:pPr>
          </w:p>
        </w:tc>
      </w:tr>
    </w:tbl>
    <w:p>
      <w:pPr>
        <w:spacing w:after="80" w:line="240" w:lineRule="auto"/>
      </w:pPr>
    </w:p>
    <w:p>
      <w:pPr>
        <w:spacing w:after="0"/>
      </w:pPr>
      <w:r>
        <w:br w:type="page"/>
      </w:r>
    </w:p>
    <w:p>
      <w:pPr>
        <w:pStyle w:val="Heading1"/>
        <w:spacing w:before="0"/>
      </w:pPr>
      <w:r>
        <w:rPr/>
        <w:t>53. Budget Proposal for Financial Year 2024–2025</w:t>
      </w:r>
    </w:p>
    <w:p>
      <w:r>
        <w:rPr/>
        <w:t>Submitted By:</w:t>
      </w:r>
    </w:p>
    <w:p>
      <w:r>
        <w:rPr/>
        <w:t>Name of the Dean/HOD/In-charge/Coordinator/Section Head/Office/Sports/Central Office:</w:t>
      </w:r>
    </w:p>
    <w:p>
      <w:pPr>
        <w:pStyle w:val="Heading2"/>
      </w:pPr>
      <w:r>
        <w:rPr/>
        <w:t>A. Laboratory / Department Development</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3118"/>
        <w:gridCol w:w="2041"/>
        <w:gridCol w:w="2041"/>
        <w:gridCol w:w="2041"/>
      </w:tblGrid>
      <w:tr>
        <w:trPr>
          <w:cantSplit w:val="true"/>
          <w:tblHeader w:val="true"/>
        </w:trPr>
        <w:tc>
          <w:tcPr>
            <w:tcW w:type="dxa" w:w="3118"/>
            <w:shd w:val="clear" w:color="auto" w:fill="1F3A5F"/>
          </w:tcPr>
          <w:p>
            <w:pPr>
              <w:spacing w:after="20" w:before="20" w:line="240" w:lineRule="auto"/>
              <w:jc w:val="left"/>
            </w:pPr>
            <w:r>
              <w:rPr>
                <w:b/>
                <w:color w:val="FFFFFF"/>
                <w:sz w:val="20"/>
              </w:rPr>
              <w:t>Item</w:t>
            </w:r>
          </w:p>
        </w:tc>
        <w:tc>
          <w:tcPr>
            <w:tcW w:type="dxa" w:w="2041"/>
            <w:shd w:val="clear" w:color="auto" w:fill="1F3A5F"/>
          </w:tcPr>
          <w:p>
            <w:pPr>
              <w:spacing w:after="20" w:before="20" w:line="240" w:lineRule="auto"/>
              <w:jc w:val="left"/>
            </w:pPr>
            <w:r>
              <w:rPr>
                <w:b/>
                <w:color w:val="FFFFFF"/>
                <w:sz w:val="20"/>
              </w:rPr>
              <w:t>2024–25 Proposed (Rs.)</w:t>
            </w:r>
          </w:p>
        </w:tc>
        <w:tc>
          <w:tcPr>
            <w:tcW w:type="dxa" w:w="2041"/>
            <w:shd w:val="clear" w:color="auto" w:fill="1F3A5F"/>
          </w:tcPr>
          <w:p>
            <w:pPr>
              <w:spacing w:after="20" w:before="20" w:line="240" w:lineRule="auto"/>
              <w:jc w:val="left"/>
            </w:pPr>
            <w:r>
              <w:rPr>
                <w:b/>
                <w:color w:val="FFFFFF"/>
                <w:sz w:val="20"/>
              </w:rPr>
              <w:t>2023–24 Approved (Rs.)</w:t>
            </w:r>
          </w:p>
        </w:tc>
        <w:tc>
          <w:tcPr>
            <w:tcW w:type="dxa" w:w="2041"/>
            <w:shd w:val="clear" w:color="auto" w:fill="1F3A5F"/>
          </w:tcPr>
          <w:p>
            <w:pPr>
              <w:spacing w:after="20" w:before="20" w:line="240" w:lineRule="auto"/>
              <w:jc w:val="left"/>
            </w:pPr>
            <w:r>
              <w:rPr>
                <w:b/>
                <w:color w:val="FFFFFF"/>
                <w:sz w:val="20"/>
              </w:rPr>
              <w:t>2023–24 Expenditure (Rs.)</w:t>
            </w:r>
          </w:p>
        </w:tc>
      </w:tr>
      <w:tr>
        <w:trPr>
          <w:cantSplit w:val="true"/>
        </w:trPr>
        <w:tc>
          <w:tcPr>
            <w:tcW w:type="dxa" w:w="3118"/>
          </w:tcPr>
          <w:p>
            <w:pPr>
              <w:spacing w:after="20" w:before="20" w:line="240" w:lineRule="auto"/>
              <w:jc w:val="left"/>
            </w:pPr>
            <w:r>
              <w:rPr>
                <w:sz w:val="20"/>
              </w:rPr>
              <w:t>□ Major Equipment</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Minor Equipment</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Software</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Maintenance/Calibration</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Lab Consumables</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Teaching Aids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Furniture</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Department Infrastructure</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Subtotal (A)</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bl>
    <w:p>
      <w:pPr>
        <w:spacing w:after="80" w:line="240" w:lineRule="auto"/>
      </w:pPr>
    </w:p>
    <w:p>
      <w:pPr>
        <w:pStyle w:val="Heading2"/>
      </w:pPr>
      <w:r>
        <w:rPr/>
        <w:t>B. Faculty / Staff Development</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3118"/>
        <w:gridCol w:w="2041"/>
        <w:gridCol w:w="2041"/>
        <w:gridCol w:w="2041"/>
      </w:tblGrid>
      <w:tr>
        <w:trPr>
          <w:cantSplit w:val="true"/>
          <w:tblHeader w:val="true"/>
        </w:trPr>
        <w:tc>
          <w:tcPr>
            <w:tcW w:type="dxa" w:w="3118"/>
            <w:shd w:val="clear" w:color="auto" w:fill="1F3A5F"/>
          </w:tcPr>
          <w:p>
            <w:pPr>
              <w:spacing w:after="20" w:before="20" w:line="240" w:lineRule="auto"/>
              <w:jc w:val="left"/>
            </w:pPr>
            <w:r>
              <w:rPr>
                <w:b/>
                <w:color w:val="FFFFFF"/>
                <w:sz w:val="20"/>
              </w:rPr>
              <w:t>Item</w:t>
            </w:r>
          </w:p>
        </w:tc>
        <w:tc>
          <w:tcPr>
            <w:tcW w:type="dxa" w:w="2041"/>
            <w:shd w:val="clear" w:color="auto" w:fill="1F3A5F"/>
          </w:tcPr>
          <w:p>
            <w:pPr>
              <w:spacing w:after="20" w:before="20" w:line="240" w:lineRule="auto"/>
              <w:jc w:val="left"/>
            </w:pPr>
            <w:r>
              <w:rPr>
                <w:b/>
                <w:color w:val="FFFFFF"/>
                <w:sz w:val="20"/>
              </w:rPr>
              <w:t>2024–25 Proposed (Rs.)</w:t>
            </w:r>
          </w:p>
        </w:tc>
        <w:tc>
          <w:tcPr>
            <w:tcW w:type="dxa" w:w="2041"/>
            <w:shd w:val="clear" w:color="auto" w:fill="1F3A5F"/>
          </w:tcPr>
          <w:p>
            <w:pPr>
              <w:spacing w:after="20" w:before="20" w:line="240" w:lineRule="auto"/>
              <w:jc w:val="left"/>
            </w:pPr>
            <w:r>
              <w:rPr>
                <w:b/>
                <w:color w:val="FFFFFF"/>
                <w:sz w:val="20"/>
              </w:rPr>
              <w:t>2023–24 Approved (Rs.)</w:t>
            </w:r>
          </w:p>
        </w:tc>
        <w:tc>
          <w:tcPr>
            <w:tcW w:type="dxa" w:w="2041"/>
            <w:shd w:val="clear" w:color="auto" w:fill="1F3A5F"/>
          </w:tcPr>
          <w:p>
            <w:pPr>
              <w:spacing w:after="20" w:before="20" w:line="240" w:lineRule="auto"/>
              <w:jc w:val="left"/>
            </w:pPr>
            <w:r>
              <w:rPr>
                <w:b/>
                <w:color w:val="FFFFFF"/>
                <w:sz w:val="20"/>
              </w:rPr>
              <w:t>2023–24 Expenditure (Rs.)</w:t>
            </w:r>
          </w:p>
        </w:tc>
      </w:tr>
      <w:tr>
        <w:trPr>
          <w:cantSplit w:val="true"/>
        </w:trPr>
        <w:tc>
          <w:tcPr>
            <w:tcW w:type="dxa" w:w="3118"/>
          </w:tcPr>
          <w:p>
            <w:pPr>
              <w:spacing w:after="20" w:before="20" w:line="240" w:lineRule="auto"/>
              <w:jc w:val="left"/>
            </w:pPr>
            <w:r>
              <w:rPr>
                <w:sz w:val="20"/>
              </w:rPr>
              <w:t>□ Seminars/Workshops/Conferences</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Summer/Winter Schools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Organizing FDP</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Attending Workshops/FDPs (External)</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Professional Society Memberships</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Incentives &amp; Rewards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Travel</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Subtotal (B)</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bl>
    <w:p>
      <w:pPr>
        <w:spacing w:after="80" w:line="240" w:lineRule="auto"/>
      </w:pPr>
    </w:p>
    <w:p>
      <w:pPr>
        <w:pStyle w:val="Heading2"/>
      </w:pPr>
      <w:r>
        <w:rPr/>
        <w:t>C. In-House Research</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3118"/>
        <w:gridCol w:w="2041"/>
        <w:gridCol w:w="2041"/>
        <w:gridCol w:w="2041"/>
      </w:tblGrid>
      <w:tr>
        <w:trPr>
          <w:cantSplit w:val="true"/>
          <w:tblHeader w:val="true"/>
        </w:trPr>
        <w:tc>
          <w:tcPr>
            <w:tcW w:type="dxa" w:w="3118"/>
            <w:shd w:val="clear" w:color="auto" w:fill="1F3A5F"/>
          </w:tcPr>
          <w:p>
            <w:pPr>
              <w:spacing w:after="20" w:before="20" w:line="240" w:lineRule="auto"/>
              <w:jc w:val="left"/>
            </w:pPr>
            <w:r>
              <w:rPr>
                <w:b/>
                <w:color w:val="FFFFFF"/>
                <w:sz w:val="20"/>
              </w:rPr>
              <w:t>Item</w:t>
            </w:r>
          </w:p>
        </w:tc>
        <w:tc>
          <w:tcPr>
            <w:tcW w:type="dxa" w:w="2041"/>
            <w:shd w:val="clear" w:color="auto" w:fill="1F3A5F"/>
          </w:tcPr>
          <w:p>
            <w:pPr>
              <w:spacing w:after="20" w:before="20" w:line="240" w:lineRule="auto"/>
              <w:jc w:val="left"/>
            </w:pPr>
            <w:r>
              <w:rPr>
                <w:b/>
                <w:color w:val="FFFFFF"/>
                <w:sz w:val="20"/>
              </w:rPr>
              <w:t>2024–25 Proposed (Rs.)</w:t>
            </w:r>
          </w:p>
        </w:tc>
        <w:tc>
          <w:tcPr>
            <w:tcW w:type="dxa" w:w="2041"/>
            <w:shd w:val="clear" w:color="auto" w:fill="1F3A5F"/>
          </w:tcPr>
          <w:p>
            <w:pPr>
              <w:spacing w:after="20" w:before="20" w:line="240" w:lineRule="auto"/>
              <w:jc w:val="left"/>
            </w:pPr>
            <w:r>
              <w:rPr>
                <w:b/>
                <w:color w:val="FFFFFF"/>
                <w:sz w:val="20"/>
              </w:rPr>
              <w:t>2023–24 Approved (Rs.)</w:t>
            </w:r>
          </w:p>
        </w:tc>
        <w:tc>
          <w:tcPr>
            <w:tcW w:type="dxa" w:w="2041"/>
            <w:shd w:val="clear" w:color="auto" w:fill="1F3A5F"/>
          </w:tcPr>
          <w:p>
            <w:pPr>
              <w:spacing w:after="20" w:before="20" w:line="240" w:lineRule="auto"/>
              <w:jc w:val="left"/>
            </w:pPr>
            <w:r>
              <w:rPr>
                <w:b/>
                <w:color w:val="FFFFFF"/>
                <w:sz w:val="20"/>
              </w:rPr>
              <w:t>2023–24 Expenditure (Rs.)</w:t>
            </w:r>
          </w:p>
        </w:tc>
      </w:tr>
      <w:tr>
        <w:trPr>
          <w:cantSplit w:val="true"/>
        </w:trPr>
        <w:tc>
          <w:tcPr>
            <w:tcW w:type="dxa" w:w="3118"/>
          </w:tcPr>
          <w:p>
            <w:pPr>
              <w:spacing w:after="20" w:before="20" w:line="240" w:lineRule="auto"/>
              <w:jc w:val="left"/>
            </w:pPr>
            <w:r>
              <w:rPr>
                <w:sz w:val="20"/>
              </w:rPr>
              <w:t>□ In-house Research Activities</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Research Publications &amp; Grants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Research Lab &amp; Equipment</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Any Other Items (Specify)</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Subtotal (C)</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bl>
    <w:p>
      <w:pPr>
        <w:spacing w:after="80" w:line="240" w:lineRule="auto"/>
      </w:pPr>
    </w:p>
    <w:p>
      <w:pPr>
        <w:pStyle w:val="Heading2"/>
      </w:pPr>
      <w:r>
        <w:rPr>
          <w:i/>
        </w:rPr>
        <w:t>D. Faculty / Staff Operational Expenses</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3118"/>
        <w:gridCol w:w="2041"/>
        <w:gridCol w:w="2041"/>
        <w:gridCol w:w="2041"/>
      </w:tblGrid>
      <w:tr>
        <w:trPr>
          <w:cantSplit w:val="true"/>
          <w:tblHeader w:val="true"/>
        </w:trPr>
        <w:tc>
          <w:tcPr>
            <w:tcW w:type="dxa" w:w="3118"/>
            <w:shd w:val="clear" w:color="auto" w:fill="1F3A5F"/>
          </w:tcPr>
          <w:p>
            <w:pPr>
              <w:spacing w:after="20" w:before="20" w:line="240" w:lineRule="auto"/>
              <w:jc w:val="left"/>
            </w:pPr>
            <w:r>
              <w:rPr>
                <w:b/>
                <w:color w:val="FFFFFF"/>
                <w:sz w:val="20"/>
              </w:rPr>
              <w:t>Item</w:t>
            </w:r>
          </w:p>
        </w:tc>
        <w:tc>
          <w:tcPr>
            <w:tcW w:type="dxa" w:w="2041"/>
            <w:shd w:val="clear" w:color="auto" w:fill="1F3A5F"/>
          </w:tcPr>
          <w:p>
            <w:pPr>
              <w:spacing w:after="20" w:before="20" w:line="240" w:lineRule="auto"/>
              <w:jc w:val="left"/>
            </w:pPr>
            <w:r>
              <w:rPr>
                <w:b/>
                <w:color w:val="FFFFFF"/>
                <w:sz w:val="20"/>
              </w:rPr>
              <w:t>2024–25 Proposed (Rs.)</w:t>
            </w:r>
          </w:p>
        </w:tc>
        <w:tc>
          <w:tcPr>
            <w:tcW w:type="dxa" w:w="2041"/>
            <w:shd w:val="clear" w:color="auto" w:fill="1F3A5F"/>
          </w:tcPr>
          <w:p>
            <w:pPr>
              <w:spacing w:after="20" w:before="20" w:line="240" w:lineRule="auto"/>
              <w:jc w:val="left"/>
            </w:pPr>
            <w:r>
              <w:rPr>
                <w:b/>
                <w:color w:val="FFFFFF"/>
                <w:sz w:val="20"/>
              </w:rPr>
              <w:t>2023–24 Approved (Rs.)</w:t>
            </w:r>
          </w:p>
        </w:tc>
        <w:tc>
          <w:tcPr>
            <w:tcW w:type="dxa" w:w="2041"/>
            <w:shd w:val="clear" w:color="auto" w:fill="1F3A5F"/>
          </w:tcPr>
          <w:p>
            <w:pPr>
              <w:spacing w:after="20" w:before="20" w:line="240" w:lineRule="auto"/>
              <w:jc w:val="left"/>
            </w:pPr>
            <w:r>
              <w:rPr>
                <w:b/>
                <w:color w:val="FFFFFF"/>
                <w:sz w:val="20"/>
              </w:rPr>
              <w:t>2023–24 Expenditure (Rs.)</w:t>
            </w:r>
          </w:p>
        </w:tc>
      </w:tr>
      <w:tr>
        <w:trPr>
          <w:cantSplit w:val="true"/>
        </w:trPr>
        <w:tc>
          <w:tcPr>
            <w:tcW w:type="dxa" w:w="3118"/>
          </w:tcPr>
          <w:p>
            <w:pPr>
              <w:spacing w:after="20" w:before="20" w:line="240" w:lineRule="auto"/>
              <w:jc w:val="left"/>
            </w:pPr>
            <w:r>
              <w:rPr>
                <w:sz w:val="20"/>
              </w:rPr>
              <w:t>□ Salary of Teaching Staff</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Salary of Non-Teaching Staff</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Other Benefits</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Subtotal (D)</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bl>
    <w:p>
      <w:pPr>
        <w:spacing w:after="80" w:line="240" w:lineRule="auto"/>
      </w:pPr>
    </w:p>
    <w:p>
      <w:pPr>
        <w:pStyle w:val="Heading2"/>
      </w:pPr>
      <w:r>
        <w:rPr>
          <w:i/>
        </w:rPr>
        <w:t>E. Student Development Activities</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3118"/>
        <w:gridCol w:w="2041"/>
        <w:gridCol w:w="2041"/>
        <w:gridCol w:w="2041"/>
      </w:tblGrid>
      <w:tr>
        <w:trPr>
          <w:cantSplit w:val="true"/>
          <w:tblHeader w:val="true"/>
        </w:trPr>
        <w:tc>
          <w:tcPr>
            <w:tcW w:type="dxa" w:w="3118"/>
            <w:shd w:val="clear" w:color="auto" w:fill="1F3A5F"/>
          </w:tcPr>
          <w:p>
            <w:pPr>
              <w:spacing w:after="20" w:before="20" w:line="240" w:lineRule="auto"/>
              <w:jc w:val="left"/>
            </w:pPr>
            <w:r>
              <w:rPr>
                <w:b/>
                <w:color w:val="FFFFFF"/>
                <w:sz w:val="20"/>
              </w:rPr>
              <w:t>Item</w:t>
            </w:r>
          </w:p>
        </w:tc>
        <w:tc>
          <w:tcPr>
            <w:tcW w:type="dxa" w:w="2041"/>
            <w:shd w:val="clear" w:color="auto" w:fill="1F3A5F"/>
          </w:tcPr>
          <w:p>
            <w:pPr>
              <w:spacing w:after="20" w:before="20" w:line="240" w:lineRule="auto"/>
              <w:jc w:val="left"/>
            </w:pPr>
            <w:r>
              <w:rPr>
                <w:b/>
                <w:color w:val="FFFFFF"/>
                <w:sz w:val="20"/>
              </w:rPr>
              <w:t>2024–25 Proposed (Rs.)</w:t>
            </w:r>
          </w:p>
        </w:tc>
        <w:tc>
          <w:tcPr>
            <w:tcW w:type="dxa" w:w="2041"/>
            <w:shd w:val="clear" w:color="auto" w:fill="1F3A5F"/>
          </w:tcPr>
          <w:p>
            <w:pPr>
              <w:spacing w:after="20" w:before="20" w:line="240" w:lineRule="auto"/>
              <w:jc w:val="left"/>
            </w:pPr>
            <w:r>
              <w:rPr>
                <w:b/>
                <w:color w:val="FFFFFF"/>
                <w:sz w:val="20"/>
              </w:rPr>
              <w:t>2023–24 Approved (Rs.)</w:t>
            </w:r>
          </w:p>
        </w:tc>
        <w:tc>
          <w:tcPr>
            <w:tcW w:type="dxa" w:w="2041"/>
            <w:shd w:val="clear" w:color="auto" w:fill="1F3A5F"/>
          </w:tcPr>
          <w:p>
            <w:pPr>
              <w:spacing w:after="20" w:before="20" w:line="240" w:lineRule="auto"/>
              <w:jc w:val="left"/>
            </w:pPr>
            <w:r>
              <w:rPr>
                <w:b/>
                <w:color w:val="FFFFFF"/>
                <w:sz w:val="20"/>
              </w:rPr>
              <w:t>2023–24 Expenditure (Rs.)</w:t>
            </w:r>
          </w:p>
        </w:tc>
      </w:tr>
      <w:tr>
        <w:trPr>
          <w:cantSplit w:val="true"/>
        </w:trPr>
        <w:tc>
          <w:tcPr>
            <w:tcW w:type="dxa" w:w="3118"/>
          </w:tcPr>
          <w:p>
            <w:pPr>
              <w:spacing w:after="20" w:before="20" w:line="240" w:lineRule="auto"/>
              <w:jc w:val="left"/>
            </w:pPr>
            <w:r>
              <w:rPr>
                <w:sz w:val="20"/>
              </w:rPr>
              <w:t>□ Paper Presentation / Guest Lectures / Quizzes</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Organizing Inter-Department Events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Organizing Department Events</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Organizing Inter-Institute Events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Professional Society Memberships</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Personality Development Programs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Workshops on Ethics &amp; Entrepreneurship</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Alumni Events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Student Incentives, Rewards &amp; Industry Visits</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Subtotal (E)</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bl>
    <w:p>
      <w:pPr>
        <w:spacing w:after="80" w:line="240" w:lineRule="auto"/>
      </w:pPr>
    </w:p>
    <w:p>
      <w:pPr>
        <w:pStyle w:val="Heading2"/>
      </w:pPr>
      <w:r>
        <w:rPr/>
        <w:t>F. Department Stationery / Maintenance / Training</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3118"/>
        <w:gridCol w:w="2041"/>
        <w:gridCol w:w="2041"/>
        <w:gridCol w:w="2041"/>
      </w:tblGrid>
      <w:tr>
        <w:trPr>
          <w:cantSplit w:val="true"/>
          <w:tblHeader w:val="true"/>
        </w:trPr>
        <w:tc>
          <w:tcPr>
            <w:tcW w:type="dxa" w:w="3118"/>
            <w:shd w:val="clear" w:color="auto" w:fill="1F3A5F"/>
          </w:tcPr>
          <w:p>
            <w:pPr>
              <w:spacing w:after="20" w:before="20" w:line="240" w:lineRule="auto"/>
              <w:jc w:val="left"/>
            </w:pPr>
            <w:r>
              <w:rPr>
                <w:b/>
                <w:color w:val="FFFFFF"/>
                <w:sz w:val="20"/>
              </w:rPr>
              <w:t>Item</w:t>
            </w:r>
          </w:p>
        </w:tc>
        <w:tc>
          <w:tcPr>
            <w:tcW w:type="dxa" w:w="2041"/>
            <w:shd w:val="clear" w:color="auto" w:fill="1F3A5F"/>
          </w:tcPr>
          <w:p>
            <w:pPr>
              <w:spacing w:after="20" w:before="20" w:line="240" w:lineRule="auto"/>
              <w:jc w:val="left"/>
            </w:pPr>
            <w:r>
              <w:rPr>
                <w:b/>
                <w:color w:val="FFFFFF"/>
                <w:sz w:val="20"/>
              </w:rPr>
              <w:t>2024–25 Proposed (Rs.)</w:t>
            </w:r>
          </w:p>
        </w:tc>
        <w:tc>
          <w:tcPr>
            <w:tcW w:type="dxa" w:w="2041"/>
            <w:shd w:val="clear" w:color="auto" w:fill="1F3A5F"/>
          </w:tcPr>
          <w:p>
            <w:pPr>
              <w:spacing w:after="20" w:before="20" w:line="240" w:lineRule="auto"/>
              <w:jc w:val="left"/>
            </w:pPr>
            <w:r>
              <w:rPr>
                <w:b/>
                <w:color w:val="FFFFFF"/>
                <w:sz w:val="20"/>
              </w:rPr>
              <w:t>2023–24 Approved (Rs.)</w:t>
            </w:r>
          </w:p>
        </w:tc>
        <w:tc>
          <w:tcPr>
            <w:tcW w:type="dxa" w:w="2041"/>
            <w:shd w:val="clear" w:color="auto" w:fill="1F3A5F"/>
          </w:tcPr>
          <w:p>
            <w:pPr>
              <w:spacing w:after="20" w:before="20" w:line="240" w:lineRule="auto"/>
              <w:jc w:val="left"/>
            </w:pPr>
            <w:r>
              <w:rPr>
                <w:b/>
                <w:color w:val="FFFFFF"/>
                <w:sz w:val="20"/>
              </w:rPr>
              <w:t>2023–24 Expenditure (Rs.)</w:t>
            </w:r>
          </w:p>
        </w:tc>
      </w:tr>
      <w:tr>
        <w:trPr>
          <w:cantSplit w:val="true"/>
        </w:trPr>
        <w:tc>
          <w:tcPr>
            <w:tcW w:type="dxa" w:w="3118"/>
          </w:tcPr>
          <w:p>
            <w:pPr>
              <w:spacing w:after="20" w:before="20" w:line="240" w:lineRule="auto"/>
              <w:jc w:val="left"/>
            </w:pPr>
            <w:r>
              <w:rPr>
                <w:sz w:val="20"/>
              </w:rPr>
              <w:t>□ Stationery</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Books / E-Journals / Print Journals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Faculty Furniture</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Power Bills &amp; Utilities</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Repairs and Maintenance</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 Placement Drive Estimation (A)</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r>
        <w:trPr>
          <w:cantSplit w:val="true"/>
        </w:trPr>
        <w:tc>
          <w:tcPr>
            <w:tcW w:type="dxa" w:w="3118"/>
          </w:tcPr>
          <w:p>
            <w:pPr>
              <w:spacing w:after="20" w:before="20" w:line="240" w:lineRule="auto"/>
              <w:jc w:val="left"/>
            </w:pPr>
            <w:r>
              <w:rPr>
                <w:sz w:val="20"/>
              </w:rPr>
              <w:t>□ Training Activities Estimation (B)</w:t>
            </w:r>
          </w:p>
        </w:tc>
        <w:tc>
          <w:tcPr>
            <w:tcW w:type="dxa" w:w="2041"/>
          </w:tcPr>
          <w:p>
            <w:pPr>
              <w:spacing w:after="20" w:before="20" w:line="240" w:lineRule="auto"/>
              <w:jc w:val="left"/>
            </w:pPr>
          </w:p>
        </w:tc>
        <w:tc>
          <w:tcPr>
            <w:tcW w:type="dxa" w:w="2041"/>
          </w:tcPr>
          <w:p>
            <w:pPr>
              <w:spacing w:after="20" w:before="20" w:line="240" w:lineRule="auto"/>
              <w:jc w:val="left"/>
            </w:pPr>
          </w:p>
        </w:tc>
        <w:tc>
          <w:tcPr>
            <w:tcW w:type="dxa" w:w="2041"/>
          </w:tcPr>
          <w:p>
            <w:pPr>
              <w:spacing w:after="20" w:before="20" w:line="240" w:lineRule="auto"/>
              <w:jc w:val="left"/>
            </w:pPr>
          </w:p>
        </w:tc>
      </w:tr>
      <w:tr>
        <w:trPr>
          <w:cantSplit w:val="true"/>
        </w:trPr>
        <w:tc>
          <w:tcPr>
            <w:tcW w:type="dxa" w:w="3118"/>
            <w:shd w:val="clear" w:color="auto" w:fill="E8EEF5"/>
          </w:tcPr>
          <w:p>
            <w:pPr>
              <w:spacing w:after="20" w:before="20" w:line="240" w:lineRule="auto"/>
              <w:jc w:val="left"/>
            </w:pPr>
            <w:r>
              <w:rPr>
                <w:sz w:val="20"/>
              </w:rPr>
              <w:t>Subtotal (F)</w:t>
            </w: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c>
          <w:tcPr>
            <w:tcW w:type="dxa" w:w="2041"/>
            <w:shd w:val="clear" w:color="auto" w:fill="E8EEF5"/>
          </w:tcPr>
          <w:p>
            <w:pPr>
              <w:spacing w:after="20" w:before="20" w:line="240" w:lineRule="auto"/>
              <w:jc w:val="left"/>
            </w:pPr>
          </w:p>
        </w:tc>
      </w:tr>
    </w:tbl>
    <w:p>
      <w:pPr>
        <w:spacing w:after="80" w:line="240" w:lineRule="auto"/>
      </w:pPr>
    </w:p>
    <w:p>
      <w:pPr>
        <w:pStyle w:val="Heading2"/>
      </w:pPr>
      <w:r>
        <w:rPr/>
        <w:t>Summary of Budget</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6406"/>
        <w:gridCol w:w="2835"/>
      </w:tblGrid>
      <w:tr>
        <w:trPr>
          <w:cantSplit w:val="true"/>
          <w:tblHeader w:val="true"/>
        </w:trPr>
        <w:tc>
          <w:tcPr>
            <w:tcW w:type="dxa" w:w="6406"/>
            <w:shd w:val="clear" w:color="auto" w:fill="1F3A5F"/>
          </w:tcPr>
          <w:p>
            <w:pPr>
              <w:spacing w:after="20" w:before="20" w:line="240" w:lineRule="auto"/>
              <w:jc w:val="left"/>
            </w:pPr>
            <w:r>
              <w:rPr>
                <w:b/>
                <w:color w:val="FFFFFF"/>
                <w:sz w:val="20"/>
              </w:rPr>
              <w:t>Budget Category</w:t>
            </w:r>
          </w:p>
        </w:tc>
        <w:tc>
          <w:tcPr>
            <w:tcW w:type="dxa" w:w="2835"/>
            <w:shd w:val="clear" w:color="auto" w:fill="1F3A5F"/>
          </w:tcPr>
          <w:p>
            <w:pPr>
              <w:spacing w:after="20" w:before="20" w:line="240" w:lineRule="auto"/>
              <w:jc w:val="left"/>
            </w:pPr>
            <w:r>
              <w:rPr>
                <w:b/>
                <w:color w:val="FFFFFF"/>
                <w:sz w:val="20"/>
              </w:rPr>
              <w:t>Total Amount (Rs.)</w:t>
            </w:r>
          </w:p>
        </w:tc>
      </w:tr>
      <w:tr>
        <w:trPr>
          <w:cantSplit w:val="true"/>
        </w:trPr>
        <w:tc>
          <w:tcPr>
            <w:tcW w:type="dxa" w:w="6406"/>
          </w:tcPr>
          <w:p>
            <w:pPr>
              <w:spacing w:after="20" w:before="20" w:line="240" w:lineRule="auto"/>
              <w:jc w:val="left"/>
            </w:pPr>
            <w:r>
              <w:rPr>
                <w:sz w:val="20"/>
              </w:rPr>
              <w:t>A. Laboratory / Department Development</w:t>
            </w:r>
          </w:p>
        </w:tc>
        <w:tc>
          <w:tcPr>
            <w:tcW w:type="dxa" w:w="2835"/>
          </w:tcPr>
          <w:p>
            <w:pPr>
              <w:spacing w:after="20" w:before="20" w:line="240" w:lineRule="auto"/>
              <w:jc w:val="left"/>
            </w:pPr>
          </w:p>
        </w:tc>
      </w:tr>
      <w:tr>
        <w:trPr>
          <w:cantSplit w:val="true"/>
        </w:trPr>
        <w:tc>
          <w:tcPr>
            <w:tcW w:type="dxa" w:w="6406"/>
            <w:shd w:val="clear" w:color="auto" w:fill="E8EEF5"/>
          </w:tcPr>
          <w:p>
            <w:pPr>
              <w:spacing w:after="20" w:before="20" w:line="240" w:lineRule="auto"/>
              <w:jc w:val="left"/>
            </w:pPr>
            <w:r>
              <w:rPr>
                <w:sz w:val="20"/>
              </w:rPr>
              <w:t>B. Faculty / Staff Development</w:t>
            </w:r>
          </w:p>
        </w:tc>
        <w:tc>
          <w:tcPr>
            <w:tcW w:type="dxa" w:w="2835"/>
            <w:shd w:val="clear" w:color="auto" w:fill="E8EEF5"/>
          </w:tcPr>
          <w:p>
            <w:pPr>
              <w:spacing w:after="20" w:before="20" w:line="240" w:lineRule="auto"/>
              <w:jc w:val="left"/>
            </w:pPr>
          </w:p>
        </w:tc>
      </w:tr>
      <w:tr>
        <w:trPr>
          <w:cantSplit w:val="true"/>
        </w:trPr>
        <w:tc>
          <w:tcPr>
            <w:tcW w:type="dxa" w:w="6406"/>
          </w:tcPr>
          <w:p>
            <w:pPr>
              <w:spacing w:after="20" w:before="20" w:line="240" w:lineRule="auto"/>
              <w:jc w:val="left"/>
            </w:pPr>
            <w:r>
              <w:rPr>
                <w:sz w:val="20"/>
              </w:rPr>
              <w:t>C. In-House Research</w:t>
            </w:r>
          </w:p>
        </w:tc>
        <w:tc>
          <w:tcPr>
            <w:tcW w:type="dxa" w:w="2835"/>
          </w:tcPr>
          <w:p>
            <w:pPr>
              <w:spacing w:after="20" w:before="20" w:line="240" w:lineRule="auto"/>
              <w:jc w:val="left"/>
            </w:pPr>
          </w:p>
        </w:tc>
      </w:tr>
      <w:tr>
        <w:trPr>
          <w:cantSplit w:val="true"/>
        </w:trPr>
        <w:tc>
          <w:tcPr>
            <w:tcW w:type="dxa" w:w="6406"/>
            <w:shd w:val="clear" w:color="auto" w:fill="E8EEF5"/>
          </w:tcPr>
          <w:p>
            <w:pPr>
              <w:spacing w:after="20" w:before="20" w:line="240" w:lineRule="auto"/>
              <w:jc w:val="left"/>
            </w:pPr>
            <w:r>
              <w:rPr>
                <w:sz w:val="20"/>
              </w:rPr>
              <w:t>D. Faculty / Staff Operational</w:t>
            </w:r>
          </w:p>
        </w:tc>
        <w:tc>
          <w:tcPr>
            <w:tcW w:type="dxa" w:w="2835"/>
            <w:shd w:val="clear" w:color="auto" w:fill="E8EEF5"/>
          </w:tcPr>
          <w:p>
            <w:pPr>
              <w:spacing w:after="20" w:before="20" w:line="240" w:lineRule="auto"/>
              <w:jc w:val="left"/>
            </w:pPr>
          </w:p>
        </w:tc>
      </w:tr>
      <w:tr>
        <w:trPr>
          <w:cantSplit w:val="true"/>
        </w:trPr>
        <w:tc>
          <w:tcPr>
            <w:tcW w:type="dxa" w:w="6406"/>
          </w:tcPr>
          <w:p>
            <w:pPr>
              <w:spacing w:after="20" w:before="20" w:line="240" w:lineRule="auto"/>
              <w:jc w:val="left"/>
            </w:pPr>
            <w:r>
              <w:rPr>
                <w:sz w:val="20"/>
              </w:rPr>
              <w:t>E. Student Development</w:t>
            </w:r>
          </w:p>
        </w:tc>
        <w:tc>
          <w:tcPr>
            <w:tcW w:type="dxa" w:w="2835"/>
          </w:tcPr>
          <w:p>
            <w:pPr>
              <w:spacing w:after="20" w:before="20" w:line="240" w:lineRule="auto"/>
              <w:jc w:val="left"/>
            </w:pPr>
          </w:p>
        </w:tc>
      </w:tr>
      <w:tr>
        <w:trPr>
          <w:cantSplit w:val="true"/>
        </w:trPr>
        <w:tc>
          <w:tcPr>
            <w:tcW w:type="dxa" w:w="6406"/>
            <w:shd w:val="clear" w:color="auto" w:fill="E8EEF5"/>
          </w:tcPr>
          <w:p>
            <w:pPr>
              <w:spacing w:after="20" w:before="20" w:line="240" w:lineRule="auto"/>
              <w:jc w:val="left"/>
            </w:pPr>
            <w:r>
              <w:rPr>
                <w:sz w:val="20"/>
              </w:rPr>
              <w:t>F. Stationery / Maintenance / Training</w:t>
            </w:r>
          </w:p>
        </w:tc>
        <w:tc>
          <w:tcPr>
            <w:tcW w:type="dxa" w:w="2835"/>
            <w:shd w:val="clear" w:color="auto" w:fill="E8EEF5"/>
          </w:tcPr>
          <w:p>
            <w:pPr>
              <w:spacing w:after="20" w:before="20" w:line="240" w:lineRule="auto"/>
              <w:jc w:val="left"/>
            </w:pPr>
          </w:p>
        </w:tc>
      </w:tr>
      <w:tr>
        <w:trPr>
          <w:cantSplit w:val="true"/>
        </w:trPr>
        <w:tc>
          <w:tcPr>
            <w:tcW w:type="dxa" w:w="6406"/>
          </w:tcPr>
          <w:p>
            <w:pPr>
              <w:spacing w:after="20" w:before="20" w:line="240" w:lineRule="auto"/>
              <w:jc w:val="left"/>
            </w:pPr>
            <w:r>
              <w:rPr>
                <w:b/>
                <w:sz w:val="20"/>
              </w:rPr>
              <w:t>Total Proposed Budget 2024–25</w:t>
            </w:r>
          </w:p>
        </w:tc>
        <w:tc>
          <w:tcPr>
            <w:tcW w:type="dxa" w:w="2835"/>
          </w:tcPr>
          <w:p>
            <w:pPr>
              <w:spacing w:after="20" w:before="20" w:line="240" w:lineRule="auto"/>
              <w:jc w:val="left"/>
            </w:pPr>
          </w:p>
        </w:tc>
      </w:tr>
    </w:tbl>
    <w:p>
      <w:pPr>
        <w:spacing w:after="80" w:line="240" w:lineRule="auto"/>
      </w:pPr>
    </w:p>
    <w:p>
      <w:pPr>
        <w:pStyle w:val="Heading2"/>
      </w:pPr>
      <w:r>
        <w:rPr/>
        <w:t>Previous Budget Summary</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2268"/>
        <w:gridCol w:w="3572"/>
        <w:gridCol w:w="3402"/>
      </w:tblGrid>
      <w:tr>
        <w:trPr>
          <w:cantSplit w:val="true"/>
          <w:tblHeader w:val="true"/>
        </w:trPr>
        <w:tc>
          <w:tcPr>
            <w:tcW w:type="dxa" w:w="2268"/>
            <w:shd w:val="clear" w:color="auto" w:fill="1F3A5F"/>
          </w:tcPr>
          <w:p>
            <w:pPr>
              <w:spacing w:after="20" w:before="20" w:line="240" w:lineRule="auto"/>
              <w:jc w:val="left"/>
            </w:pPr>
            <w:r>
              <w:rPr>
                <w:b/>
                <w:color w:val="FFFFFF"/>
                <w:sz w:val="20"/>
              </w:rPr>
              <w:t>Financial Year</w:t>
            </w:r>
          </w:p>
        </w:tc>
        <w:tc>
          <w:tcPr>
            <w:tcW w:type="dxa" w:w="3572"/>
            <w:shd w:val="clear" w:color="auto" w:fill="1F3A5F"/>
          </w:tcPr>
          <w:p>
            <w:pPr>
              <w:spacing w:after="20" w:before="20" w:line="240" w:lineRule="auto"/>
              <w:jc w:val="left"/>
            </w:pPr>
            <w:r>
              <w:rPr>
                <w:b/>
                <w:color w:val="FFFFFF"/>
                <w:sz w:val="20"/>
              </w:rPr>
              <w:t>Approved Budget (Rs.)</w:t>
            </w:r>
          </w:p>
        </w:tc>
        <w:tc>
          <w:tcPr>
            <w:tcW w:type="dxa" w:w="3402"/>
            <w:shd w:val="clear" w:color="auto" w:fill="1F3A5F"/>
          </w:tcPr>
          <w:p>
            <w:pPr>
              <w:spacing w:after="20" w:before="20" w:line="240" w:lineRule="auto"/>
              <w:jc w:val="left"/>
            </w:pPr>
            <w:r>
              <w:rPr>
                <w:b/>
                <w:color w:val="FFFFFF"/>
                <w:sz w:val="20"/>
              </w:rPr>
              <w:t>Spent Amount (Rs.)</w:t>
            </w:r>
          </w:p>
        </w:tc>
      </w:tr>
      <w:tr>
        <w:trPr>
          <w:cantSplit w:val="true"/>
        </w:trPr>
        <w:tc>
          <w:tcPr>
            <w:tcW w:type="dxa" w:w="2268"/>
          </w:tcPr>
          <w:p>
            <w:pPr>
              <w:spacing w:after="20" w:before="20" w:line="240" w:lineRule="auto"/>
              <w:jc w:val="left"/>
            </w:pPr>
            <w:r>
              <w:rPr>
                <w:sz w:val="20"/>
              </w:rPr>
              <w:t>2023–24</w:t>
            </w:r>
          </w:p>
        </w:tc>
        <w:tc>
          <w:tcPr>
            <w:tcW w:type="dxa" w:w="3572"/>
          </w:tcPr>
          <w:p>
            <w:pPr>
              <w:spacing w:after="20" w:before="20" w:line="240" w:lineRule="auto"/>
              <w:jc w:val="left"/>
            </w:pPr>
          </w:p>
        </w:tc>
        <w:tc>
          <w:tcPr>
            <w:tcW w:type="dxa" w:w="3402"/>
          </w:tcPr>
          <w:p>
            <w:pPr>
              <w:spacing w:after="20" w:before="20" w:line="240" w:lineRule="auto"/>
              <w:jc w:val="left"/>
            </w:pPr>
          </w:p>
        </w:tc>
      </w:tr>
      <w:tr>
        <w:trPr>
          <w:cantSplit w:val="true"/>
        </w:trPr>
        <w:tc>
          <w:tcPr>
            <w:tcW w:type="dxa" w:w="2268"/>
            <w:shd w:val="clear" w:color="auto" w:fill="E8EEF5"/>
          </w:tcPr>
          <w:p>
            <w:pPr>
              <w:spacing w:after="20" w:before="20" w:line="240" w:lineRule="auto"/>
              <w:jc w:val="left"/>
            </w:pPr>
            <w:r>
              <w:rPr>
                <w:sz w:val="20"/>
              </w:rPr>
              <w:t>2022–23</w:t>
            </w:r>
          </w:p>
        </w:tc>
        <w:tc>
          <w:tcPr>
            <w:tcW w:type="dxa" w:w="3572"/>
            <w:shd w:val="clear" w:color="auto" w:fill="E8EEF5"/>
          </w:tcPr>
          <w:p>
            <w:pPr>
              <w:spacing w:after="20" w:before="20" w:line="240" w:lineRule="auto"/>
              <w:jc w:val="left"/>
            </w:pPr>
          </w:p>
        </w:tc>
        <w:tc>
          <w:tcPr>
            <w:tcW w:type="dxa" w:w="3402"/>
            <w:shd w:val="clear" w:color="auto" w:fill="E8EEF5"/>
          </w:tcPr>
          <w:p>
            <w:pPr>
              <w:spacing w:after="20" w:before="20" w:line="240" w:lineRule="auto"/>
              <w:jc w:val="left"/>
            </w:pPr>
          </w:p>
        </w:tc>
      </w:tr>
    </w:tbl>
    <w:p>
      <w:pPr>
        <w:spacing w:after="80" w:line="240" w:lineRule="auto"/>
      </w:pPr>
    </w:p>
    <w:p>
      <w:pPr>
        <w:spacing w:after="0"/>
      </w:pPr>
      <w:r>
        <w:br w:type="page"/>
      </w:r>
    </w:p>
    <w:p>
      <w:pPr>
        <w:pStyle w:val="Heading1"/>
        <w:spacing w:before="0"/>
      </w:pPr>
      <w:r>
        <w:rPr/>
        <w:t>54. Library Stationery &amp; Record-Keeping Items Budget Sheet</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1701"/>
        <w:gridCol w:w="3288"/>
        <w:gridCol w:w="1474"/>
        <w:gridCol w:w="1417"/>
        <w:gridCol w:w="1361"/>
      </w:tblGrid>
      <w:tr>
        <w:trPr>
          <w:cantSplit w:val="true"/>
          <w:tblHeader w:val="true"/>
        </w:trPr>
        <w:tc>
          <w:tcPr>
            <w:tcW w:type="dxa" w:w="1701"/>
            <w:shd w:val="clear" w:color="auto" w:fill="1F3A5F"/>
          </w:tcPr>
          <w:p>
            <w:pPr>
              <w:spacing w:after="20" w:before="20" w:line="240" w:lineRule="auto"/>
              <w:jc w:val="left"/>
            </w:pPr>
            <w:r>
              <w:rPr>
                <w:b/>
                <w:color w:val="FFFFFF"/>
                <w:sz w:val="20"/>
              </w:rPr>
              <w:t>S. No.</w:t>
            </w:r>
          </w:p>
        </w:tc>
        <w:tc>
          <w:tcPr>
            <w:tcW w:type="dxa" w:w="3288"/>
            <w:shd w:val="clear" w:color="auto" w:fill="1F3A5F"/>
          </w:tcPr>
          <w:p>
            <w:pPr>
              <w:spacing w:after="20" w:before="20" w:line="240" w:lineRule="auto"/>
              <w:jc w:val="left"/>
            </w:pPr>
            <w:r>
              <w:rPr>
                <w:b/>
                <w:color w:val="FFFFFF"/>
                <w:sz w:val="20"/>
              </w:rPr>
              <w:t>Name of the Item</w:t>
            </w:r>
          </w:p>
        </w:tc>
        <w:tc>
          <w:tcPr>
            <w:tcW w:type="dxa" w:w="1474"/>
            <w:shd w:val="clear" w:color="auto" w:fill="1F3A5F"/>
          </w:tcPr>
          <w:p>
            <w:pPr>
              <w:spacing w:after="20" w:before="20" w:line="240" w:lineRule="auto"/>
              <w:jc w:val="left"/>
            </w:pPr>
            <w:r>
              <w:rPr>
                <w:b/>
                <w:color w:val="FFFFFF"/>
                <w:sz w:val="20"/>
              </w:rPr>
              <w:t>Requirement (Nos.)</w:t>
            </w:r>
          </w:p>
        </w:tc>
        <w:tc>
          <w:tcPr>
            <w:tcW w:type="dxa" w:w="1417"/>
            <w:shd w:val="clear" w:color="auto" w:fill="1F3A5F"/>
          </w:tcPr>
          <w:p>
            <w:pPr>
              <w:spacing w:after="20" w:before="20" w:line="240" w:lineRule="auto"/>
              <w:jc w:val="left"/>
            </w:pPr>
            <w:r>
              <w:rPr>
                <w:b/>
                <w:color w:val="FFFFFF"/>
                <w:sz w:val="20"/>
              </w:rPr>
              <w:t>Cost per Piece (Rs. Ps.)</w:t>
            </w:r>
          </w:p>
        </w:tc>
        <w:tc>
          <w:tcPr>
            <w:tcW w:type="dxa" w:w="1361"/>
            <w:shd w:val="clear" w:color="auto" w:fill="1F3A5F"/>
          </w:tcPr>
          <w:p>
            <w:pPr>
              <w:spacing w:after="20" w:before="20" w:line="240" w:lineRule="auto"/>
              <w:jc w:val="left"/>
            </w:pPr>
            <w:r>
              <w:rPr>
                <w:b/>
                <w:color w:val="FFFFFF"/>
                <w:sz w:val="20"/>
              </w:rPr>
              <w:t>Total Cost (Rs. Ps.)</w:t>
            </w:r>
          </w:p>
        </w:tc>
      </w:tr>
      <w:tr>
        <w:trPr>
          <w:cantSplit w:val="true"/>
        </w:trPr>
        <w:tc>
          <w:tcPr>
            <w:tcW w:type="dxa" w:w="1701"/>
          </w:tcPr>
          <w:p>
            <w:pPr>
              <w:spacing w:after="20" w:before="20" w:line="240" w:lineRule="auto"/>
              <w:jc w:val="left"/>
            </w:pPr>
            <w:r>
              <w:rPr>
                <w:b/>
                <w:sz w:val="20"/>
              </w:rPr>
              <w:t>A. Processing Section</w:t>
            </w:r>
          </w:p>
        </w:tc>
        <w:tc>
          <w:tcPr>
            <w:tcW w:type="dxa" w:w="3288"/>
          </w:tcPr>
          <w:p>
            <w:pPr>
              <w:spacing w:after="20" w:before="20" w:line="240" w:lineRule="auto"/>
              <w:jc w:val="left"/>
            </w:pP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1</w:t>
            </w:r>
          </w:p>
        </w:tc>
        <w:tc>
          <w:tcPr>
            <w:tcW w:type="dxa" w:w="3288"/>
            <w:shd w:val="clear" w:color="auto" w:fill="E8EEF5"/>
          </w:tcPr>
          <w:p>
            <w:pPr>
              <w:spacing w:after="20" w:before="20" w:line="240" w:lineRule="auto"/>
              <w:jc w:val="left"/>
            </w:pPr>
            <w:r>
              <w:rPr>
                <w:sz w:val="20"/>
              </w:rPr>
              <w:t>Stickers: Red colour</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b/>
                <w:sz w:val="20"/>
              </w:rPr>
              <w:t>B. Circulation Section</w:t>
            </w:r>
          </w:p>
        </w:tc>
        <w:tc>
          <w:tcPr>
            <w:tcW w:type="dxa" w:w="3288"/>
          </w:tcPr>
          <w:p>
            <w:pPr>
              <w:spacing w:after="20" w:before="20" w:line="240" w:lineRule="auto"/>
              <w:jc w:val="left"/>
            </w:pP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2</w:t>
            </w:r>
          </w:p>
        </w:tc>
        <w:tc>
          <w:tcPr>
            <w:tcW w:type="dxa" w:w="3288"/>
            <w:shd w:val="clear" w:color="auto" w:fill="E8EEF5"/>
          </w:tcPr>
          <w:p>
            <w:pPr>
              <w:spacing w:after="20" w:before="20" w:line="240" w:lineRule="auto"/>
              <w:jc w:val="left"/>
            </w:pPr>
            <w:r>
              <w:rPr>
                <w:sz w:val="20"/>
              </w:rPr>
              <w:t>Gate Registers</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3</w:t>
            </w:r>
          </w:p>
        </w:tc>
        <w:tc>
          <w:tcPr>
            <w:tcW w:type="dxa" w:w="3288"/>
          </w:tcPr>
          <w:p>
            <w:pPr>
              <w:spacing w:after="20" w:before="20" w:line="240" w:lineRule="auto"/>
              <w:jc w:val="left"/>
            </w:pPr>
            <w:r>
              <w:rPr>
                <w:sz w:val="20"/>
              </w:rPr>
              <w:t>Applications for Registration as Borrower (Student)</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4</w:t>
            </w:r>
          </w:p>
        </w:tc>
        <w:tc>
          <w:tcPr>
            <w:tcW w:type="dxa" w:w="3288"/>
            <w:shd w:val="clear" w:color="auto" w:fill="E8EEF5"/>
          </w:tcPr>
          <w:p>
            <w:pPr>
              <w:spacing w:after="20" w:before="20" w:line="240" w:lineRule="auto"/>
              <w:jc w:val="left"/>
            </w:pPr>
            <w:r>
              <w:rPr>
                <w:sz w:val="20"/>
              </w:rPr>
              <w:t>Applications for Registration as Borrower (Staff)</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5</w:t>
            </w:r>
          </w:p>
        </w:tc>
        <w:tc>
          <w:tcPr>
            <w:tcW w:type="dxa" w:w="3288"/>
          </w:tcPr>
          <w:p>
            <w:pPr>
              <w:spacing w:after="20" w:before="20" w:line="240" w:lineRule="auto"/>
              <w:jc w:val="left"/>
            </w:pPr>
            <w:r>
              <w:rPr>
                <w:sz w:val="20"/>
              </w:rPr>
              <w:t>Student Issue Registers</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6</w:t>
            </w:r>
          </w:p>
        </w:tc>
        <w:tc>
          <w:tcPr>
            <w:tcW w:type="dxa" w:w="3288"/>
            <w:shd w:val="clear" w:color="auto" w:fill="E8EEF5"/>
          </w:tcPr>
          <w:p>
            <w:pPr>
              <w:spacing w:after="20" w:before="20" w:line="240" w:lineRule="auto"/>
              <w:jc w:val="left"/>
            </w:pPr>
            <w:r>
              <w:rPr>
                <w:sz w:val="20"/>
              </w:rPr>
              <w:t>Student Return Registers</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7</w:t>
            </w:r>
          </w:p>
        </w:tc>
        <w:tc>
          <w:tcPr>
            <w:tcW w:type="dxa" w:w="3288"/>
          </w:tcPr>
          <w:p>
            <w:pPr>
              <w:spacing w:after="20" w:before="20" w:line="240" w:lineRule="auto"/>
              <w:jc w:val="left"/>
            </w:pPr>
            <w:r>
              <w:rPr>
                <w:sz w:val="20"/>
              </w:rPr>
              <w:t>Loss of Books Register</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8</w:t>
            </w:r>
          </w:p>
        </w:tc>
        <w:tc>
          <w:tcPr>
            <w:tcW w:type="dxa" w:w="3288"/>
            <w:shd w:val="clear" w:color="auto" w:fill="E8EEF5"/>
          </w:tcPr>
          <w:p>
            <w:pPr>
              <w:spacing w:after="20" w:before="20" w:line="240" w:lineRule="auto"/>
              <w:jc w:val="left"/>
            </w:pPr>
            <w:r>
              <w:rPr>
                <w:sz w:val="20"/>
              </w:rPr>
              <w:t>Replacement Register</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9</w:t>
            </w:r>
          </w:p>
        </w:tc>
        <w:tc>
          <w:tcPr>
            <w:tcW w:type="dxa" w:w="3288"/>
          </w:tcPr>
          <w:p>
            <w:pPr>
              <w:spacing w:after="20" w:before="20" w:line="240" w:lineRule="auto"/>
              <w:jc w:val="left"/>
            </w:pPr>
            <w:r>
              <w:rPr>
                <w:sz w:val="20"/>
              </w:rPr>
              <w:t>Fine Amount Register</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10</w:t>
            </w:r>
          </w:p>
        </w:tc>
        <w:tc>
          <w:tcPr>
            <w:tcW w:type="dxa" w:w="3288"/>
            <w:shd w:val="clear" w:color="auto" w:fill="E8EEF5"/>
          </w:tcPr>
          <w:p>
            <w:pPr>
              <w:spacing w:after="20" w:before="20" w:line="240" w:lineRule="auto"/>
              <w:jc w:val="left"/>
            </w:pPr>
            <w:r>
              <w:rPr>
                <w:sz w:val="20"/>
              </w:rPr>
              <w:t>Loss of Library Cards / Books</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11</w:t>
            </w:r>
          </w:p>
        </w:tc>
        <w:tc>
          <w:tcPr>
            <w:tcW w:type="dxa" w:w="3288"/>
          </w:tcPr>
          <w:p>
            <w:pPr>
              <w:spacing w:after="20" w:before="20" w:line="240" w:lineRule="auto"/>
              <w:jc w:val="left"/>
            </w:pPr>
            <w:r>
              <w:rPr>
                <w:sz w:val="20"/>
              </w:rPr>
              <w:t>Borrowers Card Slips</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12</w:t>
            </w:r>
          </w:p>
        </w:tc>
        <w:tc>
          <w:tcPr>
            <w:tcW w:type="dxa" w:w="3288"/>
            <w:shd w:val="clear" w:color="auto" w:fill="E8EEF5"/>
          </w:tcPr>
          <w:p>
            <w:pPr>
              <w:spacing w:after="20" w:before="20" w:line="240" w:lineRule="auto"/>
              <w:jc w:val="left"/>
            </w:pPr>
            <w:r>
              <w:rPr>
                <w:sz w:val="20"/>
              </w:rPr>
              <w:t>Reservation Slip Books</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b/>
                <w:sz w:val="20"/>
              </w:rPr>
              <w:t>C. Reference Section</w:t>
            </w:r>
          </w:p>
        </w:tc>
        <w:tc>
          <w:tcPr>
            <w:tcW w:type="dxa" w:w="3288"/>
          </w:tcPr>
          <w:p>
            <w:pPr>
              <w:spacing w:after="20" w:before="20" w:line="240" w:lineRule="auto"/>
              <w:jc w:val="left"/>
            </w:pP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13</w:t>
            </w:r>
          </w:p>
        </w:tc>
        <w:tc>
          <w:tcPr>
            <w:tcW w:type="dxa" w:w="3288"/>
            <w:shd w:val="clear" w:color="auto" w:fill="E8EEF5"/>
          </w:tcPr>
          <w:p>
            <w:pPr>
              <w:spacing w:after="20" w:before="20" w:line="240" w:lineRule="auto"/>
              <w:jc w:val="left"/>
            </w:pPr>
            <w:r>
              <w:rPr>
                <w:sz w:val="20"/>
              </w:rPr>
              <w:t>Reference Users Registers</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14</w:t>
            </w:r>
          </w:p>
        </w:tc>
        <w:tc>
          <w:tcPr>
            <w:tcW w:type="dxa" w:w="3288"/>
          </w:tcPr>
          <w:p>
            <w:pPr>
              <w:spacing w:after="20" w:before="20" w:line="240" w:lineRule="auto"/>
              <w:jc w:val="left"/>
            </w:pPr>
            <w:r>
              <w:rPr>
                <w:sz w:val="20"/>
              </w:rPr>
              <w:t>Book Issue Registers</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15</w:t>
            </w:r>
          </w:p>
        </w:tc>
        <w:tc>
          <w:tcPr>
            <w:tcW w:type="dxa" w:w="3288"/>
            <w:shd w:val="clear" w:color="auto" w:fill="E8EEF5"/>
          </w:tcPr>
          <w:p>
            <w:pPr>
              <w:spacing w:after="20" w:before="20" w:line="240" w:lineRule="auto"/>
              <w:jc w:val="left"/>
            </w:pPr>
            <w:r>
              <w:rPr>
                <w:sz w:val="20"/>
              </w:rPr>
              <w:t>R&amp;D Users Registers</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b/>
                <w:sz w:val="20"/>
              </w:rPr>
              <w:t>D. Periodical Section</w:t>
            </w:r>
          </w:p>
        </w:tc>
        <w:tc>
          <w:tcPr>
            <w:tcW w:type="dxa" w:w="3288"/>
          </w:tcPr>
          <w:p>
            <w:pPr>
              <w:spacing w:after="20" w:before="20" w:line="240" w:lineRule="auto"/>
              <w:jc w:val="left"/>
            </w:pP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16</w:t>
            </w:r>
          </w:p>
        </w:tc>
        <w:tc>
          <w:tcPr>
            <w:tcW w:type="dxa" w:w="3288"/>
            <w:shd w:val="clear" w:color="auto" w:fill="E8EEF5"/>
          </w:tcPr>
          <w:p>
            <w:pPr>
              <w:spacing w:after="20" w:before="20" w:line="240" w:lineRule="auto"/>
              <w:jc w:val="left"/>
            </w:pPr>
            <w:r>
              <w:rPr>
                <w:sz w:val="20"/>
              </w:rPr>
              <w:t>Journals/Periodicals Stock Registers</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17</w:t>
            </w:r>
          </w:p>
        </w:tc>
        <w:tc>
          <w:tcPr>
            <w:tcW w:type="dxa" w:w="3288"/>
          </w:tcPr>
          <w:p>
            <w:pPr>
              <w:spacing w:after="20" w:before="20" w:line="240" w:lineRule="auto"/>
              <w:jc w:val="left"/>
            </w:pPr>
            <w:r>
              <w:rPr>
                <w:sz w:val="20"/>
              </w:rPr>
              <w:t>Journals/Periodicals Issue Registers</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18</w:t>
            </w:r>
          </w:p>
        </w:tc>
        <w:tc>
          <w:tcPr>
            <w:tcW w:type="dxa" w:w="3288"/>
            <w:shd w:val="clear" w:color="auto" w:fill="E8EEF5"/>
          </w:tcPr>
          <w:p>
            <w:pPr>
              <w:spacing w:after="20" w:before="20" w:line="240" w:lineRule="auto"/>
              <w:jc w:val="left"/>
            </w:pPr>
            <w:r>
              <w:rPr>
                <w:sz w:val="20"/>
              </w:rPr>
              <w:t>Users Registers – Periodical Section</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19</w:t>
            </w:r>
          </w:p>
        </w:tc>
        <w:tc>
          <w:tcPr>
            <w:tcW w:type="dxa" w:w="3288"/>
          </w:tcPr>
          <w:p>
            <w:pPr>
              <w:spacing w:after="20" w:before="20" w:line="240" w:lineRule="auto"/>
              <w:jc w:val="left"/>
            </w:pPr>
            <w:r>
              <w:rPr>
                <w:sz w:val="20"/>
              </w:rPr>
              <w:t>Users Registers – Staff</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b/>
                <w:sz w:val="20"/>
              </w:rPr>
              <w:t>E. Digital Library Section</w:t>
            </w:r>
          </w:p>
        </w:tc>
        <w:tc>
          <w:tcPr>
            <w:tcW w:type="dxa" w:w="3288"/>
            <w:shd w:val="clear" w:color="auto" w:fill="E8EEF5"/>
          </w:tcPr>
          <w:p>
            <w:pPr>
              <w:spacing w:after="20" w:before="20" w:line="240" w:lineRule="auto"/>
              <w:jc w:val="left"/>
            </w:pP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20</w:t>
            </w:r>
          </w:p>
        </w:tc>
        <w:tc>
          <w:tcPr>
            <w:tcW w:type="dxa" w:w="3288"/>
          </w:tcPr>
          <w:p>
            <w:pPr>
              <w:spacing w:after="20" w:before="20" w:line="240" w:lineRule="auto"/>
              <w:jc w:val="left"/>
            </w:pPr>
            <w:r>
              <w:rPr>
                <w:sz w:val="20"/>
              </w:rPr>
              <w:t>Digital Library Student Register</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r>
              <w:rPr>
                <w:sz w:val="20"/>
              </w:rPr>
              <w:t>21</w:t>
            </w:r>
          </w:p>
        </w:tc>
        <w:tc>
          <w:tcPr>
            <w:tcW w:type="dxa" w:w="3288"/>
            <w:shd w:val="clear" w:color="auto" w:fill="E8EEF5"/>
          </w:tcPr>
          <w:p>
            <w:pPr>
              <w:spacing w:after="20" w:before="20" w:line="240" w:lineRule="auto"/>
              <w:jc w:val="left"/>
            </w:pPr>
            <w:r>
              <w:rPr>
                <w:sz w:val="20"/>
              </w:rPr>
              <w:t>Digital Library Staff Register</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r>
        <w:trPr>
          <w:cantSplit w:val="true"/>
        </w:trPr>
        <w:tc>
          <w:tcPr>
            <w:tcW w:type="dxa" w:w="1701"/>
          </w:tcPr>
          <w:p>
            <w:pPr>
              <w:spacing w:after="20" w:before="20" w:line="240" w:lineRule="auto"/>
              <w:jc w:val="left"/>
            </w:pPr>
            <w:r>
              <w:rPr>
                <w:sz w:val="20"/>
              </w:rPr>
              <w:t>22</w:t>
            </w:r>
          </w:p>
        </w:tc>
        <w:tc>
          <w:tcPr>
            <w:tcW w:type="dxa" w:w="3288"/>
          </w:tcPr>
          <w:p>
            <w:pPr>
              <w:spacing w:after="20" w:before="20" w:line="240" w:lineRule="auto"/>
              <w:jc w:val="left"/>
            </w:pPr>
            <w:r>
              <w:rPr>
                <w:sz w:val="20"/>
              </w:rPr>
              <w:t>Library Book Stock Register</w:t>
            </w:r>
          </w:p>
        </w:tc>
        <w:tc>
          <w:tcPr>
            <w:tcW w:type="dxa" w:w="1474"/>
          </w:tcPr>
          <w:p>
            <w:pPr>
              <w:spacing w:after="20" w:before="20" w:line="240" w:lineRule="auto"/>
              <w:jc w:val="left"/>
            </w:pPr>
          </w:p>
        </w:tc>
        <w:tc>
          <w:tcPr>
            <w:tcW w:type="dxa" w:w="1417"/>
          </w:tcPr>
          <w:p>
            <w:pPr>
              <w:spacing w:after="20" w:before="20" w:line="240" w:lineRule="auto"/>
              <w:jc w:val="left"/>
            </w:pPr>
          </w:p>
        </w:tc>
        <w:tc>
          <w:tcPr>
            <w:tcW w:type="dxa" w:w="1361"/>
          </w:tcPr>
          <w:p>
            <w:pPr>
              <w:spacing w:after="20" w:before="20" w:line="240" w:lineRule="auto"/>
              <w:jc w:val="left"/>
            </w:pPr>
          </w:p>
        </w:tc>
      </w:tr>
      <w:tr>
        <w:trPr>
          <w:cantSplit w:val="true"/>
        </w:trPr>
        <w:tc>
          <w:tcPr>
            <w:tcW w:type="dxa" w:w="1701"/>
            <w:shd w:val="clear" w:color="auto" w:fill="E8EEF5"/>
          </w:tcPr>
          <w:p>
            <w:pPr>
              <w:spacing w:after="20" w:before="20" w:line="240" w:lineRule="auto"/>
              <w:jc w:val="left"/>
            </w:pPr>
          </w:p>
        </w:tc>
        <w:tc>
          <w:tcPr>
            <w:tcW w:type="dxa" w:w="3288"/>
            <w:shd w:val="clear" w:color="auto" w:fill="E8EEF5"/>
          </w:tcPr>
          <w:p>
            <w:pPr>
              <w:spacing w:after="20" w:before="20" w:line="240" w:lineRule="auto"/>
              <w:jc w:val="left"/>
            </w:pPr>
            <w:r>
              <w:rPr>
                <w:b/>
                <w:sz w:val="20"/>
              </w:rPr>
              <w:t>TOTAL</w:t>
            </w:r>
          </w:p>
        </w:tc>
        <w:tc>
          <w:tcPr>
            <w:tcW w:type="dxa" w:w="1474"/>
            <w:shd w:val="clear" w:color="auto" w:fill="E8EEF5"/>
          </w:tcPr>
          <w:p>
            <w:pPr>
              <w:spacing w:after="20" w:before="20" w:line="240" w:lineRule="auto"/>
              <w:jc w:val="left"/>
            </w:pPr>
          </w:p>
        </w:tc>
        <w:tc>
          <w:tcPr>
            <w:tcW w:type="dxa" w:w="1417"/>
            <w:shd w:val="clear" w:color="auto" w:fill="E8EEF5"/>
          </w:tcPr>
          <w:p>
            <w:pPr>
              <w:spacing w:after="20" w:before="20" w:line="240" w:lineRule="auto"/>
              <w:jc w:val="left"/>
            </w:pPr>
          </w:p>
        </w:tc>
        <w:tc>
          <w:tcPr>
            <w:tcW w:type="dxa" w:w="1361"/>
            <w:shd w:val="clear" w:color="auto" w:fill="E8EEF5"/>
          </w:tcPr>
          <w:p>
            <w:pPr>
              <w:spacing w:after="20" w:before="20" w:line="240" w:lineRule="auto"/>
              <w:jc w:val="left"/>
            </w:pPr>
          </w:p>
        </w:tc>
      </w:tr>
    </w:tbl>
    <w:p>
      <w:pPr>
        <w:spacing w:after="80" w:line="240" w:lineRule="auto"/>
      </w:pPr>
    </w:p>
    <w:p>
      <w:r>
        <w:rPr/>
        <w:t>Expenditure Statement for ……………………………… (DEPARTMENT OF ……………………)</w:t>
      </w:r>
    </w:p>
    <w:p>
      <w:r>
        <w:rPr>
          <w:b/>
        </w:rPr>
        <w:t>Date:</w:t>
      </w:r>
      <w:r>
        <w:rPr/>
        <w:t xml:space="preserve"> …………………………</w:t>
      </w:r>
    </w:p>
    <w:p>
      <w:r>
        <w:rPr>
          <w:i/>
        </w:rPr>
        <w:t>Expense Details Table</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624"/>
        <w:gridCol w:w="1928"/>
        <w:gridCol w:w="1247"/>
        <w:gridCol w:w="1134"/>
        <w:gridCol w:w="794"/>
        <w:gridCol w:w="964"/>
        <w:gridCol w:w="1020"/>
        <w:gridCol w:w="1531"/>
      </w:tblGrid>
      <w:tr>
        <w:trPr>
          <w:cantSplit w:val="true"/>
          <w:tblHeader w:val="true"/>
        </w:trPr>
        <w:tc>
          <w:tcPr>
            <w:tcW w:type="dxa" w:w="624"/>
            <w:shd w:val="clear" w:color="auto" w:fill="1F3A5F"/>
          </w:tcPr>
          <w:p>
            <w:pPr>
              <w:spacing w:after="20" w:before="20" w:line="240" w:lineRule="auto"/>
              <w:jc w:val="left"/>
            </w:pPr>
            <w:r>
              <w:rPr>
                <w:b/>
                <w:color w:val="FFFFFF"/>
                <w:sz w:val="20"/>
              </w:rPr>
              <w:t>Sl. No.</w:t>
            </w:r>
          </w:p>
        </w:tc>
        <w:tc>
          <w:tcPr>
            <w:tcW w:type="dxa" w:w="1928"/>
            <w:shd w:val="clear" w:color="auto" w:fill="1F3A5F"/>
          </w:tcPr>
          <w:p>
            <w:pPr>
              <w:spacing w:after="20" w:before="20" w:line="240" w:lineRule="auto"/>
              <w:jc w:val="left"/>
            </w:pPr>
            <w:r>
              <w:rPr>
                <w:b/>
                <w:color w:val="FFFFFF"/>
                <w:sz w:val="20"/>
              </w:rPr>
              <w:t>Expense Heads</w:t>
            </w:r>
          </w:p>
        </w:tc>
        <w:tc>
          <w:tcPr>
            <w:tcW w:type="dxa" w:w="1247"/>
            <w:shd w:val="clear" w:color="auto" w:fill="1F3A5F"/>
          </w:tcPr>
          <w:p>
            <w:pPr>
              <w:spacing w:after="20" w:before="20" w:line="240" w:lineRule="auto"/>
              <w:jc w:val="left"/>
            </w:pPr>
            <w:r>
              <w:rPr>
                <w:b/>
                <w:color w:val="FFFFFF"/>
                <w:sz w:val="20"/>
              </w:rPr>
              <w:t>Mode of Payment</w:t>
            </w:r>
          </w:p>
        </w:tc>
        <w:tc>
          <w:tcPr>
            <w:tcW w:type="dxa" w:w="1134"/>
            <w:shd w:val="clear" w:color="auto" w:fill="1F3A5F"/>
          </w:tcPr>
          <w:p>
            <w:pPr>
              <w:spacing w:after="20" w:before="20" w:line="240" w:lineRule="auto"/>
              <w:jc w:val="left"/>
            </w:pPr>
            <w:r>
              <w:rPr>
                <w:b/>
                <w:color w:val="FFFFFF"/>
                <w:sz w:val="20"/>
              </w:rPr>
              <w:t>Cheque No. (if any)</w:t>
            </w:r>
          </w:p>
        </w:tc>
        <w:tc>
          <w:tcPr>
            <w:tcW w:type="dxa" w:w="794"/>
            <w:shd w:val="clear" w:color="auto" w:fill="1F3A5F"/>
          </w:tcPr>
          <w:p>
            <w:pPr>
              <w:spacing w:after="20" w:before="20" w:line="240" w:lineRule="auto"/>
              <w:jc w:val="left"/>
            </w:pPr>
            <w:r>
              <w:rPr>
                <w:b/>
                <w:color w:val="FFFFFF"/>
                <w:sz w:val="20"/>
              </w:rPr>
              <w:t>TDS (Rs.)</w:t>
            </w:r>
          </w:p>
        </w:tc>
        <w:tc>
          <w:tcPr>
            <w:tcW w:type="dxa" w:w="964"/>
            <w:shd w:val="clear" w:color="auto" w:fill="1F3A5F"/>
          </w:tcPr>
          <w:p>
            <w:pPr>
              <w:spacing w:after="20" w:before="20" w:line="240" w:lineRule="auto"/>
              <w:jc w:val="left"/>
            </w:pPr>
            <w:r>
              <w:rPr>
                <w:b/>
                <w:color w:val="FFFFFF"/>
                <w:sz w:val="20"/>
              </w:rPr>
              <w:t>Advance (Rs.)</w:t>
            </w:r>
          </w:p>
        </w:tc>
        <w:tc>
          <w:tcPr>
            <w:tcW w:type="dxa" w:w="1020"/>
            <w:shd w:val="clear" w:color="auto" w:fill="1F3A5F"/>
          </w:tcPr>
          <w:p>
            <w:pPr>
              <w:spacing w:after="20" w:before="20" w:line="240" w:lineRule="auto"/>
              <w:jc w:val="left"/>
            </w:pPr>
            <w:r>
              <w:rPr>
                <w:b/>
                <w:color w:val="FFFFFF"/>
                <w:sz w:val="20"/>
              </w:rPr>
              <w:t>Amount (Rs.)</w:t>
            </w:r>
          </w:p>
        </w:tc>
        <w:tc>
          <w:tcPr>
            <w:tcW w:type="dxa" w:w="1531"/>
            <w:shd w:val="clear" w:color="auto" w:fill="1F3A5F"/>
          </w:tcPr>
          <w:p>
            <w:pPr>
              <w:spacing w:after="20" w:before="20" w:line="240" w:lineRule="auto"/>
              <w:jc w:val="left"/>
            </w:pPr>
            <w:r>
              <w:rPr>
                <w:b/>
                <w:color w:val="FFFFFF"/>
                <w:sz w:val="20"/>
              </w:rPr>
              <w:t>Remarks (if any)</w:t>
            </w:r>
          </w:p>
        </w:tc>
      </w:tr>
      <w:tr>
        <w:trPr>
          <w:cantSplit w:val="true"/>
        </w:trPr>
        <w:tc>
          <w:tcPr>
            <w:tcW w:type="dxa" w:w="624"/>
          </w:tcPr>
          <w:p>
            <w:pPr>
              <w:spacing w:after="20" w:before="20" w:line="240" w:lineRule="auto"/>
              <w:jc w:val="left"/>
            </w:pPr>
            <w:r>
              <w:rPr>
                <w:sz w:val="20"/>
              </w:rPr>
              <w:t>1</w:t>
            </w:r>
          </w:p>
        </w:tc>
        <w:tc>
          <w:tcPr>
            <w:tcW w:type="dxa" w:w="1928"/>
          </w:tcPr>
          <w:p>
            <w:pPr>
              <w:spacing w:after="20" w:before="20" w:line="240" w:lineRule="auto"/>
              <w:jc w:val="left"/>
            </w:pPr>
            <w:r>
              <w:rPr>
                <w:sz w:val="20"/>
              </w:rPr>
              <w:t>FOOD</w:t>
            </w:r>
          </w:p>
        </w:tc>
        <w:tc>
          <w:tcPr>
            <w:tcW w:type="dxa" w:w="1247"/>
          </w:tcPr>
          <w:p>
            <w:pPr>
              <w:spacing w:after="20" w:before="20" w:line="240" w:lineRule="auto"/>
              <w:jc w:val="left"/>
            </w:pPr>
            <w:r>
              <w:rPr>
                <w:sz w:val="20"/>
              </w:rPr>
              <w:t>Cash / Cheque / NEFT</w:t>
            </w:r>
          </w:p>
        </w:tc>
        <w:tc>
          <w:tcPr>
            <w:tcW w:type="dxa" w:w="1134"/>
          </w:tcPr>
          <w:p>
            <w:pPr>
              <w:spacing w:after="20" w:before="20" w:line="240" w:lineRule="auto"/>
              <w:jc w:val="left"/>
            </w:pPr>
          </w:p>
        </w:tc>
        <w:tc>
          <w:tcPr>
            <w:tcW w:type="dxa" w:w="794"/>
          </w:tcPr>
          <w:p>
            <w:pPr>
              <w:spacing w:after="20" w:before="20" w:line="240" w:lineRule="auto"/>
              <w:jc w:val="left"/>
            </w:pPr>
          </w:p>
        </w:tc>
        <w:tc>
          <w:tcPr>
            <w:tcW w:type="dxa" w:w="964"/>
          </w:tcPr>
          <w:p>
            <w:pPr>
              <w:spacing w:after="20" w:before="20" w:line="240" w:lineRule="auto"/>
              <w:jc w:val="left"/>
            </w:pPr>
          </w:p>
        </w:tc>
        <w:tc>
          <w:tcPr>
            <w:tcW w:type="dxa" w:w="1020"/>
          </w:tcPr>
          <w:p>
            <w:pPr>
              <w:spacing w:after="20" w:before="20" w:line="240" w:lineRule="auto"/>
              <w:jc w:val="left"/>
            </w:pPr>
          </w:p>
        </w:tc>
        <w:tc>
          <w:tcPr>
            <w:tcW w:type="dxa" w:w="1531"/>
          </w:tcPr>
          <w:p>
            <w:pPr>
              <w:spacing w:after="20" w:before="20" w:line="240" w:lineRule="auto"/>
              <w:jc w:val="left"/>
            </w:pPr>
          </w:p>
        </w:tc>
      </w:tr>
      <w:tr>
        <w:trPr>
          <w:cantSplit w:val="true"/>
        </w:trPr>
        <w:tc>
          <w:tcPr>
            <w:tcW w:type="dxa" w:w="624"/>
            <w:shd w:val="clear" w:color="auto" w:fill="E8EEF5"/>
          </w:tcPr>
          <w:p>
            <w:pPr>
              <w:spacing w:after="20" w:before="20" w:line="240" w:lineRule="auto"/>
              <w:jc w:val="left"/>
            </w:pPr>
            <w:r>
              <w:rPr>
                <w:sz w:val="20"/>
              </w:rPr>
              <w:t>2</w:t>
            </w:r>
          </w:p>
        </w:tc>
        <w:tc>
          <w:tcPr>
            <w:tcW w:type="dxa" w:w="1928"/>
            <w:shd w:val="clear" w:color="auto" w:fill="E8EEF5"/>
          </w:tcPr>
          <w:p>
            <w:pPr>
              <w:spacing w:after="20" w:before="20" w:line="240" w:lineRule="auto"/>
              <w:jc w:val="left"/>
            </w:pPr>
            <w:r>
              <w:rPr>
                <w:sz w:val="20"/>
              </w:rPr>
              <w:t>Registration (e.g. 25×100)</w:t>
            </w:r>
          </w:p>
        </w:tc>
        <w:tc>
          <w:tcPr>
            <w:tcW w:type="dxa" w:w="1247"/>
            <w:shd w:val="clear" w:color="auto" w:fill="E8EEF5"/>
          </w:tcPr>
          <w:p>
            <w:pPr>
              <w:spacing w:after="20" w:before="20" w:line="240" w:lineRule="auto"/>
              <w:jc w:val="left"/>
            </w:pPr>
            <w:r>
              <w:rPr>
                <w:sz w:val="20"/>
              </w:rPr>
              <w:t>Cash / Cheque / NEFT</w:t>
            </w:r>
          </w:p>
        </w:tc>
        <w:tc>
          <w:tcPr>
            <w:tcW w:type="dxa" w:w="1134"/>
            <w:shd w:val="clear" w:color="auto" w:fill="E8EEF5"/>
          </w:tcPr>
          <w:p>
            <w:pPr>
              <w:spacing w:after="20" w:before="20" w:line="240" w:lineRule="auto"/>
              <w:jc w:val="left"/>
            </w:pPr>
          </w:p>
        </w:tc>
        <w:tc>
          <w:tcPr>
            <w:tcW w:type="dxa" w:w="794"/>
            <w:shd w:val="clear" w:color="auto" w:fill="E8EEF5"/>
          </w:tcPr>
          <w:p>
            <w:pPr>
              <w:spacing w:after="20" w:before="20" w:line="240" w:lineRule="auto"/>
              <w:jc w:val="left"/>
            </w:pPr>
          </w:p>
        </w:tc>
        <w:tc>
          <w:tcPr>
            <w:tcW w:type="dxa" w:w="964"/>
            <w:shd w:val="clear" w:color="auto" w:fill="E8EEF5"/>
          </w:tcPr>
          <w:p>
            <w:pPr>
              <w:spacing w:after="20" w:before="20" w:line="240" w:lineRule="auto"/>
              <w:jc w:val="left"/>
            </w:pPr>
          </w:p>
        </w:tc>
        <w:tc>
          <w:tcPr>
            <w:tcW w:type="dxa" w:w="1020"/>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r>
        <w:trPr>
          <w:cantSplit w:val="true"/>
        </w:trPr>
        <w:tc>
          <w:tcPr>
            <w:tcW w:type="dxa" w:w="624"/>
          </w:tcPr>
          <w:p>
            <w:pPr>
              <w:spacing w:after="20" w:before="20" w:line="240" w:lineRule="auto"/>
              <w:jc w:val="left"/>
            </w:pPr>
            <w:r>
              <w:rPr>
                <w:sz w:val="20"/>
              </w:rPr>
              <w:t>3</w:t>
            </w:r>
          </w:p>
        </w:tc>
        <w:tc>
          <w:tcPr>
            <w:tcW w:type="dxa" w:w="1928"/>
          </w:tcPr>
          <w:p>
            <w:pPr>
              <w:spacing w:after="20" w:before="20" w:line="240" w:lineRule="auto"/>
              <w:jc w:val="left"/>
            </w:pPr>
            <w:r>
              <w:rPr>
                <w:sz w:val="20"/>
              </w:rPr>
              <w:t>ACCOMMODATION</w:t>
            </w:r>
          </w:p>
        </w:tc>
        <w:tc>
          <w:tcPr>
            <w:tcW w:type="dxa" w:w="1247"/>
          </w:tcPr>
          <w:p>
            <w:pPr>
              <w:spacing w:after="20" w:before="20" w:line="240" w:lineRule="auto"/>
              <w:jc w:val="left"/>
            </w:pPr>
          </w:p>
        </w:tc>
        <w:tc>
          <w:tcPr>
            <w:tcW w:type="dxa" w:w="1134"/>
          </w:tcPr>
          <w:p>
            <w:pPr>
              <w:spacing w:after="20" w:before="20" w:line="240" w:lineRule="auto"/>
              <w:jc w:val="left"/>
            </w:pPr>
          </w:p>
        </w:tc>
        <w:tc>
          <w:tcPr>
            <w:tcW w:type="dxa" w:w="794"/>
          </w:tcPr>
          <w:p>
            <w:pPr>
              <w:spacing w:after="20" w:before="20" w:line="240" w:lineRule="auto"/>
              <w:jc w:val="left"/>
            </w:pPr>
          </w:p>
        </w:tc>
        <w:tc>
          <w:tcPr>
            <w:tcW w:type="dxa" w:w="964"/>
          </w:tcPr>
          <w:p>
            <w:pPr>
              <w:spacing w:after="20" w:before="20" w:line="240" w:lineRule="auto"/>
              <w:jc w:val="left"/>
            </w:pPr>
          </w:p>
        </w:tc>
        <w:tc>
          <w:tcPr>
            <w:tcW w:type="dxa" w:w="1020"/>
          </w:tcPr>
          <w:p>
            <w:pPr>
              <w:spacing w:after="20" w:before="20" w:line="240" w:lineRule="auto"/>
              <w:jc w:val="left"/>
            </w:pPr>
          </w:p>
        </w:tc>
        <w:tc>
          <w:tcPr>
            <w:tcW w:type="dxa" w:w="1531"/>
          </w:tcPr>
          <w:p>
            <w:pPr>
              <w:spacing w:after="20" w:before="20" w:line="240" w:lineRule="auto"/>
              <w:jc w:val="left"/>
            </w:pPr>
          </w:p>
        </w:tc>
      </w:tr>
      <w:tr>
        <w:trPr>
          <w:cantSplit w:val="true"/>
        </w:trPr>
        <w:tc>
          <w:tcPr>
            <w:tcW w:type="dxa" w:w="624"/>
            <w:shd w:val="clear" w:color="auto" w:fill="E8EEF5"/>
          </w:tcPr>
          <w:p>
            <w:pPr>
              <w:spacing w:after="20" w:before="20" w:line="240" w:lineRule="auto"/>
              <w:jc w:val="left"/>
            </w:pPr>
            <w:r>
              <w:rPr>
                <w:sz w:val="20"/>
              </w:rPr>
              <w:t>4</w:t>
            </w:r>
          </w:p>
        </w:tc>
        <w:tc>
          <w:tcPr>
            <w:tcW w:type="dxa" w:w="1928"/>
            <w:shd w:val="clear" w:color="auto" w:fill="E8EEF5"/>
          </w:tcPr>
          <w:p>
            <w:pPr>
              <w:spacing w:after="20" w:before="20" w:line="240" w:lineRule="auto"/>
              <w:jc w:val="left"/>
            </w:pPr>
            <w:r>
              <w:rPr>
                <w:sz w:val="20"/>
              </w:rPr>
              <w:t>TRAVEL</w:t>
            </w:r>
          </w:p>
        </w:tc>
        <w:tc>
          <w:tcPr>
            <w:tcW w:type="dxa" w:w="1247"/>
            <w:shd w:val="clear" w:color="auto" w:fill="E8EEF5"/>
          </w:tcPr>
          <w:p>
            <w:pPr>
              <w:spacing w:after="20" w:before="20" w:line="240" w:lineRule="auto"/>
              <w:jc w:val="left"/>
            </w:pPr>
          </w:p>
        </w:tc>
        <w:tc>
          <w:tcPr>
            <w:tcW w:type="dxa" w:w="1134"/>
            <w:shd w:val="clear" w:color="auto" w:fill="E8EEF5"/>
          </w:tcPr>
          <w:p>
            <w:pPr>
              <w:spacing w:after="20" w:before="20" w:line="240" w:lineRule="auto"/>
              <w:jc w:val="left"/>
            </w:pPr>
          </w:p>
        </w:tc>
        <w:tc>
          <w:tcPr>
            <w:tcW w:type="dxa" w:w="794"/>
            <w:shd w:val="clear" w:color="auto" w:fill="E8EEF5"/>
          </w:tcPr>
          <w:p>
            <w:pPr>
              <w:spacing w:after="20" w:before="20" w:line="240" w:lineRule="auto"/>
              <w:jc w:val="left"/>
            </w:pPr>
          </w:p>
        </w:tc>
        <w:tc>
          <w:tcPr>
            <w:tcW w:type="dxa" w:w="964"/>
            <w:shd w:val="clear" w:color="auto" w:fill="E8EEF5"/>
          </w:tcPr>
          <w:p>
            <w:pPr>
              <w:spacing w:after="20" w:before="20" w:line="240" w:lineRule="auto"/>
              <w:jc w:val="left"/>
            </w:pPr>
          </w:p>
        </w:tc>
        <w:tc>
          <w:tcPr>
            <w:tcW w:type="dxa" w:w="1020"/>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r>
        <w:trPr>
          <w:cantSplit w:val="true"/>
        </w:trPr>
        <w:tc>
          <w:tcPr>
            <w:tcW w:type="dxa" w:w="624"/>
          </w:tcPr>
          <w:p>
            <w:pPr>
              <w:spacing w:after="20" w:before="20" w:line="240" w:lineRule="auto"/>
              <w:jc w:val="left"/>
            </w:pPr>
            <w:r>
              <w:rPr>
                <w:sz w:val="20"/>
              </w:rPr>
              <w:t>5</w:t>
            </w:r>
          </w:p>
        </w:tc>
        <w:tc>
          <w:tcPr>
            <w:tcW w:type="dxa" w:w="1928"/>
          </w:tcPr>
          <w:p>
            <w:pPr>
              <w:spacing w:after="20" w:before="20" w:line="240" w:lineRule="auto"/>
              <w:jc w:val="left"/>
            </w:pPr>
            <w:r>
              <w:rPr>
                <w:sz w:val="20"/>
              </w:rPr>
              <w:t>MISCELLANEOUS</w:t>
            </w:r>
          </w:p>
        </w:tc>
        <w:tc>
          <w:tcPr>
            <w:tcW w:type="dxa" w:w="1247"/>
          </w:tcPr>
          <w:p>
            <w:pPr>
              <w:spacing w:after="20" w:before="20" w:line="240" w:lineRule="auto"/>
              <w:jc w:val="left"/>
            </w:pPr>
          </w:p>
        </w:tc>
        <w:tc>
          <w:tcPr>
            <w:tcW w:type="dxa" w:w="1134"/>
          </w:tcPr>
          <w:p>
            <w:pPr>
              <w:spacing w:after="20" w:before="20" w:line="240" w:lineRule="auto"/>
              <w:jc w:val="left"/>
            </w:pPr>
          </w:p>
        </w:tc>
        <w:tc>
          <w:tcPr>
            <w:tcW w:type="dxa" w:w="794"/>
          </w:tcPr>
          <w:p>
            <w:pPr>
              <w:spacing w:after="20" w:before="20" w:line="240" w:lineRule="auto"/>
              <w:jc w:val="left"/>
            </w:pPr>
          </w:p>
        </w:tc>
        <w:tc>
          <w:tcPr>
            <w:tcW w:type="dxa" w:w="964"/>
          </w:tcPr>
          <w:p>
            <w:pPr>
              <w:spacing w:after="20" w:before="20" w:line="240" w:lineRule="auto"/>
              <w:jc w:val="left"/>
            </w:pPr>
          </w:p>
        </w:tc>
        <w:tc>
          <w:tcPr>
            <w:tcW w:type="dxa" w:w="1020"/>
          </w:tcPr>
          <w:p>
            <w:pPr>
              <w:spacing w:after="20" w:before="20" w:line="240" w:lineRule="auto"/>
              <w:jc w:val="left"/>
            </w:pPr>
          </w:p>
        </w:tc>
        <w:tc>
          <w:tcPr>
            <w:tcW w:type="dxa" w:w="1531"/>
          </w:tcPr>
          <w:p>
            <w:pPr>
              <w:spacing w:after="20" w:before="20" w:line="240" w:lineRule="auto"/>
              <w:jc w:val="left"/>
            </w:pPr>
          </w:p>
        </w:tc>
      </w:tr>
      <w:tr>
        <w:trPr>
          <w:cantSplit w:val="true"/>
        </w:trPr>
        <w:tc>
          <w:tcPr>
            <w:tcW w:type="dxa" w:w="624"/>
            <w:shd w:val="clear" w:color="auto" w:fill="E8EEF5"/>
          </w:tcPr>
          <w:p>
            <w:pPr>
              <w:spacing w:after="20" w:before="20" w:line="240" w:lineRule="auto"/>
              <w:jc w:val="left"/>
            </w:pPr>
            <w:r>
              <w:rPr>
                <w:sz w:val="20"/>
              </w:rPr>
              <w:t>6</w:t>
            </w:r>
          </w:p>
        </w:tc>
        <w:tc>
          <w:tcPr>
            <w:tcW w:type="dxa" w:w="1928"/>
            <w:shd w:val="clear" w:color="auto" w:fill="E8EEF5"/>
          </w:tcPr>
          <w:p>
            <w:pPr>
              <w:spacing w:after="20" w:before="20" w:line="240" w:lineRule="auto"/>
              <w:jc w:val="left"/>
            </w:pPr>
            <w:r>
              <w:rPr>
                <w:sz w:val="20"/>
              </w:rPr>
              <w:t>LIGHTING</w:t>
            </w:r>
          </w:p>
        </w:tc>
        <w:tc>
          <w:tcPr>
            <w:tcW w:type="dxa" w:w="1247"/>
            <w:shd w:val="clear" w:color="auto" w:fill="E8EEF5"/>
          </w:tcPr>
          <w:p>
            <w:pPr>
              <w:spacing w:after="20" w:before="20" w:line="240" w:lineRule="auto"/>
              <w:jc w:val="left"/>
            </w:pPr>
          </w:p>
        </w:tc>
        <w:tc>
          <w:tcPr>
            <w:tcW w:type="dxa" w:w="1134"/>
            <w:shd w:val="clear" w:color="auto" w:fill="E8EEF5"/>
          </w:tcPr>
          <w:p>
            <w:pPr>
              <w:spacing w:after="20" w:before="20" w:line="240" w:lineRule="auto"/>
              <w:jc w:val="left"/>
            </w:pPr>
          </w:p>
        </w:tc>
        <w:tc>
          <w:tcPr>
            <w:tcW w:type="dxa" w:w="794"/>
            <w:shd w:val="clear" w:color="auto" w:fill="E8EEF5"/>
          </w:tcPr>
          <w:p>
            <w:pPr>
              <w:spacing w:after="20" w:before="20" w:line="240" w:lineRule="auto"/>
              <w:jc w:val="left"/>
            </w:pPr>
          </w:p>
        </w:tc>
        <w:tc>
          <w:tcPr>
            <w:tcW w:type="dxa" w:w="964"/>
            <w:shd w:val="clear" w:color="auto" w:fill="E8EEF5"/>
          </w:tcPr>
          <w:p>
            <w:pPr>
              <w:spacing w:after="20" w:before="20" w:line="240" w:lineRule="auto"/>
              <w:jc w:val="left"/>
            </w:pPr>
          </w:p>
        </w:tc>
        <w:tc>
          <w:tcPr>
            <w:tcW w:type="dxa" w:w="1020"/>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r>
        <w:trPr>
          <w:cantSplit w:val="true"/>
        </w:trPr>
        <w:tc>
          <w:tcPr>
            <w:tcW w:type="dxa" w:w="624"/>
          </w:tcPr>
          <w:p>
            <w:pPr>
              <w:spacing w:after="20" w:before="20" w:line="240" w:lineRule="auto"/>
              <w:jc w:val="left"/>
            </w:pPr>
            <w:r>
              <w:rPr>
                <w:sz w:val="20"/>
              </w:rPr>
              <w:t>7</w:t>
            </w:r>
          </w:p>
        </w:tc>
        <w:tc>
          <w:tcPr>
            <w:tcW w:type="dxa" w:w="1928"/>
          </w:tcPr>
          <w:p>
            <w:pPr>
              <w:spacing w:after="20" w:before="20" w:line="240" w:lineRule="auto"/>
              <w:jc w:val="left"/>
            </w:pPr>
            <w:r>
              <w:rPr>
                <w:sz w:val="20"/>
              </w:rPr>
              <w:t>STATIONERY</w:t>
            </w:r>
          </w:p>
        </w:tc>
        <w:tc>
          <w:tcPr>
            <w:tcW w:type="dxa" w:w="1247"/>
          </w:tcPr>
          <w:p>
            <w:pPr>
              <w:spacing w:after="20" w:before="20" w:line="240" w:lineRule="auto"/>
              <w:jc w:val="left"/>
            </w:pPr>
          </w:p>
        </w:tc>
        <w:tc>
          <w:tcPr>
            <w:tcW w:type="dxa" w:w="1134"/>
          </w:tcPr>
          <w:p>
            <w:pPr>
              <w:spacing w:after="20" w:before="20" w:line="240" w:lineRule="auto"/>
              <w:jc w:val="left"/>
            </w:pPr>
          </w:p>
        </w:tc>
        <w:tc>
          <w:tcPr>
            <w:tcW w:type="dxa" w:w="794"/>
          </w:tcPr>
          <w:p>
            <w:pPr>
              <w:spacing w:after="20" w:before="20" w:line="240" w:lineRule="auto"/>
              <w:jc w:val="left"/>
            </w:pPr>
          </w:p>
        </w:tc>
        <w:tc>
          <w:tcPr>
            <w:tcW w:type="dxa" w:w="964"/>
          </w:tcPr>
          <w:p>
            <w:pPr>
              <w:spacing w:after="20" w:before="20" w:line="240" w:lineRule="auto"/>
              <w:jc w:val="left"/>
            </w:pPr>
          </w:p>
        </w:tc>
        <w:tc>
          <w:tcPr>
            <w:tcW w:type="dxa" w:w="1020"/>
          </w:tcPr>
          <w:p>
            <w:pPr>
              <w:spacing w:after="20" w:before="20" w:line="240" w:lineRule="auto"/>
              <w:jc w:val="left"/>
            </w:pPr>
          </w:p>
        </w:tc>
        <w:tc>
          <w:tcPr>
            <w:tcW w:type="dxa" w:w="1531"/>
          </w:tcPr>
          <w:p>
            <w:pPr>
              <w:spacing w:after="20" w:before="20" w:line="240" w:lineRule="auto"/>
              <w:jc w:val="left"/>
            </w:pPr>
          </w:p>
        </w:tc>
      </w:tr>
      <w:tr>
        <w:trPr>
          <w:cantSplit w:val="true"/>
        </w:trPr>
        <w:tc>
          <w:tcPr>
            <w:tcW w:type="dxa" w:w="624"/>
            <w:shd w:val="clear" w:color="auto" w:fill="E8EEF5"/>
          </w:tcPr>
          <w:p>
            <w:pPr>
              <w:spacing w:after="20" w:before="20" w:line="240" w:lineRule="auto"/>
              <w:jc w:val="left"/>
            </w:pPr>
            <w:r>
              <w:rPr>
                <w:sz w:val="20"/>
              </w:rPr>
              <w:t>8</w:t>
            </w:r>
          </w:p>
        </w:tc>
        <w:tc>
          <w:tcPr>
            <w:tcW w:type="dxa" w:w="1928"/>
            <w:shd w:val="clear" w:color="auto" w:fill="E8EEF5"/>
          </w:tcPr>
          <w:p>
            <w:pPr>
              <w:spacing w:after="20" w:before="20" w:line="240" w:lineRule="auto"/>
              <w:jc w:val="left"/>
            </w:pPr>
            <w:r>
              <w:rPr>
                <w:sz w:val="20"/>
              </w:rPr>
              <w:t>FLOWERS</w:t>
            </w:r>
          </w:p>
        </w:tc>
        <w:tc>
          <w:tcPr>
            <w:tcW w:type="dxa" w:w="1247"/>
            <w:shd w:val="clear" w:color="auto" w:fill="E8EEF5"/>
          </w:tcPr>
          <w:p>
            <w:pPr>
              <w:spacing w:after="20" w:before="20" w:line="240" w:lineRule="auto"/>
              <w:jc w:val="left"/>
            </w:pPr>
          </w:p>
        </w:tc>
        <w:tc>
          <w:tcPr>
            <w:tcW w:type="dxa" w:w="1134"/>
            <w:shd w:val="clear" w:color="auto" w:fill="E8EEF5"/>
          </w:tcPr>
          <w:p>
            <w:pPr>
              <w:spacing w:after="20" w:before="20" w:line="240" w:lineRule="auto"/>
              <w:jc w:val="left"/>
            </w:pPr>
          </w:p>
        </w:tc>
        <w:tc>
          <w:tcPr>
            <w:tcW w:type="dxa" w:w="794"/>
            <w:shd w:val="clear" w:color="auto" w:fill="E8EEF5"/>
          </w:tcPr>
          <w:p>
            <w:pPr>
              <w:spacing w:after="20" w:before="20" w:line="240" w:lineRule="auto"/>
              <w:jc w:val="left"/>
            </w:pPr>
          </w:p>
        </w:tc>
        <w:tc>
          <w:tcPr>
            <w:tcW w:type="dxa" w:w="964"/>
            <w:shd w:val="clear" w:color="auto" w:fill="E8EEF5"/>
          </w:tcPr>
          <w:p>
            <w:pPr>
              <w:spacing w:after="20" w:before="20" w:line="240" w:lineRule="auto"/>
              <w:jc w:val="left"/>
            </w:pPr>
          </w:p>
        </w:tc>
        <w:tc>
          <w:tcPr>
            <w:tcW w:type="dxa" w:w="1020"/>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r>
        <w:trPr>
          <w:cantSplit w:val="true"/>
        </w:trPr>
        <w:tc>
          <w:tcPr>
            <w:tcW w:type="dxa" w:w="624"/>
          </w:tcPr>
          <w:p>
            <w:pPr>
              <w:spacing w:after="20" w:before="20" w:line="240" w:lineRule="auto"/>
              <w:jc w:val="left"/>
            </w:pPr>
            <w:r>
              <w:rPr>
                <w:sz w:val="20"/>
              </w:rPr>
              <w:t>9</w:t>
            </w:r>
          </w:p>
        </w:tc>
        <w:tc>
          <w:tcPr>
            <w:tcW w:type="dxa" w:w="1928"/>
          </w:tcPr>
          <w:p>
            <w:pPr>
              <w:spacing w:after="20" w:before="20" w:line="240" w:lineRule="auto"/>
              <w:jc w:val="left"/>
            </w:pPr>
            <w:r>
              <w:rPr>
                <w:sz w:val="20"/>
              </w:rPr>
              <w:t>HONORARIUM</w:t>
            </w:r>
          </w:p>
        </w:tc>
        <w:tc>
          <w:tcPr>
            <w:tcW w:type="dxa" w:w="1247"/>
          </w:tcPr>
          <w:p>
            <w:pPr>
              <w:spacing w:after="20" w:before="20" w:line="240" w:lineRule="auto"/>
              <w:jc w:val="left"/>
            </w:pPr>
          </w:p>
        </w:tc>
        <w:tc>
          <w:tcPr>
            <w:tcW w:type="dxa" w:w="1134"/>
          </w:tcPr>
          <w:p>
            <w:pPr>
              <w:spacing w:after="20" w:before="20" w:line="240" w:lineRule="auto"/>
              <w:jc w:val="left"/>
            </w:pPr>
          </w:p>
        </w:tc>
        <w:tc>
          <w:tcPr>
            <w:tcW w:type="dxa" w:w="794"/>
          </w:tcPr>
          <w:p>
            <w:pPr>
              <w:spacing w:after="20" w:before="20" w:line="240" w:lineRule="auto"/>
              <w:jc w:val="left"/>
            </w:pPr>
          </w:p>
        </w:tc>
        <w:tc>
          <w:tcPr>
            <w:tcW w:type="dxa" w:w="964"/>
          </w:tcPr>
          <w:p>
            <w:pPr>
              <w:spacing w:after="20" w:before="20" w:line="240" w:lineRule="auto"/>
              <w:jc w:val="left"/>
            </w:pPr>
          </w:p>
        </w:tc>
        <w:tc>
          <w:tcPr>
            <w:tcW w:type="dxa" w:w="1020"/>
          </w:tcPr>
          <w:p>
            <w:pPr>
              <w:spacing w:after="20" w:before="20" w:line="240" w:lineRule="auto"/>
              <w:jc w:val="left"/>
            </w:pPr>
          </w:p>
        </w:tc>
        <w:tc>
          <w:tcPr>
            <w:tcW w:type="dxa" w:w="1531"/>
          </w:tcPr>
          <w:p>
            <w:pPr>
              <w:spacing w:after="20" w:before="20" w:line="240" w:lineRule="auto"/>
              <w:jc w:val="left"/>
            </w:pPr>
          </w:p>
        </w:tc>
      </w:tr>
      <w:tr>
        <w:trPr>
          <w:cantSplit w:val="true"/>
        </w:trPr>
        <w:tc>
          <w:tcPr>
            <w:tcW w:type="dxa" w:w="624"/>
            <w:shd w:val="clear" w:color="auto" w:fill="E8EEF5"/>
          </w:tcPr>
          <w:p>
            <w:pPr>
              <w:spacing w:after="20" w:before="20" w:line="240" w:lineRule="auto"/>
              <w:jc w:val="left"/>
            </w:pPr>
            <w:r>
              <w:rPr>
                <w:sz w:val="20"/>
              </w:rPr>
              <w:t>10</w:t>
            </w:r>
          </w:p>
        </w:tc>
        <w:tc>
          <w:tcPr>
            <w:tcW w:type="dxa" w:w="1928"/>
            <w:shd w:val="clear" w:color="auto" w:fill="E8EEF5"/>
          </w:tcPr>
          <w:p>
            <w:pPr>
              <w:spacing w:after="20" w:before="20" w:line="240" w:lineRule="auto"/>
              <w:jc w:val="left"/>
            </w:pPr>
            <w:r>
              <w:rPr>
                <w:sz w:val="20"/>
              </w:rPr>
              <w:t>GIFTS</w:t>
            </w:r>
          </w:p>
        </w:tc>
        <w:tc>
          <w:tcPr>
            <w:tcW w:type="dxa" w:w="1247"/>
            <w:shd w:val="clear" w:color="auto" w:fill="E8EEF5"/>
          </w:tcPr>
          <w:p>
            <w:pPr>
              <w:spacing w:after="20" w:before="20" w:line="240" w:lineRule="auto"/>
              <w:jc w:val="left"/>
            </w:pPr>
          </w:p>
        </w:tc>
        <w:tc>
          <w:tcPr>
            <w:tcW w:type="dxa" w:w="1134"/>
            <w:shd w:val="clear" w:color="auto" w:fill="E8EEF5"/>
          </w:tcPr>
          <w:p>
            <w:pPr>
              <w:spacing w:after="20" w:before="20" w:line="240" w:lineRule="auto"/>
              <w:jc w:val="left"/>
            </w:pPr>
          </w:p>
        </w:tc>
        <w:tc>
          <w:tcPr>
            <w:tcW w:type="dxa" w:w="794"/>
            <w:shd w:val="clear" w:color="auto" w:fill="E8EEF5"/>
          </w:tcPr>
          <w:p>
            <w:pPr>
              <w:spacing w:after="20" w:before="20" w:line="240" w:lineRule="auto"/>
              <w:jc w:val="left"/>
            </w:pPr>
          </w:p>
        </w:tc>
        <w:tc>
          <w:tcPr>
            <w:tcW w:type="dxa" w:w="964"/>
            <w:shd w:val="clear" w:color="auto" w:fill="E8EEF5"/>
          </w:tcPr>
          <w:p>
            <w:pPr>
              <w:spacing w:after="20" w:before="20" w:line="240" w:lineRule="auto"/>
              <w:jc w:val="left"/>
            </w:pPr>
          </w:p>
        </w:tc>
        <w:tc>
          <w:tcPr>
            <w:tcW w:type="dxa" w:w="1020"/>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r>
        <w:trPr>
          <w:cantSplit w:val="true"/>
        </w:trPr>
        <w:tc>
          <w:tcPr>
            <w:tcW w:type="dxa" w:w="624"/>
          </w:tcPr>
          <w:p>
            <w:pPr>
              <w:spacing w:after="20" w:before="20" w:line="240" w:lineRule="auto"/>
              <w:jc w:val="left"/>
            </w:pPr>
            <w:r>
              <w:rPr>
                <w:sz w:val="20"/>
              </w:rPr>
              <w:t>11</w:t>
            </w:r>
          </w:p>
        </w:tc>
        <w:tc>
          <w:tcPr>
            <w:tcW w:type="dxa" w:w="1928"/>
          </w:tcPr>
          <w:p>
            <w:pPr>
              <w:spacing w:after="20" w:before="20" w:line="240" w:lineRule="auto"/>
              <w:jc w:val="left"/>
            </w:pPr>
            <w:r>
              <w:rPr>
                <w:sz w:val="20"/>
              </w:rPr>
              <w:t>TROPHIES</w:t>
            </w:r>
          </w:p>
        </w:tc>
        <w:tc>
          <w:tcPr>
            <w:tcW w:type="dxa" w:w="1247"/>
          </w:tcPr>
          <w:p>
            <w:pPr>
              <w:spacing w:after="20" w:before="20" w:line="240" w:lineRule="auto"/>
              <w:jc w:val="left"/>
            </w:pPr>
          </w:p>
        </w:tc>
        <w:tc>
          <w:tcPr>
            <w:tcW w:type="dxa" w:w="1134"/>
          </w:tcPr>
          <w:p>
            <w:pPr>
              <w:spacing w:after="20" w:before="20" w:line="240" w:lineRule="auto"/>
              <w:jc w:val="left"/>
            </w:pPr>
          </w:p>
        </w:tc>
        <w:tc>
          <w:tcPr>
            <w:tcW w:type="dxa" w:w="794"/>
          </w:tcPr>
          <w:p>
            <w:pPr>
              <w:spacing w:after="20" w:before="20" w:line="240" w:lineRule="auto"/>
              <w:jc w:val="left"/>
            </w:pPr>
          </w:p>
        </w:tc>
        <w:tc>
          <w:tcPr>
            <w:tcW w:type="dxa" w:w="964"/>
          </w:tcPr>
          <w:p>
            <w:pPr>
              <w:spacing w:after="20" w:before="20" w:line="240" w:lineRule="auto"/>
              <w:jc w:val="left"/>
            </w:pPr>
          </w:p>
        </w:tc>
        <w:tc>
          <w:tcPr>
            <w:tcW w:type="dxa" w:w="1020"/>
          </w:tcPr>
          <w:p>
            <w:pPr>
              <w:spacing w:after="20" w:before="20" w:line="240" w:lineRule="auto"/>
              <w:jc w:val="left"/>
            </w:pPr>
          </w:p>
        </w:tc>
        <w:tc>
          <w:tcPr>
            <w:tcW w:type="dxa" w:w="1531"/>
          </w:tcPr>
          <w:p>
            <w:pPr>
              <w:spacing w:after="20" w:before="20" w:line="240" w:lineRule="auto"/>
              <w:jc w:val="left"/>
            </w:pPr>
          </w:p>
        </w:tc>
      </w:tr>
      <w:tr>
        <w:trPr>
          <w:cantSplit w:val="true"/>
        </w:trPr>
        <w:tc>
          <w:tcPr>
            <w:tcW w:type="dxa" w:w="624"/>
            <w:shd w:val="clear" w:color="auto" w:fill="E8EEF5"/>
          </w:tcPr>
          <w:p>
            <w:pPr>
              <w:spacing w:after="20" w:before="20" w:line="240" w:lineRule="auto"/>
              <w:jc w:val="left"/>
            </w:pPr>
            <w:r>
              <w:rPr>
                <w:sz w:val="20"/>
              </w:rPr>
              <w:t>12</w:t>
            </w:r>
          </w:p>
        </w:tc>
        <w:tc>
          <w:tcPr>
            <w:tcW w:type="dxa" w:w="1928"/>
            <w:shd w:val="clear" w:color="auto" w:fill="E8EEF5"/>
          </w:tcPr>
          <w:p>
            <w:pPr>
              <w:spacing w:after="20" w:before="20" w:line="240" w:lineRule="auto"/>
              <w:jc w:val="left"/>
            </w:pPr>
            <w:r>
              <w:rPr>
                <w:sz w:val="20"/>
              </w:rPr>
              <w:t>BANNERS</w:t>
            </w:r>
          </w:p>
        </w:tc>
        <w:tc>
          <w:tcPr>
            <w:tcW w:type="dxa" w:w="1247"/>
            <w:shd w:val="clear" w:color="auto" w:fill="E8EEF5"/>
          </w:tcPr>
          <w:p>
            <w:pPr>
              <w:spacing w:after="20" w:before="20" w:line="240" w:lineRule="auto"/>
              <w:jc w:val="left"/>
            </w:pPr>
          </w:p>
        </w:tc>
        <w:tc>
          <w:tcPr>
            <w:tcW w:type="dxa" w:w="1134"/>
            <w:shd w:val="clear" w:color="auto" w:fill="E8EEF5"/>
          </w:tcPr>
          <w:p>
            <w:pPr>
              <w:spacing w:after="20" w:before="20" w:line="240" w:lineRule="auto"/>
              <w:jc w:val="left"/>
            </w:pPr>
          </w:p>
        </w:tc>
        <w:tc>
          <w:tcPr>
            <w:tcW w:type="dxa" w:w="794"/>
            <w:shd w:val="clear" w:color="auto" w:fill="E8EEF5"/>
          </w:tcPr>
          <w:p>
            <w:pPr>
              <w:spacing w:after="20" w:before="20" w:line="240" w:lineRule="auto"/>
              <w:jc w:val="left"/>
            </w:pPr>
          </w:p>
        </w:tc>
        <w:tc>
          <w:tcPr>
            <w:tcW w:type="dxa" w:w="964"/>
            <w:shd w:val="clear" w:color="auto" w:fill="E8EEF5"/>
          </w:tcPr>
          <w:p>
            <w:pPr>
              <w:spacing w:after="20" w:before="20" w:line="240" w:lineRule="auto"/>
              <w:jc w:val="left"/>
            </w:pPr>
          </w:p>
        </w:tc>
        <w:tc>
          <w:tcPr>
            <w:tcW w:type="dxa" w:w="1020"/>
            <w:shd w:val="clear" w:color="auto" w:fill="E8EEF5"/>
          </w:tcPr>
          <w:p>
            <w:pPr>
              <w:spacing w:after="20" w:before="20" w:line="240" w:lineRule="auto"/>
              <w:jc w:val="left"/>
            </w:pPr>
          </w:p>
        </w:tc>
        <w:tc>
          <w:tcPr>
            <w:tcW w:type="dxa" w:w="1531"/>
            <w:shd w:val="clear" w:color="auto" w:fill="E8EEF5"/>
          </w:tcPr>
          <w:p>
            <w:pPr>
              <w:spacing w:after="20" w:before="20" w:line="240" w:lineRule="auto"/>
              <w:jc w:val="left"/>
            </w:pPr>
          </w:p>
        </w:tc>
      </w:tr>
      <w:tr>
        <w:trPr>
          <w:cantSplit w:val="true"/>
        </w:trPr>
        <w:tc>
          <w:tcPr>
            <w:tcW w:type="dxa" w:w="624"/>
          </w:tcPr>
          <w:p>
            <w:pPr>
              <w:spacing w:after="20" w:before="20" w:line="240" w:lineRule="auto"/>
              <w:jc w:val="left"/>
            </w:pPr>
            <w:r>
              <w:rPr>
                <w:sz w:val="20"/>
              </w:rPr>
              <w:t>…</w:t>
            </w:r>
          </w:p>
        </w:tc>
        <w:tc>
          <w:tcPr>
            <w:tcW w:type="dxa" w:w="1928"/>
          </w:tcPr>
          <w:p>
            <w:pPr>
              <w:spacing w:after="20" w:before="20" w:line="240" w:lineRule="auto"/>
              <w:jc w:val="left"/>
            </w:pPr>
            <w:r>
              <w:rPr>
                <w:sz w:val="20"/>
              </w:rPr>
              <w:t>etc.</w:t>
            </w:r>
          </w:p>
        </w:tc>
        <w:tc>
          <w:tcPr>
            <w:tcW w:type="dxa" w:w="1247"/>
          </w:tcPr>
          <w:p>
            <w:pPr>
              <w:spacing w:after="20" w:before="20" w:line="240" w:lineRule="auto"/>
              <w:jc w:val="left"/>
            </w:pPr>
          </w:p>
        </w:tc>
        <w:tc>
          <w:tcPr>
            <w:tcW w:type="dxa" w:w="1134"/>
          </w:tcPr>
          <w:p>
            <w:pPr>
              <w:spacing w:after="20" w:before="20" w:line="240" w:lineRule="auto"/>
              <w:jc w:val="left"/>
            </w:pPr>
          </w:p>
        </w:tc>
        <w:tc>
          <w:tcPr>
            <w:tcW w:type="dxa" w:w="794"/>
          </w:tcPr>
          <w:p>
            <w:pPr>
              <w:spacing w:after="20" w:before="20" w:line="240" w:lineRule="auto"/>
              <w:jc w:val="left"/>
            </w:pPr>
          </w:p>
        </w:tc>
        <w:tc>
          <w:tcPr>
            <w:tcW w:type="dxa" w:w="964"/>
          </w:tcPr>
          <w:p>
            <w:pPr>
              <w:spacing w:after="20" w:before="20" w:line="240" w:lineRule="auto"/>
              <w:jc w:val="left"/>
            </w:pPr>
          </w:p>
        </w:tc>
        <w:tc>
          <w:tcPr>
            <w:tcW w:type="dxa" w:w="1020"/>
          </w:tcPr>
          <w:p>
            <w:pPr>
              <w:spacing w:after="20" w:before="20" w:line="240" w:lineRule="auto"/>
              <w:jc w:val="left"/>
            </w:pPr>
          </w:p>
        </w:tc>
        <w:tc>
          <w:tcPr>
            <w:tcW w:type="dxa" w:w="1531"/>
          </w:tcPr>
          <w:p>
            <w:pPr>
              <w:spacing w:after="20" w:before="20" w:line="240" w:lineRule="auto"/>
              <w:jc w:val="left"/>
            </w:pPr>
          </w:p>
        </w:tc>
      </w:tr>
      <w:tr>
        <w:trPr>
          <w:cantSplit w:val="true"/>
        </w:trPr>
        <w:tc>
          <w:tcPr>
            <w:tcW w:type="dxa" w:w="624"/>
            <w:shd w:val="clear" w:color="auto" w:fill="E8EEF5"/>
          </w:tcPr>
          <w:p>
            <w:pPr>
              <w:spacing w:after="20" w:before="20" w:line="240" w:lineRule="auto"/>
              <w:jc w:val="left"/>
            </w:pPr>
          </w:p>
        </w:tc>
        <w:tc>
          <w:tcPr>
            <w:tcW w:type="dxa" w:w="1928"/>
            <w:shd w:val="clear" w:color="auto" w:fill="E8EEF5"/>
          </w:tcPr>
          <w:p>
            <w:pPr>
              <w:spacing w:after="20" w:before="20" w:line="240" w:lineRule="auto"/>
              <w:jc w:val="left"/>
            </w:pPr>
            <w:r>
              <w:rPr>
                <w:sz w:val="20"/>
              </w:rPr>
              <w:t>TOTAL EXPENDITURE</w:t>
            </w:r>
          </w:p>
        </w:tc>
        <w:tc>
          <w:tcPr>
            <w:tcW w:type="dxa" w:w="1247"/>
            <w:shd w:val="clear" w:color="auto" w:fill="E8EEF5"/>
          </w:tcPr>
          <w:p>
            <w:pPr>
              <w:spacing w:after="20" w:before="20" w:line="240" w:lineRule="auto"/>
              <w:jc w:val="left"/>
            </w:pPr>
          </w:p>
        </w:tc>
        <w:tc>
          <w:tcPr>
            <w:tcW w:type="dxa" w:w="1134"/>
            <w:shd w:val="clear" w:color="auto" w:fill="E8EEF5"/>
          </w:tcPr>
          <w:p>
            <w:pPr>
              <w:spacing w:after="20" w:before="20" w:line="240" w:lineRule="auto"/>
              <w:jc w:val="left"/>
            </w:pPr>
          </w:p>
        </w:tc>
        <w:tc>
          <w:tcPr>
            <w:tcW w:type="dxa" w:w="794"/>
            <w:shd w:val="clear" w:color="auto" w:fill="E8EEF5"/>
          </w:tcPr>
          <w:p>
            <w:pPr>
              <w:spacing w:after="20" w:before="20" w:line="240" w:lineRule="auto"/>
              <w:jc w:val="left"/>
            </w:pPr>
          </w:p>
        </w:tc>
        <w:tc>
          <w:tcPr>
            <w:tcW w:type="dxa" w:w="964"/>
            <w:shd w:val="clear" w:color="auto" w:fill="E8EEF5"/>
          </w:tcPr>
          <w:p>
            <w:pPr>
              <w:spacing w:after="20" w:before="20" w:line="240" w:lineRule="auto"/>
              <w:jc w:val="left"/>
            </w:pPr>
          </w:p>
        </w:tc>
        <w:tc>
          <w:tcPr>
            <w:tcW w:type="dxa" w:w="1020"/>
            <w:shd w:val="clear" w:color="auto" w:fill="E8EEF5"/>
          </w:tcPr>
          <w:p>
            <w:pPr>
              <w:spacing w:after="20" w:before="20" w:line="240" w:lineRule="auto"/>
              <w:jc w:val="left"/>
            </w:pPr>
            <w:r>
              <w:rPr>
                <w:sz w:val="20"/>
              </w:rPr>
              <w:t>Rs. XXXXX</w:t>
            </w:r>
          </w:p>
        </w:tc>
        <w:tc>
          <w:tcPr>
            <w:tcW w:type="dxa" w:w="1531"/>
            <w:shd w:val="clear" w:color="auto" w:fill="E8EEF5"/>
          </w:tcPr>
          <w:p>
            <w:pPr>
              <w:spacing w:after="20" w:before="20" w:line="240" w:lineRule="auto"/>
              <w:jc w:val="left"/>
            </w:pPr>
          </w:p>
        </w:tc>
      </w:tr>
    </w:tbl>
    <w:p>
      <w:pPr>
        <w:spacing w:after="80" w:line="240" w:lineRule="auto"/>
      </w:pPr>
    </w:p>
    <w:p>
      <w:r>
        <w:rPr/>
        <w:t>Funds Received</w:t>
      </w:r>
    </w:p>
    <w:p>
      <w:pPr>
        <w:numPr>
          <w:ilvl w:val="0"/>
          <w:numId w:val="90"/>
        </w:numPr>
        <w:spacing w:after="60"/>
      </w:pPr>
      <w:r>
        <w:rPr>
          <w:b/>
        </w:rPr>
        <w:t>Source of Funds:</w:t>
      </w:r>
      <w:r>
        <w:rPr/>
        <w:t xml:space="preserve"> ……………………………………………</w:t>
      </w:r>
    </w:p>
    <w:p>
      <w:pPr>
        <w:numPr>
          <w:ilvl w:val="0"/>
          <w:numId w:val="90"/>
        </w:numPr>
        <w:spacing w:after="60"/>
      </w:pPr>
      <w:r>
        <w:rPr>
          <w:b/>
        </w:rPr>
        <w:t>Total Amount Received:</w:t>
      </w:r>
      <w:r>
        <w:rPr/>
        <w:t xml:space="preserve"> Rs. XXXXX</w:t>
      </w:r>
    </w:p>
    <w:p>
      <w:pPr>
        <w:numPr>
          <w:ilvl w:val="0"/>
          <w:numId w:val="90"/>
        </w:numPr>
        <w:spacing w:after="60"/>
      </w:pPr>
      <w:r>
        <w:rPr>
          <w:b/>
        </w:rPr>
        <w:t>Mode of Receipt:</w:t>
      </w:r>
      <w:r>
        <w:rPr/>
        <w:t xml:space="preserve"> □ Cash □ Cheque □ Online Transfer</w:t>
      </w:r>
    </w:p>
    <w:p>
      <w:pPr>
        <w:numPr>
          <w:ilvl w:val="0"/>
          <w:numId w:val="90"/>
        </w:numPr>
        <w:spacing w:after="60"/>
      </w:pPr>
      <w:r>
        <w:rPr>
          <w:b/>
        </w:rPr>
        <w:t>Cheque/Transaction No. (if applicable):</w:t>
      </w:r>
      <w:r>
        <w:rPr/>
        <w:t xml:space="preserve"> …………………</w:t>
      </w:r>
    </w:p>
    <w:p>
      <w:pPr>
        <w:numPr>
          <w:ilvl w:val="0"/>
          <w:numId w:val="90"/>
        </w:numPr>
        <w:spacing w:after="60"/>
      </w:pPr>
      <w:r>
        <w:rPr/>
        <w:t>Amount Returned To College= Rs……</w:t>
      </w:r>
    </w:p>
    <w:p>
      <w:r>
        <w:rPr/>
        <w:t>Certification</w:t>
      </w:r>
    </w:p>
    <w:p>
      <w:r>
        <w:rPr/>
        <w:t>This is to certify that the above expenditures were incurred for official purposes and are supported by valid receipts/vouchers.</w:t>
      </w:r>
    </w:p>
    <w:p>
      <w:r>
        <w:rPr/>
        <w:t>Signature of Coordinator / In-charge</w:t>
      </w:r>
    </w:p>
    <w:p>
      <w:r>
        <w:rPr>
          <w:b/>
        </w:rPr>
        <w:t>Name:</w:t>
      </w:r>
      <w:r>
        <w:rPr/>
        <w:t xml:space="preserve"> ___________________________</w:t>
      </w:r>
    </w:p>
    <w:p>
      <w:r>
        <w:rPr>
          <w:b/>
        </w:rPr>
        <w:t>Designation:</w:t>
      </w:r>
      <w:r>
        <w:rPr/>
        <w:t xml:space="preserve"> _____________________</w:t>
      </w:r>
    </w:p>
    <w:p>
      <w:r>
        <w:rPr/>
        <w:t>Verified by Finance Officer</w:t>
      </w:r>
    </w:p>
    <w:p>
      <w:r>
        <w:rPr>
          <w:b/>
        </w:rPr>
        <w:t>Signature:</w:t>
      </w:r>
      <w:r>
        <w:rPr/>
        <w:t xml:space="preserve"> _______________________</w:t>
      </w:r>
    </w:p>
    <w:p>
      <w:r>
        <w:rPr/>
        <w:t>Approved by Principal / Head of Department</w:t>
      </w:r>
    </w:p>
    <w:p>
      <w:r>
        <w:rPr>
          <w:b/>
        </w:rPr>
        <w:t>Signature:</w:t>
      </w:r>
      <w:r>
        <w:rPr/>
        <w:t xml:space="preserve"> _______________________</w:t>
      </w:r>
    </w:p>
    <w:p>
      <w:pPr>
        <w:spacing w:after="0"/>
      </w:pPr>
      <w:r>
        <w:br w:type="page"/>
      </w:r>
    </w:p>
    <w:p>
      <w:pPr>
        <w:pStyle w:val="Heading1"/>
        <w:spacing w:before="0"/>
      </w:pPr>
      <w:r>
        <w:rPr/>
        <w:t>55. Financial Operations and Management Policy – Mapping to NBA Criteria</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2154"/>
        <w:gridCol w:w="2041"/>
        <w:gridCol w:w="2721"/>
        <w:gridCol w:w="2324"/>
      </w:tblGrid>
      <w:tr>
        <w:trPr>
          <w:cantSplit w:val="true"/>
          <w:tblHeader w:val="true"/>
        </w:trPr>
        <w:tc>
          <w:tcPr>
            <w:tcW w:type="dxa" w:w="2154"/>
            <w:shd w:val="clear" w:color="auto" w:fill="1F3A5F"/>
          </w:tcPr>
          <w:p>
            <w:pPr>
              <w:spacing w:after="20" w:before="20" w:line="240" w:lineRule="auto"/>
              <w:jc w:val="left"/>
            </w:pPr>
            <w:r>
              <w:rPr>
                <w:b/>
                <w:color w:val="FFFFFF"/>
                <w:sz w:val="20"/>
              </w:rPr>
              <w:t>NBA Criterion</w:t>
            </w:r>
          </w:p>
        </w:tc>
        <w:tc>
          <w:tcPr>
            <w:tcW w:type="dxa" w:w="2041"/>
            <w:shd w:val="clear" w:color="auto" w:fill="1F3A5F"/>
          </w:tcPr>
          <w:p>
            <w:pPr>
              <w:spacing w:after="20" w:before="20" w:line="240" w:lineRule="auto"/>
              <w:jc w:val="left"/>
            </w:pPr>
            <w:r>
              <w:rPr>
                <w:b/>
                <w:color w:val="FFFFFF"/>
                <w:sz w:val="20"/>
              </w:rPr>
              <w:t>Focus Area</w:t>
            </w:r>
          </w:p>
        </w:tc>
        <w:tc>
          <w:tcPr>
            <w:tcW w:type="dxa" w:w="2721"/>
            <w:shd w:val="clear" w:color="auto" w:fill="1F3A5F"/>
          </w:tcPr>
          <w:p>
            <w:pPr>
              <w:spacing w:after="20" w:before="20" w:line="240" w:lineRule="auto"/>
              <w:jc w:val="left"/>
            </w:pPr>
            <w:r>
              <w:rPr>
                <w:b/>
                <w:color w:val="FFFFFF"/>
                <w:sz w:val="20"/>
              </w:rPr>
              <w:t>Finance Policy Provisions</w:t>
            </w:r>
          </w:p>
        </w:tc>
        <w:tc>
          <w:tcPr>
            <w:tcW w:type="dxa" w:w="2324"/>
            <w:shd w:val="clear" w:color="auto" w:fill="1F3A5F"/>
          </w:tcPr>
          <w:p>
            <w:pPr>
              <w:spacing w:after="20" w:before="20" w:line="240" w:lineRule="auto"/>
              <w:jc w:val="left"/>
            </w:pPr>
            <w:r>
              <w:rPr>
                <w:b/>
                <w:color w:val="FFFFFF"/>
                <w:sz w:val="20"/>
              </w:rPr>
              <w:t>Evidence for Accreditation</w:t>
            </w:r>
          </w:p>
        </w:tc>
      </w:tr>
      <w:tr>
        <w:trPr>
          <w:cantSplit w:val="true"/>
        </w:trPr>
        <w:tc>
          <w:tcPr>
            <w:tcW w:type="dxa" w:w="2154"/>
          </w:tcPr>
          <w:p>
            <w:pPr>
              <w:spacing w:after="20" w:before="20" w:line="240" w:lineRule="auto"/>
              <w:jc w:val="left"/>
            </w:pPr>
            <w:r>
              <w:rPr>
                <w:sz w:val="20"/>
              </w:rPr>
              <w:t>Criterion 1: Vision, Mission, and PEOs</w:t>
            </w:r>
          </w:p>
        </w:tc>
        <w:tc>
          <w:tcPr>
            <w:tcW w:type="dxa" w:w="2041"/>
          </w:tcPr>
          <w:p>
            <w:pPr>
              <w:spacing w:after="20" w:before="20" w:line="240" w:lineRule="auto"/>
              <w:jc w:val="left"/>
            </w:pPr>
            <w:r>
              <w:rPr>
                <w:sz w:val="20"/>
              </w:rPr>
              <w:t>Alignment of financial planning with institutional goals</w:t>
            </w:r>
          </w:p>
        </w:tc>
        <w:tc>
          <w:tcPr>
            <w:tcW w:type="dxa" w:w="2721"/>
          </w:tcPr>
          <w:p>
            <w:pPr>
              <w:spacing w:after="20" w:before="20" w:line="240" w:lineRule="auto"/>
              <w:jc w:val="left"/>
            </w:pPr>
            <w:r>
              <w:rPr>
                <w:sz w:val="20"/>
              </w:rPr>
              <w:t>Budget allocations linked to institutional mission, academic plans, and long-term strategic objectives</w:t>
            </w:r>
          </w:p>
        </w:tc>
        <w:tc>
          <w:tcPr>
            <w:tcW w:type="dxa" w:w="2324"/>
          </w:tcPr>
          <w:p>
            <w:pPr>
              <w:spacing w:after="20" w:before="20" w:line="240" w:lineRule="auto"/>
              <w:jc w:val="left"/>
            </w:pPr>
            <w:r>
              <w:rPr>
                <w:sz w:val="20"/>
              </w:rPr>
              <w:t>Approved budgets, Governing Body resolutions, financial strategy documents</w:t>
            </w:r>
          </w:p>
        </w:tc>
      </w:tr>
      <w:tr>
        <w:trPr>
          <w:cantSplit w:val="true"/>
        </w:trPr>
        <w:tc>
          <w:tcPr>
            <w:tcW w:type="dxa" w:w="2154"/>
            <w:shd w:val="clear" w:color="auto" w:fill="E8EEF5"/>
          </w:tcPr>
          <w:p>
            <w:pPr>
              <w:spacing w:after="20" w:before="20" w:line="240" w:lineRule="auto"/>
              <w:jc w:val="left"/>
            </w:pPr>
            <w:r>
              <w:rPr>
                <w:sz w:val="20"/>
              </w:rPr>
              <w:t>Criterion 2: Curriculum Design &amp; OBE</w:t>
            </w:r>
          </w:p>
        </w:tc>
        <w:tc>
          <w:tcPr>
            <w:tcW w:type="dxa" w:w="2041"/>
            <w:shd w:val="clear" w:color="auto" w:fill="E8EEF5"/>
          </w:tcPr>
          <w:p>
            <w:pPr>
              <w:spacing w:after="20" w:before="20" w:line="240" w:lineRule="auto"/>
              <w:jc w:val="left"/>
            </w:pPr>
            <w:r>
              <w:rPr>
                <w:sz w:val="20"/>
              </w:rPr>
              <w:t>Support for curriculum delivery &amp; innovation</w:t>
            </w:r>
          </w:p>
        </w:tc>
        <w:tc>
          <w:tcPr>
            <w:tcW w:type="dxa" w:w="2721"/>
            <w:shd w:val="clear" w:color="auto" w:fill="E8EEF5"/>
          </w:tcPr>
          <w:p>
            <w:pPr>
              <w:spacing w:after="20" w:before="20" w:line="240" w:lineRule="auto"/>
              <w:jc w:val="left"/>
            </w:pPr>
            <w:r>
              <w:rPr>
                <w:sz w:val="20"/>
              </w:rPr>
              <w:t>Funding for curriculum revision workshops, ICT-enabled teaching, and outcome-based teaching-learning processes</w:t>
            </w:r>
          </w:p>
        </w:tc>
        <w:tc>
          <w:tcPr>
            <w:tcW w:type="dxa" w:w="2324"/>
            <w:shd w:val="clear" w:color="auto" w:fill="E8EEF5"/>
          </w:tcPr>
          <w:p>
            <w:pPr>
              <w:spacing w:after="20" w:before="20" w:line="240" w:lineRule="auto"/>
              <w:jc w:val="left"/>
            </w:pPr>
            <w:r>
              <w:rPr>
                <w:sz w:val="20"/>
              </w:rPr>
              <w:t>Financial records of curriculum enhancement activities, expenditure on teaching resources</w:t>
            </w:r>
          </w:p>
        </w:tc>
      </w:tr>
      <w:tr>
        <w:trPr>
          <w:cantSplit w:val="true"/>
        </w:trPr>
        <w:tc>
          <w:tcPr>
            <w:tcW w:type="dxa" w:w="2154"/>
          </w:tcPr>
          <w:p>
            <w:pPr>
              <w:spacing w:after="20" w:before="20" w:line="240" w:lineRule="auto"/>
              <w:jc w:val="left"/>
            </w:pPr>
            <w:r>
              <w:rPr>
                <w:sz w:val="20"/>
              </w:rPr>
              <w:t>Criterion 3: Course Outcomes (COs), Program Outcomes (POs), PSOs</w:t>
            </w:r>
          </w:p>
        </w:tc>
        <w:tc>
          <w:tcPr>
            <w:tcW w:type="dxa" w:w="2041"/>
          </w:tcPr>
          <w:p>
            <w:pPr>
              <w:spacing w:after="20" w:before="20" w:line="240" w:lineRule="auto"/>
              <w:jc w:val="left"/>
            </w:pPr>
            <w:r>
              <w:rPr>
                <w:sz w:val="20"/>
              </w:rPr>
              <w:t>Assessment and evaluation support</w:t>
            </w:r>
          </w:p>
        </w:tc>
        <w:tc>
          <w:tcPr>
            <w:tcW w:type="dxa" w:w="2721"/>
          </w:tcPr>
          <w:p>
            <w:pPr>
              <w:spacing w:after="20" w:before="20" w:line="240" w:lineRule="auto"/>
              <w:jc w:val="left"/>
            </w:pPr>
            <w:r>
              <w:rPr>
                <w:sz w:val="20"/>
              </w:rPr>
              <w:t>Financial resources allocated for assessment tools, exam systems, and software for OBE tracking</w:t>
            </w:r>
          </w:p>
        </w:tc>
        <w:tc>
          <w:tcPr>
            <w:tcW w:type="dxa" w:w="2324"/>
          </w:tcPr>
          <w:p>
            <w:pPr>
              <w:spacing w:after="20" w:before="20" w:line="240" w:lineRule="auto"/>
              <w:jc w:val="left"/>
            </w:pPr>
            <w:r>
              <w:rPr>
                <w:sz w:val="20"/>
              </w:rPr>
              <w:t>Bills, contracts, and budget lines for exam management, OBE monitoring software</w:t>
            </w:r>
          </w:p>
        </w:tc>
      </w:tr>
      <w:tr>
        <w:trPr>
          <w:cantSplit w:val="true"/>
        </w:trPr>
        <w:tc>
          <w:tcPr>
            <w:tcW w:type="dxa" w:w="2154"/>
            <w:shd w:val="clear" w:color="auto" w:fill="E8EEF5"/>
          </w:tcPr>
          <w:p>
            <w:pPr>
              <w:spacing w:after="20" w:before="20" w:line="240" w:lineRule="auto"/>
              <w:jc w:val="left"/>
            </w:pPr>
            <w:r>
              <w:rPr>
                <w:sz w:val="20"/>
              </w:rPr>
              <w:t>Criterion 4: Students’ Performance</w:t>
            </w:r>
          </w:p>
        </w:tc>
        <w:tc>
          <w:tcPr>
            <w:tcW w:type="dxa" w:w="2041"/>
            <w:shd w:val="clear" w:color="auto" w:fill="E8EEF5"/>
          </w:tcPr>
          <w:p>
            <w:pPr>
              <w:spacing w:after="20" w:before="20" w:line="240" w:lineRule="auto"/>
              <w:jc w:val="left"/>
            </w:pPr>
            <w:r>
              <w:rPr>
                <w:sz w:val="20"/>
              </w:rPr>
              <w:t>Scholarships &amp; student support</w:t>
            </w:r>
          </w:p>
        </w:tc>
        <w:tc>
          <w:tcPr>
            <w:tcW w:type="dxa" w:w="2721"/>
            <w:shd w:val="clear" w:color="auto" w:fill="E8EEF5"/>
          </w:tcPr>
          <w:p>
            <w:pPr>
              <w:spacing w:after="20" w:before="20" w:line="240" w:lineRule="auto"/>
              <w:jc w:val="left"/>
            </w:pPr>
            <w:r>
              <w:rPr>
                <w:sz w:val="20"/>
              </w:rPr>
              <w:t>Dedicated funds for merit-based scholarships, remedial classes, mentoring, and student welfare</w:t>
            </w:r>
          </w:p>
        </w:tc>
        <w:tc>
          <w:tcPr>
            <w:tcW w:type="dxa" w:w="2324"/>
            <w:shd w:val="clear" w:color="auto" w:fill="E8EEF5"/>
          </w:tcPr>
          <w:p>
            <w:pPr>
              <w:spacing w:after="20" w:before="20" w:line="240" w:lineRule="auto"/>
              <w:jc w:val="left"/>
            </w:pPr>
            <w:r>
              <w:rPr>
                <w:sz w:val="20"/>
              </w:rPr>
              <w:t>Scholarship disbursement records, fund utilization reports, student support budget</w:t>
            </w:r>
          </w:p>
        </w:tc>
      </w:tr>
      <w:tr>
        <w:trPr>
          <w:cantSplit w:val="true"/>
        </w:trPr>
        <w:tc>
          <w:tcPr>
            <w:tcW w:type="dxa" w:w="2154"/>
          </w:tcPr>
          <w:p>
            <w:pPr>
              <w:spacing w:after="20" w:before="20" w:line="240" w:lineRule="auto"/>
              <w:jc w:val="left"/>
            </w:pPr>
            <w:r>
              <w:rPr>
                <w:sz w:val="20"/>
              </w:rPr>
              <w:t>Criterion 5: Faculty Contributions</w:t>
            </w:r>
          </w:p>
        </w:tc>
        <w:tc>
          <w:tcPr>
            <w:tcW w:type="dxa" w:w="2041"/>
          </w:tcPr>
          <w:p>
            <w:pPr>
              <w:spacing w:after="20" w:before="20" w:line="240" w:lineRule="auto"/>
              <w:jc w:val="left"/>
            </w:pPr>
            <w:r>
              <w:rPr>
                <w:sz w:val="20"/>
              </w:rPr>
              <w:t>Faculty quality &amp; development</w:t>
            </w:r>
          </w:p>
        </w:tc>
        <w:tc>
          <w:tcPr>
            <w:tcW w:type="dxa" w:w="2721"/>
          </w:tcPr>
          <w:p>
            <w:pPr>
              <w:spacing w:after="20" w:before="20" w:line="240" w:lineRule="auto"/>
              <w:jc w:val="left"/>
            </w:pPr>
            <w:r>
              <w:rPr>
                <w:sz w:val="20"/>
              </w:rPr>
              <w:t>Financial provisions for FDPs, research projects, conference participation, higher studies support</w:t>
            </w:r>
          </w:p>
        </w:tc>
        <w:tc>
          <w:tcPr>
            <w:tcW w:type="dxa" w:w="2324"/>
          </w:tcPr>
          <w:p>
            <w:pPr>
              <w:spacing w:after="20" w:before="20" w:line="240" w:lineRule="auto"/>
              <w:jc w:val="left"/>
            </w:pPr>
            <w:r>
              <w:rPr>
                <w:sz w:val="20"/>
              </w:rPr>
              <w:t>Records of FDPs funded, research grants sanctioned, faculty travel allowances</w:t>
            </w:r>
          </w:p>
        </w:tc>
      </w:tr>
      <w:tr>
        <w:trPr>
          <w:cantSplit w:val="true"/>
        </w:trPr>
        <w:tc>
          <w:tcPr>
            <w:tcW w:type="dxa" w:w="2154"/>
            <w:shd w:val="clear" w:color="auto" w:fill="E8EEF5"/>
          </w:tcPr>
          <w:p>
            <w:pPr>
              <w:spacing w:after="20" w:before="20" w:line="240" w:lineRule="auto"/>
              <w:jc w:val="left"/>
            </w:pPr>
            <w:r>
              <w:rPr>
                <w:sz w:val="20"/>
              </w:rPr>
              <w:t>Criterion 6: Facilities &amp; Technical Support</w:t>
            </w:r>
          </w:p>
        </w:tc>
        <w:tc>
          <w:tcPr>
            <w:tcW w:type="dxa" w:w="2041"/>
            <w:shd w:val="clear" w:color="auto" w:fill="E8EEF5"/>
          </w:tcPr>
          <w:p>
            <w:pPr>
              <w:spacing w:after="20" w:before="20" w:line="240" w:lineRule="auto"/>
              <w:jc w:val="left"/>
            </w:pPr>
            <w:r>
              <w:rPr>
                <w:sz w:val="20"/>
              </w:rPr>
              <w:t>Adequacy of labs, ICT, library</w:t>
            </w:r>
          </w:p>
        </w:tc>
        <w:tc>
          <w:tcPr>
            <w:tcW w:type="dxa" w:w="2721"/>
            <w:shd w:val="clear" w:color="auto" w:fill="E8EEF5"/>
          </w:tcPr>
          <w:p>
            <w:pPr>
              <w:spacing w:after="20" w:before="20" w:line="240" w:lineRule="auto"/>
              <w:jc w:val="left"/>
            </w:pPr>
            <w:r>
              <w:rPr>
                <w:sz w:val="20"/>
              </w:rPr>
              <w:t>Capital budget allocations for labs, equipment upgrades, ICT infrastructure, digital resources</w:t>
            </w:r>
          </w:p>
        </w:tc>
        <w:tc>
          <w:tcPr>
            <w:tcW w:type="dxa" w:w="2324"/>
            <w:shd w:val="clear" w:color="auto" w:fill="E8EEF5"/>
          </w:tcPr>
          <w:p>
            <w:pPr>
              <w:spacing w:after="20" w:before="20" w:line="240" w:lineRule="auto"/>
              <w:jc w:val="left"/>
            </w:pPr>
            <w:r>
              <w:rPr>
                <w:sz w:val="20"/>
              </w:rPr>
              <w:t>Purchase orders, asset registers, library subscription invoices</w:t>
            </w:r>
          </w:p>
        </w:tc>
      </w:tr>
      <w:tr>
        <w:trPr>
          <w:cantSplit w:val="true"/>
        </w:trPr>
        <w:tc>
          <w:tcPr>
            <w:tcW w:type="dxa" w:w="2154"/>
          </w:tcPr>
          <w:p>
            <w:pPr>
              <w:spacing w:after="20" w:before="20" w:line="240" w:lineRule="auto"/>
              <w:jc w:val="left"/>
            </w:pPr>
            <w:r>
              <w:rPr>
                <w:sz w:val="20"/>
              </w:rPr>
              <w:t>Criterion 7: Continuous Improvement</w:t>
            </w:r>
          </w:p>
        </w:tc>
        <w:tc>
          <w:tcPr>
            <w:tcW w:type="dxa" w:w="2041"/>
          </w:tcPr>
          <w:p>
            <w:pPr>
              <w:spacing w:after="20" w:before="20" w:line="240" w:lineRule="auto"/>
              <w:jc w:val="left"/>
            </w:pPr>
            <w:r>
              <w:rPr>
                <w:sz w:val="20"/>
              </w:rPr>
              <w:t>Resource allocation for CQI</w:t>
            </w:r>
          </w:p>
        </w:tc>
        <w:tc>
          <w:tcPr>
            <w:tcW w:type="dxa" w:w="2721"/>
          </w:tcPr>
          <w:p>
            <w:pPr>
              <w:spacing w:after="20" w:before="20" w:line="240" w:lineRule="auto"/>
              <w:jc w:val="left"/>
            </w:pPr>
            <w:r>
              <w:rPr>
                <w:sz w:val="20"/>
              </w:rPr>
              <w:t>Annual budgets earmarked for quality improvement initiatives, innovation funds, academic audits</w:t>
            </w:r>
          </w:p>
        </w:tc>
        <w:tc>
          <w:tcPr>
            <w:tcW w:type="dxa" w:w="2324"/>
          </w:tcPr>
          <w:p>
            <w:pPr>
              <w:spacing w:after="20" w:before="20" w:line="240" w:lineRule="auto"/>
              <w:jc w:val="left"/>
            </w:pPr>
            <w:r>
              <w:rPr>
                <w:sz w:val="20"/>
              </w:rPr>
              <w:t>Financial reports showing CQI expenditures, audit utilization certificates</w:t>
            </w:r>
          </w:p>
        </w:tc>
      </w:tr>
      <w:tr>
        <w:trPr>
          <w:cantSplit w:val="true"/>
        </w:trPr>
        <w:tc>
          <w:tcPr>
            <w:tcW w:type="dxa" w:w="2154"/>
            <w:shd w:val="clear" w:color="auto" w:fill="E8EEF5"/>
          </w:tcPr>
          <w:p>
            <w:pPr>
              <w:spacing w:after="20" w:before="20" w:line="240" w:lineRule="auto"/>
              <w:jc w:val="left"/>
            </w:pPr>
            <w:r>
              <w:rPr>
                <w:sz w:val="20"/>
              </w:rPr>
              <w:t>Criterion 8: Governance, Leadership, and Transparency</w:t>
            </w:r>
          </w:p>
        </w:tc>
        <w:tc>
          <w:tcPr>
            <w:tcW w:type="dxa" w:w="2041"/>
            <w:shd w:val="clear" w:color="auto" w:fill="E8EEF5"/>
          </w:tcPr>
          <w:p>
            <w:pPr>
              <w:spacing w:after="20" w:before="20" w:line="240" w:lineRule="auto"/>
              <w:jc w:val="left"/>
            </w:pPr>
            <w:r>
              <w:rPr>
                <w:sz w:val="20"/>
              </w:rPr>
              <w:t>Financial accountability</w:t>
            </w:r>
          </w:p>
        </w:tc>
        <w:tc>
          <w:tcPr>
            <w:tcW w:type="dxa" w:w="2721"/>
            <w:shd w:val="clear" w:color="auto" w:fill="E8EEF5"/>
          </w:tcPr>
          <w:p>
            <w:pPr>
              <w:spacing w:after="20" w:before="20" w:line="240" w:lineRule="auto"/>
              <w:jc w:val="left"/>
            </w:pPr>
            <w:r>
              <w:rPr>
                <w:sz w:val="20"/>
              </w:rPr>
              <w:t>Standard accounting practices, accrual-based systems, double-entry bookkeeping, statutory audits</w:t>
            </w:r>
          </w:p>
        </w:tc>
        <w:tc>
          <w:tcPr>
            <w:tcW w:type="dxa" w:w="2324"/>
            <w:shd w:val="clear" w:color="auto" w:fill="E8EEF5"/>
          </w:tcPr>
          <w:p>
            <w:pPr>
              <w:spacing w:after="20" w:before="20" w:line="240" w:lineRule="auto"/>
              <w:jc w:val="left"/>
            </w:pPr>
            <w:r>
              <w:rPr>
                <w:sz w:val="20"/>
              </w:rPr>
              <w:t>Annual financial statements, audit reports, compliance certificates</w:t>
            </w:r>
          </w:p>
        </w:tc>
      </w:tr>
      <w:tr>
        <w:trPr>
          <w:cantSplit w:val="true"/>
        </w:trPr>
        <w:tc>
          <w:tcPr>
            <w:tcW w:type="dxa" w:w="2154"/>
          </w:tcPr>
          <w:p>
            <w:pPr>
              <w:spacing w:after="20" w:before="20" w:line="240" w:lineRule="auto"/>
              <w:jc w:val="left"/>
            </w:pPr>
            <w:r>
              <w:rPr>
                <w:sz w:val="20"/>
              </w:rPr>
              <w:t>Criterion 9: Student Support Systems &amp; Governance</w:t>
            </w:r>
          </w:p>
        </w:tc>
        <w:tc>
          <w:tcPr>
            <w:tcW w:type="dxa" w:w="2041"/>
          </w:tcPr>
          <w:p>
            <w:pPr>
              <w:spacing w:after="20" w:before="20" w:line="240" w:lineRule="auto"/>
              <w:jc w:val="left"/>
            </w:pPr>
            <w:r>
              <w:rPr>
                <w:sz w:val="20"/>
              </w:rPr>
              <w:t>Student engagement &amp; welfare</w:t>
            </w:r>
          </w:p>
        </w:tc>
        <w:tc>
          <w:tcPr>
            <w:tcW w:type="dxa" w:w="2721"/>
          </w:tcPr>
          <w:p>
            <w:pPr>
              <w:spacing w:after="20" w:before="20" w:line="240" w:lineRule="auto"/>
              <w:jc w:val="left"/>
            </w:pPr>
            <w:r>
              <w:rPr>
                <w:sz w:val="20"/>
              </w:rPr>
              <w:t>Funding for student activities, sports, cultural events, counselling, innovation cells</w:t>
            </w:r>
          </w:p>
        </w:tc>
        <w:tc>
          <w:tcPr>
            <w:tcW w:type="dxa" w:w="2324"/>
          </w:tcPr>
          <w:p>
            <w:pPr>
              <w:spacing w:after="20" w:before="20" w:line="240" w:lineRule="auto"/>
              <w:jc w:val="left"/>
            </w:pPr>
            <w:r>
              <w:rPr>
                <w:sz w:val="20"/>
              </w:rPr>
              <w:t>Budget utilization reports, activity expense records, student welfare fund reports</w:t>
            </w:r>
          </w:p>
        </w:tc>
      </w:tr>
      <w:tr>
        <w:trPr>
          <w:cantSplit w:val="true"/>
        </w:trPr>
        <w:tc>
          <w:tcPr>
            <w:tcW w:type="dxa" w:w="2154"/>
            <w:shd w:val="clear" w:color="auto" w:fill="E8EEF5"/>
          </w:tcPr>
          <w:p>
            <w:pPr>
              <w:spacing w:after="20" w:before="20" w:line="240" w:lineRule="auto"/>
              <w:jc w:val="left"/>
            </w:pPr>
            <w:r>
              <w:rPr>
                <w:sz w:val="20"/>
              </w:rPr>
              <w:t>Criterion 10: Institutional Governance &amp; Continuous Improvement</w:t>
            </w:r>
          </w:p>
        </w:tc>
        <w:tc>
          <w:tcPr>
            <w:tcW w:type="dxa" w:w="2041"/>
            <w:shd w:val="clear" w:color="auto" w:fill="E8EEF5"/>
          </w:tcPr>
          <w:p>
            <w:pPr>
              <w:spacing w:after="20" w:before="20" w:line="240" w:lineRule="auto"/>
              <w:jc w:val="left"/>
            </w:pPr>
            <w:r>
              <w:rPr>
                <w:sz w:val="20"/>
              </w:rPr>
              <w:t>Strategic financial management</w:t>
            </w:r>
          </w:p>
        </w:tc>
        <w:tc>
          <w:tcPr>
            <w:tcW w:type="dxa" w:w="2721"/>
            <w:shd w:val="clear" w:color="auto" w:fill="E8EEF5"/>
          </w:tcPr>
          <w:p>
            <w:pPr>
              <w:spacing w:after="20" w:before="20" w:line="240" w:lineRule="auto"/>
              <w:jc w:val="left"/>
            </w:pPr>
            <w:r>
              <w:rPr>
                <w:sz w:val="20"/>
              </w:rPr>
              <w:t>Governing Body-approved financial policy, budget reviews, long-term investment planning</w:t>
            </w:r>
          </w:p>
        </w:tc>
        <w:tc>
          <w:tcPr>
            <w:tcW w:type="dxa" w:w="2324"/>
            <w:shd w:val="clear" w:color="auto" w:fill="E8EEF5"/>
          </w:tcPr>
          <w:p>
            <w:pPr>
              <w:spacing w:after="20" w:before="20" w:line="240" w:lineRule="auto"/>
              <w:jc w:val="left"/>
            </w:pPr>
            <w:r>
              <w:rPr>
                <w:sz w:val="20"/>
              </w:rPr>
              <w:t>Governing Body minutes, finance committee reports, strategic financial plan</w:t>
            </w:r>
          </w:p>
        </w:tc>
      </w:tr>
    </w:tbl>
    <w:p>
      <w:pPr>
        <w:spacing w:after="80" w:line="240" w:lineRule="auto"/>
      </w:pPr>
    </w:p>
    <w:p>
      <w:pPr>
        <w:spacing w:after="0"/>
      </w:pPr>
      <w:r>
        <w:br w:type="page"/>
      </w:r>
    </w:p>
    <w:p>
      <w:pPr>
        <w:pStyle w:val="Heading1"/>
        <w:spacing w:before="0"/>
      </w:pPr>
      <w:r>
        <w:rPr/>
        <w:t>56. Financial Operations and Management Policy – Mapping to NAAC Criteria</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2154"/>
        <w:gridCol w:w="2041"/>
        <w:gridCol w:w="2721"/>
        <w:gridCol w:w="2324"/>
      </w:tblGrid>
      <w:tr>
        <w:trPr>
          <w:cantSplit w:val="true"/>
          <w:tblHeader w:val="true"/>
        </w:trPr>
        <w:tc>
          <w:tcPr>
            <w:tcW w:type="dxa" w:w="2154"/>
            <w:shd w:val="clear" w:color="auto" w:fill="1F3A5F"/>
          </w:tcPr>
          <w:p>
            <w:pPr>
              <w:spacing w:after="20" w:before="20" w:line="240" w:lineRule="auto"/>
              <w:jc w:val="left"/>
            </w:pPr>
            <w:r>
              <w:rPr>
                <w:b/>
                <w:color w:val="FFFFFF"/>
                <w:sz w:val="20"/>
              </w:rPr>
              <w:t>NAAC Criterion</w:t>
            </w:r>
          </w:p>
        </w:tc>
        <w:tc>
          <w:tcPr>
            <w:tcW w:type="dxa" w:w="2041"/>
            <w:shd w:val="clear" w:color="auto" w:fill="1F3A5F"/>
          </w:tcPr>
          <w:p>
            <w:pPr>
              <w:spacing w:after="20" w:before="20" w:line="240" w:lineRule="auto"/>
              <w:jc w:val="left"/>
            </w:pPr>
            <w:r>
              <w:rPr>
                <w:b/>
                <w:color w:val="FFFFFF"/>
                <w:sz w:val="20"/>
              </w:rPr>
              <w:t>Focus Area</w:t>
            </w:r>
          </w:p>
        </w:tc>
        <w:tc>
          <w:tcPr>
            <w:tcW w:type="dxa" w:w="2721"/>
            <w:shd w:val="clear" w:color="auto" w:fill="1F3A5F"/>
          </w:tcPr>
          <w:p>
            <w:pPr>
              <w:spacing w:after="20" w:before="20" w:line="240" w:lineRule="auto"/>
              <w:jc w:val="left"/>
            </w:pPr>
            <w:r>
              <w:rPr>
                <w:b/>
                <w:color w:val="FFFFFF"/>
                <w:sz w:val="20"/>
              </w:rPr>
              <w:t>Finance Policy Provisions</w:t>
            </w:r>
          </w:p>
        </w:tc>
        <w:tc>
          <w:tcPr>
            <w:tcW w:type="dxa" w:w="2324"/>
            <w:shd w:val="clear" w:color="auto" w:fill="1F3A5F"/>
          </w:tcPr>
          <w:p>
            <w:pPr>
              <w:spacing w:after="20" w:before="20" w:line="240" w:lineRule="auto"/>
              <w:jc w:val="left"/>
            </w:pPr>
            <w:r>
              <w:rPr>
                <w:b/>
                <w:color w:val="FFFFFF"/>
                <w:sz w:val="20"/>
              </w:rPr>
              <w:t>Evidence for Accreditation</w:t>
            </w:r>
          </w:p>
        </w:tc>
      </w:tr>
      <w:tr>
        <w:trPr>
          <w:cantSplit w:val="true"/>
        </w:trPr>
        <w:tc>
          <w:tcPr>
            <w:tcW w:type="dxa" w:w="2154"/>
          </w:tcPr>
          <w:p>
            <w:pPr>
              <w:spacing w:after="20" w:before="20" w:line="240" w:lineRule="auto"/>
              <w:jc w:val="left"/>
            </w:pPr>
            <w:r>
              <w:rPr>
                <w:sz w:val="20"/>
              </w:rPr>
              <w:t>Criterion 1: Curricular Aspects</w:t>
            </w:r>
          </w:p>
        </w:tc>
        <w:tc>
          <w:tcPr>
            <w:tcW w:type="dxa" w:w="2041"/>
          </w:tcPr>
          <w:p>
            <w:pPr>
              <w:spacing w:after="20" w:before="20" w:line="240" w:lineRule="auto"/>
              <w:jc w:val="left"/>
            </w:pPr>
            <w:r>
              <w:rPr>
                <w:sz w:val="20"/>
              </w:rPr>
              <w:t>Curriculum planning &amp; delivery</w:t>
            </w:r>
          </w:p>
        </w:tc>
        <w:tc>
          <w:tcPr>
            <w:tcW w:type="dxa" w:w="2721"/>
          </w:tcPr>
          <w:p>
            <w:pPr>
              <w:spacing w:after="20" w:before="20" w:line="240" w:lineRule="auto"/>
              <w:jc w:val="left"/>
            </w:pPr>
            <w:r>
              <w:rPr>
                <w:sz w:val="20"/>
              </w:rPr>
              <w:t>Budget allocations for curriculum development workshops, ICT-based teaching tools, and outcome-based teaching-learning</w:t>
            </w:r>
          </w:p>
        </w:tc>
        <w:tc>
          <w:tcPr>
            <w:tcW w:type="dxa" w:w="2324"/>
          </w:tcPr>
          <w:p>
            <w:pPr>
              <w:spacing w:after="20" w:before="20" w:line="240" w:lineRule="auto"/>
              <w:jc w:val="left"/>
            </w:pPr>
            <w:r>
              <w:rPr>
                <w:sz w:val="20"/>
              </w:rPr>
              <w:t>Financial sanction records, expenditure on teaching resources, curriculum development reports</w:t>
            </w:r>
          </w:p>
        </w:tc>
      </w:tr>
      <w:tr>
        <w:trPr>
          <w:cantSplit w:val="true"/>
        </w:trPr>
        <w:tc>
          <w:tcPr>
            <w:tcW w:type="dxa" w:w="2154"/>
            <w:shd w:val="clear" w:color="auto" w:fill="E8EEF5"/>
          </w:tcPr>
          <w:p>
            <w:pPr>
              <w:spacing w:after="20" w:before="20" w:line="240" w:lineRule="auto"/>
              <w:jc w:val="left"/>
            </w:pPr>
            <w:r>
              <w:rPr>
                <w:sz w:val="20"/>
              </w:rPr>
              <w:t>Criterion 2: Teaching-Learning and Evaluation</w:t>
            </w:r>
          </w:p>
        </w:tc>
        <w:tc>
          <w:tcPr>
            <w:tcW w:type="dxa" w:w="2041"/>
            <w:shd w:val="clear" w:color="auto" w:fill="E8EEF5"/>
          </w:tcPr>
          <w:p>
            <w:pPr>
              <w:spacing w:after="20" w:before="20" w:line="240" w:lineRule="auto"/>
              <w:jc w:val="left"/>
            </w:pPr>
            <w:r>
              <w:rPr>
                <w:sz w:val="20"/>
              </w:rPr>
              <w:t>Student-centric learning &amp; evaluation</w:t>
            </w:r>
          </w:p>
        </w:tc>
        <w:tc>
          <w:tcPr>
            <w:tcW w:type="dxa" w:w="2721"/>
            <w:shd w:val="clear" w:color="auto" w:fill="E8EEF5"/>
          </w:tcPr>
          <w:p>
            <w:pPr>
              <w:spacing w:after="20" w:before="20" w:line="240" w:lineRule="auto"/>
              <w:jc w:val="left"/>
            </w:pPr>
            <w:r>
              <w:rPr>
                <w:sz w:val="20"/>
              </w:rPr>
              <w:t>Provisions for scholarships, remedial coaching, digital learning platforms, exam systems</w:t>
            </w:r>
          </w:p>
        </w:tc>
        <w:tc>
          <w:tcPr>
            <w:tcW w:type="dxa" w:w="2324"/>
            <w:shd w:val="clear" w:color="auto" w:fill="E8EEF5"/>
          </w:tcPr>
          <w:p>
            <w:pPr>
              <w:spacing w:after="20" w:before="20" w:line="240" w:lineRule="auto"/>
              <w:jc w:val="left"/>
            </w:pPr>
            <w:r>
              <w:rPr>
                <w:sz w:val="20"/>
              </w:rPr>
              <w:t>Scholarship disbursement records, budget for remedial classes, exam software bills</w:t>
            </w:r>
          </w:p>
        </w:tc>
      </w:tr>
      <w:tr>
        <w:trPr>
          <w:cantSplit w:val="true"/>
        </w:trPr>
        <w:tc>
          <w:tcPr>
            <w:tcW w:type="dxa" w:w="2154"/>
          </w:tcPr>
          <w:p>
            <w:pPr>
              <w:spacing w:after="20" w:before="20" w:line="240" w:lineRule="auto"/>
              <w:jc w:val="left"/>
            </w:pPr>
            <w:r>
              <w:rPr>
                <w:sz w:val="20"/>
              </w:rPr>
              <w:t>Criterion 3: Research, Innovations, and Extension</w:t>
            </w:r>
          </w:p>
        </w:tc>
        <w:tc>
          <w:tcPr>
            <w:tcW w:type="dxa" w:w="2041"/>
          </w:tcPr>
          <w:p>
            <w:pPr>
              <w:spacing w:after="20" w:before="20" w:line="240" w:lineRule="auto"/>
              <w:jc w:val="left"/>
            </w:pPr>
            <w:r>
              <w:rPr>
                <w:sz w:val="20"/>
              </w:rPr>
              <w:t>Research &amp; development</w:t>
            </w:r>
          </w:p>
        </w:tc>
        <w:tc>
          <w:tcPr>
            <w:tcW w:type="dxa" w:w="2721"/>
          </w:tcPr>
          <w:p>
            <w:pPr>
              <w:spacing w:after="20" w:before="20" w:line="240" w:lineRule="auto"/>
              <w:jc w:val="left"/>
            </w:pPr>
            <w:r>
              <w:rPr>
                <w:sz w:val="20"/>
              </w:rPr>
              <w:t>Funding for research projects, seed money, conferences, patents, community outreach</w:t>
            </w:r>
          </w:p>
        </w:tc>
        <w:tc>
          <w:tcPr>
            <w:tcW w:type="dxa" w:w="2324"/>
          </w:tcPr>
          <w:p>
            <w:pPr>
              <w:spacing w:after="20" w:before="20" w:line="240" w:lineRule="auto"/>
              <w:jc w:val="left"/>
            </w:pPr>
            <w:r>
              <w:rPr>
                <w:sz w:val="20"/>
              </w:rPr>
              <w:t>Research grant sanction letters, seed money utilization reports, extension activity expenses</w:t>
            </w:r>
          </w:p>
        </w:tc>
      </w:tr>
      <w:tr>
        <w:trPr>
          <w:cantSplit w:val="true"/>
        </w:trPr>
        <w:tc>
          <w:tcPr>
            <w:tcW w:type="dxa" w:w="2154"/>
            <w:shd w:val="clear" w:color="auto" w:fill="E8EEF5"/>
          </w:tcPr>
          <w:p>
            <w:pPr>
              <w:spacing w:after="20" w:before="20" w:line="240" w:lineRule="auto"/>
              <w:jc w:val="left"/>
            </w:pPr>
            <w:r>
              <w:rPr>
                <w:sz w:val="20"/>
              </w:rPr>
              <w:t>Criterion 4: Infrastructure and Learning Resources</w:t>
            </w:r>
          </w:p>
        </w:tc>
        <w:tc>
          <w:tcPr>
            <w:tcW w:type="dxa" w:w="2041"/>
            <w:shd w:val="clear" w:color="auto" w:fill="E8EEF5"/>
          </w:tcPr>
          <w:p>
            <w:pPr>
              <w:spacing w:after="20" w:before="20" w:line="240" w:lineRule="auto"/>
              <w:jc w:val="left"/>
            </w:pPr>
            <w:r>
              <w:rPr>
                <w:sz w:val="20"/>
              </w:rPr>
              <w:t>Physical &amp; digital infrastructure</w:t>
            </w:r>
          </w:p>
        </w:tc>
        <w:tc>
          <w:tcPr>
            <w:tcW w:type="dxa" w:w="2721"/>
            <w:shd w:val="clear" w:color="auto" w:fill="E8EEF5"/>
          </w:tcPr>
          <w:p>
            <w:pPr>
              <w:spacing w:after="20" w:before="20" w:line="240" w:lineRule="auto"/>
              <w:jc w:val="left"/>
            </w:pPr>
            <w:r>
              <w:rPr>
                <w:sz w:val="20"/>
              </w:rPr>
              <w:t>Capital budget for labs, classrooms, ICT facilities, library resources, e-learning systems</w:t>
            </w:r>
          </w:p>
        </w:tc>
        <w:tc>
          <w:tcPr>
            <w:tcW w:type="dxa" w:w="2324"/>
            <w:shd w:val="clear" w:color="auto" w:fill="E8EEF5"/>
          </w:tcPr>
          <w:p>
            <w:pPr>
              <w:spacing w:after="20" w:before="20" w:line="240" w:lineRule="auto"/>
              <w:jc w:val="left"/>
            </w:pPr>
            <w:r>
              <w:rPr>
                <w:sz w:val="20"/>
              </w:rPr>
              <w:t>Purchase orders, stock registers, library subscription invoices</w:t>
            </w:r>
          </w:p>
        </w:tc>
      </w:tr>
      <w:tr>
        <w:trPr>
          <w:cantSplit w:val="true"/>
        </w:trPr>
        <w:tc>
          <w:tcPr>
            <w:tcW w:type="dxa" w:w="2154"/>
          </w:tcPr>
          <w:p>
            <w:pPr>
              <w:spacing w:after="20" w:before="20" w:line="240" w:lineRule="auto"/>
              <w:jc w:val="left"/>
            </w:pPr>
            <w:r>
              <w:rPr>
                <w:sz w:val="20"/>
              </w:rPr>
              <w:t>Criterion 5: Student Support and Progression</w:t>
            </w:r>
          </w:p>
        </w:tc>
        <w:tc>
          <w:tcPr>
            <w:tcW w:type="dxa" w:w="2041"/>
          </w:tcPr>
          <w:p>
            <w:pPr>
              <w:spacing w:after="20" w:before="20" w:line="240" w:lineRule="auto"/>
              <w:jc w:val="left"/>
            </w:pPr>
            <w:r>
              <w:rPr>
                <w:sz w:val="20"/>
              </w:rPr>
              <w:t>Student welfare &amp; progression</w:t>
            </w:r>
          </w:p>
        </w:tc>
        <w:tc>
          <w:tcPr>
            <w:tcW w:type="dxa" w:w="2721"/>
          </w:tcPr>
          <w:p>
            <w:pPr>
              <w:spacing w:after="20" w:before="20" w:line="240" w:lineRule="auto"/>
              <w:jc w:val="left"/>
            </w:pPr>
            <w:r>
              <w:rPr>
                <w:sz w:val="20"/>
              </w:rPr>
              <w:t>Funds for career guidance, mentoring, counselling, student clubs, sports &amp; cultural events</w:t>
            </w:r>
          </w:p>
        </w:tc>
        <w:tc>
          <w:tcPr>
            <w:tcW w:type="dxa" w:w="2324"/>
          </w:tcPr>
          <w:p>
            <w:pPr>
              <w:spacing w:after="20" w:before="20" w:line="240" w:lineRule="auto"/>
              <w:jc w:val="left"/>
            </w:pPr>
            <w:r>
              <w:rPr>
                <w:sz w:val="20"/>
              </w:rPr>
              <w:t>Budget utilization reports, student support program expenditure, activity reports</w:t>
            </w:r>
          </w:p>
        </w:tc>
      </w:tr>
      <w:tr>
        <w:trPr>
          <w:cantSplit w:val="true"/>
        </w:trPr>
        <w:tc>
          <w:tcPr>
            <w:tcW w:type="dxa" w:w="2154"/>
            <w:shd w:val="clear" w:color="auto" w:fill="E8EEF5"/>
          </w:tcPr>
          <w:p>
            <w:pPr>
              <w:spacing w:after="20" w:before="20" w:line="240" w:lineRule="auto"/>
              <w:jc w:val="left"/>
            </w:pPr>
            <w:r>
              <w:rPr>
                <w:sz w:val="20"/>
              </w:rPr>
              <w:t>Criterion 6: Governance, Leadership, and Management</w:t>
            </w:r>
          </w:p>
        </w:tc>
        <w:tc>
          <w:tcPr>
            <w:tcW w:type="dxa" w:w="2041"/>
            <w:shd w:val="clear" w:color="auto" w:fill="E8EEF5"/>
          </w:tcPr>
          <w:p>
            <w:pPr>
              <w:spacing w:after="20" w:before="20" w:line="240" w:lineRule="auto"/>
              <w:jc w:val="left"/>
            </w:pPr>
            <w:r>
              <w:rPr>
                <w:sz w:val="20"/>
              </w:rPr>
              <w:t>Institutional governance &amp; financial discipline</w:t>
            </w:r>
          </w:p>
        </w:tc>
        <w:tc>
          <w:tcPr>
            <w:tcW w:type="dxa" w:w="2721"/>
            <w:shd w:val="clear" w:color="auto" w:fill="E8EEF5"/>
          </w:tcPr>
          <w:p>
            <w:pPr>
              <w:spacing w:after="20" w:before="20" w:line="240" w:lineRule="auto"/>
              <w:jc w:val="left"/>
            </w:pPr>
            <w:r>
              <w:rPr>
                <w:sz w:val="20"/>
              </w:rPr>
              <w:t>Adoption of accrual-based accounting, statutory audits, budget planning &amp; monitoring, compliance with regulations</w:t>
            </w:r>
          </w:p>
        </w:tc>
        <w:tc>
          <w:tcPr>
            <w:tcW w:type="dxa" w:w="2324"/>
            <w:shd w:val="clear" w:color="auto" w:fill="E8EEF5"/>
          </w:tcPr>
          <w:p>
            <w:pPr>
              <w:spacing w:after="20" w:before="20" w:line="240" w:lineRule="auto"/>
              <w:jc w:val="left"/>
            </w:pPr>
            <w:r>
              <w:rPr>
                <w:sz w:val="20"/>
              </w:rPr>
              <w:t>Audit reports, annual budgets, financial statements, finance committee minutes</w:t>
            </w:r>
          </w:p>
        </w:tc>
      </w:tr>
      <w:tr>
        <w:trPr>
          <w:cantSplit w:val="true"/>
        </w:trPr>
        <w:tc>
          <w:tcPr>
            <w:tcW w:type="dxa" w:w="2154"/>
          </w:tcPr>
          <w:p>
            <w:pPr>
              <w:spacing w:after="20" w:before="20" w:line="240" w:lineRule="auto"/>
              <w:jc w:val="left"/>
            </w:pPr>
            <w:r>
              <w:rPr>
                <w:sz w:val="20"/>
              </w:rPr>
              <w:t>Criterion 7: Institutional Values and Best Practices</w:t>
            </w:r>
          </w:p>
        </w:tc>
        <w:tc>
          <w:tcPr>
            <w:tcW w:type="dxa" w:w="2041"/>
          </w:tcPr>
          <w:p>
            <w:pPr>
              <w:spacing w:after="20" w:before="20" w:line="240" w:lineRule="auto"/>
              <w:jc w:val="left"/>
            </w:pPr>
            <w:r>
              <w:rPr>
                <w:sz w:val="20"/>
              </w:rPr>
              <w:t>Sustainability, inclusivity, and ethics</w:t>
            </w:r>
          </w:p>
        </w:tc>
        <w:tc>
          <w:tcPr>
            <w:tcW w:type="dxa" w:w="2721"/>
          </w:tcPr>
          <w:p>
            <w:pPr>
              <w:spacing w:after="20" w:before="20" w:line="240" w:lineRule="auto"/>
              <w:jc w:val="left"/>
            </w:pPr>
            <w:r>
              <w:rPr>
                <w:sz w:val="20"/>
              </w:rPr>
              <w:t>Budgeting for green initiatives, gender sensitization, inclusivity programs, energy audits, waste management</w:t>
            </w:r>
          </w:p>
        </w:tc>
        <w:tc>
          <w:tcPr>
            <w:tcW w:type="dxa" w:w="2324"/>
          </w:tcPr>
          <w:p>
            <w:pPr>
              <w:spacing w:after="20" w:before="20" w:line="240" w:lineRule="auto"/>
              <w:jc w:val="left"/>
            </w:pPr>
            <w:r>
              <w:rPr>
                <w:sz w:val="20"/>
              </w:rPr>
              <w:t>Expenditure on sustainability projects, inclusivity program reports, green audit bills</w:t>
            </w:r>
          </w:p>
        </w:tc>
      </w:tr>
    </w:tbl>
    <w:p>
      <w:pPr>
        <w:spacing w:after="80" w:line="240" w:lineRule="auto"/>
      </w:pPr>
    </w:p>
    <w:p>
      <w:pPr>
        <w:spacing w:after="0"/>
      </w:pPr>
      <w:r>
        <w:br w:type="page"/>
      </w:r>
    </w:p>
    <w:p>
      <w:pPr>
        <w:pStyle w:val="Heading1"/>
        <w:spacing w:before="0"/>
      </w:pPr>
      <w:r>
        <w:rPr/>
        <w:t>57. Financial Operations and Management Policy – Mapping to NIRF Criteria</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1814"/>
        <w:gridCol w:w="2211"/>
        <w:gridCol w:w="2721"/>
        <w:gridCol w:w="2494"/>
      </w:tblGrid>
      <w:tr>
        <w:trPr>
          <w:cantSplit w:val="true"/>
          <w:tblHeader w:val="true"/>
        </w:trPr>
        <w:tc>
          <w:tcPr>
            <w:tcW w:type="dxa" w:w="1814"/>
            <w:shd w:val="clear" w:color="auto" w:fill="1F3A5F"/>
          </w:tcPr>
          <w:p>
            <w:pPr>
              <w:spacing w:after="20" w:before="20" w:line="240" w:lineRule="auto"/>
              <w:jc w:val="left"/>
            </w:pPr>
            <w:r>
              <w:rPr>
                <w:b/>
                <w:color w:val="FFFFFF"/>
                <w:sz w:val="20"/>
              </w:rPr>
              <w:t>NIRF Parameter</w:t>
            </w:r>
          </w:p>
        </w:tc>
        <w:tc>
          <w:tcPr>
            <w:tcW w:type="dxa" w:w="2211"/>
            <w:shd w:val="clear" w:color="auto" w:fill="1F3A5F"/>
          </w:tcPr>
          <w:p>
            <w:pPr>
              <w:spacing w:after="20" w:before="20" w:line="240" w:lineRule="auto"/>
              <w:jc w:val="left"/>
            </w:pPr>
            <w:r>
              <w:rPr>
                <w:b/>
                <w:color w:val="FFFFFF"/>
                <w:sz w:val="20"/>
              </w:rPr>
              <w:t>Focus Area</w:t>
            </w:r>
          </w:p>
        </w:tc>
        <w:tc>
          <w:tcPr>
            <w:tcW w:type="dxa" w:w="2721"/>
            <w:shd w:val="clear" w:color="auto" w:fill="1F3A5F"/>
          </w:tcPr>
          <w:p>
            <w:pPr>
              <w:spacing w:after="20" w:before="20" w:line="240" w:lineRule="auto"/>
              <w:jc w:val="left"/>
            </w:pPr>
            <w:r>
              <w:rPr>
                <w:b/>
                <w:color w:val="FFFFFF"/>
                <w:sz w:val="20"/>
              </w:rPr>
              <w:t>Finance Policy Provisions</w:t>
            </w:r>
          </w:p>
        </w:tc>
        <w:tc>
          <w:tcPr>
            <w:tcW w:type="dxa" w:w="2494"/>
            <w:shd w:val="clear" w:color="auto" w:fill="1F3A5F"/>
          </w:tcPr>
          <w:p>
            <w:pPr>
              <w:spacing w:after="20" w:before="20" w:line="240" w:lineRule="auto"/>
              <w:jc w:val="left"/>
            </w:pPr>
            <w:r>
              <w:rPr>
                <w:b/>
                <w:color w:val="FFFFFF"/>
                <w:sz w:val="20"/>
              </w:rPr>
              <w:t>Evidence for Ranking Submission</w:t>
            </w:r>
          </w:p>
        </w:tc>
      </w:tr>
      <w:tr>
        <w:trPr>
          <w:cantSplit w:val="true"/>
        </w:trPr>
        <w:tc>
          <w:tcPr>
            <w:tcW w:type="dxa" w:w="1814"/>
          </w:tcPr>
          <w:p>
            <w:pPr>
              <w:spacing w:after="20" w:before="20" w:line="240" w:lineRule="auto"/>
              <w:jc w:val="left"/>
            </w:pPr>
            <w:r>
              <w:rPr>
                <w:sz w:val="20"/>
              </w:rPr>
              <w:t>Teaching, Learning &amp; Resources (TLR)</w:t>
            </w:r>
          </w:p>
        </w:tc>
        <w:tc>
          <w:tcPr>
            <w:tcW w:type="dxa" w:w="2211"/>
          </w:tcPr>
          <w:p>
            <w:pPr>
              <w:spacing w:after="20" w:before="20" w:line="240" w:lineRule="auto"/>
              <w:jc w:val="left"/>
            </w:pPr>
            <w:r>
              <w:rPr>
                <w:sz w:val="20"/>
              </w:rPr>
              <w:t>Faculty strength, learning resources, student–faculty ratio</w:t>
            </w:r>
          </w:p>
        </w:tc>
        <w:tc>
          <w:tcPr>
            <w:tcW w:type="dxa" w:w="2721"/>
          </w:tcPr>
          <w:p>
            <w:pPr>
              <w:spacing w:after="20" w:before="20" w:line="240" w:lineRule="auto"/>
              <w:jc w:val="left"/>
            </w:pPr>
            <w:r>
              <w:rPr>
                <w:sz w:val="20"/>
              </w:rPr>
              <w:t>Budget allocations for faculty recruitment, training, digital classrooms, and library subscriptions</w:t>
            </w:r>
          </w:p>
        </w:tc>
        <w:tc>
          <w:tcPr>
            <w:tcW w:type="dxa" w:w="2494"/>
          </w:tcPr>
          <w:p>
            <w:pPr>
              <w:spacing w:after="20" w:before="20" w:line="240" w:lineRule="auto"/>
              <w:jc w:val="left"/>
            </w:pPr>
            <w:r>
              <w:rPr>
                <w:sz w:val="20"/>
              </w:rPr>
              <w:t>Salary records, faculty development expenditure, ICT &amp; library bills</w:t>
            </w:r>
          </w:p>
        </w:tc>
      </w:tr>
      <w:tr>
        <w:trPr>
          <w:cantSplit w:val="true"/>
        </w:trPr>
        <w:tc>
          <w:tcPr>
            <w:tcW w:type="dxa" w:w="1814"/>
            <w:shd w:val="clear" w:color="auto" w:fill="E8EEF5"/>
          </w:tcPr>
          <w:p>
            <w:pPr>
              <w:spacing w:after="20" w:before="20" w:line="240" w:lineRule="auto"/>
              <w:jc w:val="left"/>
            </w:pPr>
            <w:r>
              <w:rPr>
                <w:sz w:val="20"/>
              </w:rPr>
              <w:t>Research &amp; Professional Practice (RP)</w:t>
            </w:r>
          </w:p>
        </w:tc>
        <w:tc>
          <w:tcPr>
            <w:tcW w:type="dxa" w:w="2211"/>
            <w:shd w:val="clear" w:color="auto" w:fill="E8EEF5"/>
          </w:tcPr>
          <w:p>
            <w:pPr>
              <w:spacing w:after="20" w:before="20" w:line="240" w:lineRule="auto"/>
              <w:jc w:val="left"/>
            </w:pPr>
            <w:r>
              <w:rPr>
                <w:sz w:val="20"/>
              </w:rPr>
              <w:t>Research publications, IPR, projects</w:t>
            </w:r>
          </w:p>
        </w:tc>
        <w:tc>
          <w:tcPr>
            <w:tcW w:type="dxa" w:w="2721"/>
            <w:shd w:val="clear" w:color="auto" w:fill="E8EEF5"/>
          </w:tcPr>
          <w:p>
            <w:pPr>
              <w:spacing w:after="20" w:before="20" w:line="240" w:lineRule="auto"/>
              <w:jc w:val="left"/>
            </w:pPr>
            <w:r>
              <w:rPr>
                <w:sz w:val="20"/>
              </w:rPr>
              <w:t>Provisions for research grants, seed money, patent filing support, conferences, consultancy funds</w:t>
            </w:r>
          </w:p>
        </w:tc>
        <w:tc>
          <w:tcPr>
            <w:tcW w:type="dxa" w:w="2494"/>
            <w:shd w:val="clear" w:color="auto" w:fill="E8EEF5"/>
          </w:tcPr>
          <w:p>
            <w:pPr>
              <w:spacing w:after="20" w:before="20" w:line="240" w:lineRule="auto"/>
              <w:jc w:val="left"/>
            </w:pPr>
            <w:r>
              <w:rPr>
                <w:sz w:val="20"/>
              </w:rPr>
              <w:t>Research grant sanction letters, project funding utilization, patent filing fee records</w:t>
            </w:r>
          </w:p>
        </w:tc>
      </w:tr>
      <w:tr>
        <w:trPr>
          <w:cantSplit w:val="true"/>
        </w:trPr>
        <w:tc>
          <w:tcPr>
            <w:tcW w:type="dxa" w:w="1814"/>
          </w:tcPr>
          <w:p>
            <w:pPr>
              <w:spacing w:after="20" w:before="20" w:line="240" w:lineRule="auto"/>
              <w:jc w:val="left"/>
            </w:pPr>
            <w:r>
              <w:rPr>
                <w:sz w:val="20"/>
              </w:rPr>
              <w:t>Graduation Outcomes (GO)</w:t>
            </w:r>
          </w:p>
        </w:tc>
        <w:tc>
          <w:tcPr>
            <w:tcW w:type="dxa" w:w="2211"/>
          </w:tcPr>
          <w:p>
            <w:pPr>
              <w:spacing w:after="20" w:before="20" w:line="240" w:lineRule="auto"/>
              <w:jc w:val="left"/>
            </w:pPr>
            <w:r>
              <w:rPr>
                <w:sz w:val="20"/>
              </w:rPr>
              <w:t>Placements, higher studies, entrepreneurship</w:t>
            </w:r>
          </w:p>
        </w:tc>
        <w:tc>
          <w:tcPr>
            <w:tcW w:type="dxa" w:w="2721"/>
          </w:tcPr>
          <w:p>
            <w:pPr>
              <w:spacing w:after="20" w:before="20" w:line="240" w:lineRule="auto"/>
              <w:jc w:val="left"/>
            </w:pPr>
            <w:r>
              <w:rPr>
                <w:sz w:val="20"/>
              </w:rPr>
              <w:t>Funding for career services, incubation centres, skill training, placement cells, and alumni networking</w:t>
            </w:r>
          </w:p>
        </w:tc>
        <w:tc>
          <w:tcPr>
            <w:tcW w:type="dxa" w:w="2494"/>
          </w:tcPr>
          <w:p>
            <w:pPr>
              <w:spacing w:after="20" w:before="20" w:line="240" w:lineRule="auto"/>
              <w:jc w:val="left"/>
            </w:pPr>
            <w:r>
              <w:rPr>
                <w:sz w:val="20"/>
              </w:rPr>
              <w:t>Budget utilization reports for placement drives, incubation expenses, entrepreneurship cell reports</w:t>
            </w:r>
          </w:p>
        </w:tc>
      </w:tr>
      <w:tr>
        <w:trPr>
          <w:cantSplit w:val="true"/>
        </w:trPr>
        <w:tc>
          <w:tcPr>
            <w:tcW w:type="dxa" w:w="1814"/>
            <w:shd w:val="clear" w:color="auto" w:fill="E8EEF5"/>
          </w:tcPr>
          <w:p>
            <w:pPr>
              <w:spacing w:after="20" w:before="20" w:line="240" w:lineRule="auto"/>
              <w:jc w:val="left"/>
            </w:pPr>
            <w:r>
              <w:rPr>
                <w:sz w:val="20"/>
              </w:rPr>
              <w:t>Outreach &amp; Inclusivity (OI)</w:t>
            </w:r>
          </w:p>
        </w:tc>
        <w:tc>
          <w:tcPr>
            <w:tcW w:type="dxa" w:w="2211"/>
            <w:shd w:val="clear" w:color="auto" w:fill="E8EEF5"/>
          </w:tcPr>
          <w:p>
            <w:pPr>
              <w:spacing w:after="20" w:before="20" w:line="240" w:lineRule="auto"/>
              <w:jc w:val="left"/>
            </w:pPr>
            <w:r>
              <w:rPr>
                <w:sz w:val="20"/>
              </w:rPr>
              <w:t>Regional diversity, gender equity, inclusivity</w:t>
            </w:r>
          </w:p>
        </w:tc>
        <w:tc>
          <w:tcPr>
            <w:tcW w:type="dxa" w:w="2721"/>
            <w:shd w:val="clear" w:color="auto" w:fill="E8EEF5"/>
          </w:tcPr>
          <w:p>
            <w:pPr>
              <w:spacing w:after="20" w:before="20" w:line="240" w:lineRule="auto"/>
              <w:jc w:val="left"/>
            </w:pPr>
            <w:r>
              <w:rPr>
                <w:sz w:val="20"/>
              </w:rPr>
              <w:t>Scholarship funds, financial aid, support for disadvantaged groups, gender sensitization programs</w:t>
            </w:r>
          </w:p>
        </w:tc>
        <w:tc>
          <w:tcPr>
            <w:tcW w:type="dxa" w:w="2494"/>
            <w:shd w:val="clear" w:color="auto" w:fill="E8EEF5"/>
          </w:tcPr>
          <w:p>
            <w:pPr>
              <w:spacing w:after="20" w:before="20" w:line="240" w:lineRule="auto"/>
              <w:jc w:val="left"/>
            </w:pPr>
            <w:r>
              <w:rPr>
                <w:sz w:val="20"/>
              </w:rPr>
              <w:t>Scholarship disbursement records, inclusivity program expenditure, welfare fund utilization</w:t>
            </w:r>
          </w:p>
        </w:tc>
      </w:tr>
      <w:tr>
        <w:trPr>
          <w:cantSplit w:val="true"/>
        </w:trPr>
        <w:tc>
          <w:tcPr>
            <w:tcW w:type="dxa" w:w="1814"/>
          </w:tcPr>
          <w:p>
            <w:pPr>
              <w:spacing w:after="20" w:before="20" w:line="240" w:lineRule="auto"/>
              <w:jc w:val="left"/>
            </w:pPr>
            <w:r>
              <w:rPr>
                <w:sz w:val="20"/>
              </w:rPr>
              <w:t>Perception (PR)</w:t>
            </w:r>
          </w:p>
        </w:tc>
        <w:tc>
          <w:tcPr>
            <w:tcW w:type="dxa" w:w="2211"/>
          </w:tcPr>
          <w:p>
            <w:pPr>
              <w:spacing w:after="20" w:before="20" w:line="240" w:lineRule="auto"/>
              <w:jc w:val="left"/>
            </w:pPr>
            <w:r>
              <w:rPr>
                <w:sz w:val="20"/>
              </w:rPr>
              <w:t>Employer &amp; academic reputation</w:t>
            </w:r>
          </w:p>
        </w:tc>
        <w:tc>
          <w:tcPr>
            <w:tcW w:type="dxa" w:w="2721"/>
          </w:tcPr>
          <w:p>
            <w:pPr>
              <w:spacing w:after="20" w:before="20" w:line="240" w:lineRule="auto"/>
              <w:jc w:val="left"/>
            </w:pPr>
            <w:r>
              <w:rPr>
                <w:sz w:val="20"/>
              </w:rPr>
              <w:t>Investments in branding, industry–academia partnerships, MoUs, outreach activities</w:t>
            </w:r>
          </w:p>
        </w:tc>
        <w:tc>
          <w:tcPr>
            <w:tcW w:type="dxa" w:w="2494"/>
          </w:tcPr>
          <w:p>
            <w:pPr>
              <w:spacing w:after="20" w:before="20" w:line="240" w:lineRule="auto"/>
              <w:jc w:val="left"/>
            </w:pPr>
            <w:r>
              <w:rPr>
                <w:sz w:val="20"/>
              </w:rPr>
              <w:t>MoU records, corporate sponsorship expenditure, outreach event budgets</w:t>
            </w:r>
          </w:p>
        </w:tc>
      </w:tr>
    </w:tbl>
    <w:p>
      <w:pPr>
        <w:spacing w:after="80" w:line="240" w:lineRule="auto"/>
      </w:pPr>
    </w:p>
    <w:p>
      <w:pPr>
        <w:spacing w:after="0"/>
      </w:pPr>
      <w:r>
        <w:br w:type="page"/>
      </w:r>
    </w:p>
    <w:p>
      <w:pPr>
        <w:pStyle w:val="Heading1"/>
        <w:spacing w:before="0"/>
      </w:pPr>
      <w:r>
        <w:rPr/>
        <w:t>58. Financial Operations and Management Policy – Mapping to QS I-GAUGE Criteria</w:t>
      </w:r>
    </w:p>
    <w:tbl>
      <w:tblPr>
        <w:tblW w:type="dxa" w:w="9242"/>
        <w:jc w:val="center"/>
        <w:tblLayout w:type="fixed"/>
        <w:tblLook w:firstColumn="1" w:firstRow="1" w:lastColumn="0" w:lastRow="0" w:noHBand="0" w:noVBand="1" w:val="04A0"/>
        <w:tblBorders>
          <w:top w:val="single" w:sz="4" w:color="8EA3BC"/>
          <w:left w:val="single" w:sz="4" w:color="8EA3BC"/>
          <w:bottom w:val="single" w:sz="4" w:color="8EA3BC"/>
          <w:right w:val="single" w:sz="4" w:color="8EA3BC"/>
          <w:insideH w:val="single" w:sz="4" w:color="8EA3BC"/>
          <w:insideV w:val="single" w:sz="4" w:color="8EA3BC"/>
        </w:tblBorders>
        <w:tblLayout w:type="fixed"/>
      </w:tblPr>
      <w:tblGrid>
        <w:gridCol w:w="2041"/>
        <w:gridCol w:w="2154"/>
        <w:gridCol w:w="2721"/>
        <w:gridCol w:w="2324"/>
      </w:tblGrid>
      <w:tr>
        <w:trPr>
          <w:cantSplit w:val="true"/>
          <w:tblHeader w:val="true"/>
        </w:trPr>
        <w:tc>
          <w:tcPr>
            <w:tcW w:type="dxa" w:w="2041"/>
            <w:shd w:val="clear" w:color="auto" w:fill="1F3A5F"/>
          </w:tcPr>
          <w:p>
            <w:pPr>
              <w:spacing w:after="20" w:before="20" w:line="240" w:lineRule="auto"/>
              <w:jc w:val="left"/>
            </w:pPr>
            <w:r>
              <w:rPr>
                <w:b/>
                <w:color w:val="FFFFFF"/>
                <w:sz w:val="20"/>
              </w:rPr>
              <w:t>QS I-GAUGE Parameter</w:t>
            </w:r>
          </w:p>
        </w:tc>
        <w:tc>
          <w:tcPr>
            <w:tcW w:type="dxa" w:w="2154"/>
            <w:shd w:val="clear" w:color="auto" w:fill="1F3A5F"/>
          </w:tcPr>
          <w:p>
            <w:pPr>
              <w:spacing w:after="20" w:before="20" w:line="240" w:lineRule="auto"/>
              <w:jc w:val="left"/>
            </w:pPr>
            <w:r>
              <w:rPr>
                <w:b/>
                <w:color w:val="FFFFFF"/>
                <w:sz w:val="20"/>
              </w:rPr>
              <w:t>Focus Area</w:t>
            </w:r>
          </w:p>
        </w:tc>
        <w:tc>
          <w:tcPr>
            <w:tcW w:type="dxa" w:w="2721"/>
            <w:shd w:val="clear" w:color="auto" w:fill="1F3A5F"/>
          </w:tcPr>
          <w:p>
            <w:pPr>
              <w:spacing w:after="20" w:before="20" w:line="240" w:lineRule="auto"/>
              <w:jc w:val="left"/>
            </w:pPr>
            <w:r>
              <w:rPr>
                <w:b/>
                <w:color w:val="FFFFFF"/>
                <w:sz w:val="20"/>
              </w:rPr>
              <w:t>Finance Policy Provisions</w:t>
            </w:r>
          </w:p>
        </w:tc>
        <w:tc>
          <w:tcPr>
            <w:tcW w:type="dxa" w:w="2324"/>
            <w:shd w:val="clear" w:color="auto" w:fill="1F3A5F"/>
          </w:tcPr>
          <w:p>
            <w:pPr>
              <w:spacing w:after="20" w:before="20" w:line="240" w:lineRule="auto"/>
              <w:jc w:val="left"/>
            </w:pPr>
            <w:r>
              <w:rPr>
                <w:b/>
                <w:color w:val="FFFFFF"/>
                <w:sz w:val="20"/>
              </w:rPr>
              <w:t>Evidence for Rating Submission</w:t>
            </w:r>
          </w:p>
        </w:tc>
      </w:tr>
      <w:tr>
        <w:trPr>
          <w:cantSplit w:val="true"/>
        </w:trPr>
        <w:tc>
          <w:tcPr>
            <w:tcW w:type="dxa" w:w="2041"/>
          </w:tcPr>
          <w:p>
            <w:pPr>
              <w:spacing w:after="20" w:before="20" w:line="240" w:lineRule="auto"/>
              <w:jc w:val="left"/>
            </w:pPr>
            <w:r>
              <w:rPr>
                <w:sz w:val="20"/>
              </w:rPr>
              <w:t>Teaching &amp; Learning</w:t>
            </w:r>
          </w:p>
        </w:tc>
        <w:tc>
          <w:tcPr>
            <w:tcW w:type="dxa" w:w="2154"/>
          </w:tcPr>
          <w:p>
            <w:pPr>
              <w:spacing w:after="20" w:before="20" w:line="240" w:lineRule="auto"/>
              <w:jc w:val="left"/>
            </w:pPr>
            <w:r>
              <w:rPr>
                <w:sz w:val="20"/>
              </w:rPr>
              <w:t>Faculty quality, pedagogy, student–faculty ratio</w:t>
            </w:r>
          </w:p>
        </w:tc>
        <w:tc>
          <w:tcPr>
            <w:tcW w:type="dxa" w:w="2721"/>
          </w:tcPr>
          <w:p>
            <w:pPr>
              <w:spacing w:after="20" w:before="20" w:line="240" w:lineRule="auto"/>
              <w:jc w:val="left"/>
            </w:pPr>
            <w:r>
              <w:rPr>
                <w:sz w:val="20"/>
              </w:rPr>
              <w:t>Budget allocation for faculty recruitment, training programs, ICT-enabled classrooms</w:t>
            </w:r>
          </w:p>
        </w:tc>
        <w:tc>
          <w:tcPr>
            <w:tcW w:type="dxa" w:w="2324"/>
          </w:tcPr>
          <w:p>
            <w:pPr>
              <w:spacing w:after="20" w:before="20" w:line="240" w:lineRule="auto"/>
              <w:jc w:val="left"/>
            </w:pPr>
            <w:r>
              <w:rPr>
                <w:sz w:val="20"/>
              </w:rPr>
              <w:t>Faculty development fund records, ICT &amp; smart classroom expenses</w:t>
            </w:r>
          </w:p>
        </w:tc>
      </w:tr>
      <w:tr>
        <w:trPr>
          <w:cantSplit w:val="true"/>
        </w:trPr>
        <w:tc>
          <w:tcPr>
            <w:tcW w:type="dxa" w:w="2041"/>
            <w:shd w:val="clear" w:color="auto" w:fill="E8EEF5"/>
          </w:tcPr>
          <w:p>
            <w:pPr>
              <w:spacing w:after="20" w:before="20" w:line="240" w:lineRule="auto"/>
              <w:jc w:val="left"/>
            </w:pPr>
            <w:r>
              <w:rPr>
                <w:sz w:val="20"/>
              </w:rPr>
              <w:t>Employability</w:t>
            </w:r>
          </w:p>
        </w:tc>
        <w:tc>
          <w:tcPr>
            <w:tcW w:type="dxa" w:w="2154"/>
            <w:shd w:val="clear" w:color="auto" w:fill="E8EEF5"/>
          </w:tcPr>
          <w:p>
            <w:pPr>
              <w:spacing w:after="20" w:before="20" w:line="240" w:lineRule="auto"/>
              <w:jc w:val="left"/>
            </w:pPr>
            <w:r>
              <w:rPr>
                <w:sz w:val="20"/>
              </w:rPr>
              <w:t>Placements, internships, industry linkages</w:t>
            </w:r>
          </w:p>
        </w:tc>
        <w:tc>
          <w:tcPr>
            <w:tcW w:type="dxa" w:w="2721"/>
            <w:shd w:val="clear" w:color="auto" w:fill="E8EEF5"/>
          </w:tcPr>
          <w:p>
            <w:pPr>
              <w:spacing w:after="20" w:before="20" w:line="240" w:lineRule="auto"/>
              <w:jc w:val="left"/>
            </w:pPr>
            <w:r>
              <w:rPr>
                <w:sz w:val="20"/>
              </w:rPr>
              <w:t>Funding for career services, internship support, incubation centres, MoUs with industry</w:t>
            </w:r>
          </w:p>
        </w:tc>
        <w:tc>
          <w:tcPr>
            <w:tcW w:type="dxa" w:w="2324"/>
            <w:shd w:val="clear" w:color="auto" w:fill="E8EEF5"/>
          </w:tcPr>
          <w:p>
            <w:pPr>
              <w:spacing w:after="20" w:before="20" w:line="240" w:lineRule="auto"/>
              <w:jc w:val="left"/>
            </w:pPr>
            <w:r>
              <w:rPr>
                <w:sz w:val="20"/>
              </w:rPr>
              <w:t>Placement cell budget, internship support records, industry collaboration MoUs</w:t>
            </w:r>
          </w:p>
        </w:tc>
      </w:tr>
      <w:tr>
        <w:trPr>
          <w:cantSplit w:val="true"/>
        </w:trPr>
        <w:tc>
          <w:tcPr>
            <w:tcW w:type="dxa" w:w="2041"/>
          </w:tcPr>
          <w:p>
            <w:pPr>
              <w:spacing w:after="20" w:before="20" w:line="240" w:lineRule="auto"/>
              <w:jc w:val="left"/>
            </w:pPr>
            <w:r>
              <w:rPr>
                <w:sz w:val="20"/>
              </w:rPr>
              <w:t>Facilities</w:t>
            </w:r>
          </w:p>
        </w:tc>
        <w:tc>
          <w:tcPr>
            <w:tcW w:type="dxa" w:w="2154"/>
          </w:tcPr>
          <w:p>
            <w:pPr>
              <w:spacing w:after="20" w:before="20" w:line="240" w:lineRule="auto"/>
              <w:jc w:val="left"/>
            </w:pPr>
            <w:r>
              <w:rPr>
                <w:sz w:val="20"/>
              </w:rPr>
              <w:t>Infrastructure, labs, library, ICT resources</w:t>
            </w:r>
          </w:p>
        </w:tc>
        <w:tc>
          <w:tcPr>
            <w:tcW w:type="dxa" w:w="2721"/>
          </w:tcPr>
          <w:p>
            <w:pPr>
              <w:spacing w:after="20" w:before="20" w:line="240" w:lineRule="auto"/>
              <w:jc w:val="left"/>
            </w:pPr>
            <w:r>
              <w:rPr>
                <w:sz w:val="20"/>
              </w:rPr>
              <w:t>Capital expenditure for labs, library subscriptions, sports and hostel facilities</w:t>
            </w:r>
          </w:p>
        </w:tc>
        <w:tc>
          <w:tcPr>
            <w:tcW w:type="dxa" w:w="2324"/>
          </w:tcPr>
          <w:p>
            <w:pPr>
              <w:spacing w:after="20" w:before="20" w:line="240" w:lineRule="auto"/>
              <w:jc w:val="left"/>
            </w:pPr>
            <w:r>
              <w:rPr>
                <w:sz w:val="20"/>
              </w:rPr>
              <w:t>Asset registers, invoices for lab/library upgrades, infrastructure budget</w:t>
            </w:r>
          </w:p>
        </w:tc>
      </w:tr>
      <w:tr>
        <w:trPr>
          <w:cantSplit w:val="true"/>
        </w:trPr>
        <w:tc>
          <w:tcPr>
            <w:tcW w:type="dxa" w:w="2041"/>
            <w:shd w:val="clear" w:color="auto" w:fill="E8EEF5"/>
          </w:tcPr>
          <w:p>
            <w:pPr>
              <w:spacing w:after="20" w:before="20" w:line="240" w:lineRule="auto"/>
              <w:jc w:val="left"/>
            </w:pPr>
            <w:r>
              <w:rPr>
                <w:sz w:val="20"/>
              </w:rPr>
              <w:t>Social Responsibility</w:t>
            </w:r>
          </w:p>
        </w:tc>
        <w:tc>
          <w:tcPr>
            <w:tcW w:type="dxa" w:w="2154"/>
            <w:shd w:val="clear" w:color="auto" w:fill="E8EEF5"/>
          </w:tcPr>
          <w:p>
            <w:pPr>
              <w:spacing w:after="20" w:before="20" w:line="240" w:lineRule="auto"/>
              <w:jc w:val="left"/>
            </w:pPr>
            <w:r>
              <w:rPr>
                <w:sz w:val="20"/>
              </w:rPr>
              <w:t>Community engagement, sustainability, inclusivity</w:t>
            </w:r>
          </w:p>
        </w:tc>
        <w:tc>
          <w:tcPr>
            <w:tcW w:type="dxa" w:w="2721"/>
            <w:shd w:val="clear" w:color="auto" w:fill="E8EEF5"/>
          </w:tcPr>
          <w:p>
            <w:pPr>
              <w:spacing w:after="20" w:before="20" w:line="240" w:lineRule="auto"/>
              <w:jc w:val="left"/>
            </w:pPr>
            <w:r>
              <w:rPr>
                <w:sz w:val="20"/>
              </w:rPr>
              <w:t>Funds for outreach, scholarships, green campus initiatives, gender sensitization</w:t>
            </w:r>
          </w:p>
        </w:tc>
        <w:tc>
          <w:tcPr>
            <w:tcW w:type="dxa" w:w="2324"/>
            <w:shd w:val="clear" w:color="auto" w:fill="E8EEF5"/>
          </w:tcPr>
          <w:p>
            <w:pPr>
              <w:spacing w:after="20" w:before="20" w:line="240" w:lineRule="auto"/>
              <w:jc w:val="left"/>
            </w:pPr>
            <w:r>
              <w:rPr>
                <w:sz w:val="20"/>
              </w:rPr>
              <w:t>CSR expenditure reports, scholarship disbursement, sustainability audit bills</w:t>
            </w:r>
          </w:p>
        </w:tc>
      </w:tr>
      <w:tr>
        <w:trPr>
          <w:cantSplit w:val="true"/>
        </w:trPr>
        <w:tc>
          <w:tcPr>
            <w:tcW w:type="dxa" w:w="2041"/>
          </w:tcPr>
          <w:p>
            <w:pPr>
              <w:spacing w:after="20" w:before="20" w:line="240" w:lineRule="auto"/>
              <w:jc w:val="left"/>
            </w:pPr>
            <w:r>
              <w:rPr>
                <w:sz w:val="20"/>
              </w:rPr>
              <w:t>Diversity &amp; Accessibility</w:t>
            </w:r>
          </w:p>
        </w:tc>
        <w:tc>
          <w:tcPr>
            <w:tcW w:type="dxa" w:w="2154"/>
          </w:tcPr>
          <w:p>
            <w:pPr>
              <w:spacing w:after="20" w:before="20" w:line="240" w:lineRule="auto"/>
              <w:jc w:val="left"/>
            </w:pPr>
            <w:r>
              <w:rPr>
                <w:sz w:val="20"/>
              </w:rPr>
              <w:t>Inclusion of students from varied backgrounds</w:t>
            </w:r>
          </w:p>
        </w:tc>
        <w:tc>
          <w:tcPr>
            <w:tcW w:type="dxa" w:w="2721"/>
          </w:tcPr>
          <w:p>
            <w:pPr>
              <w:spacing w:after="20" w:before="20" w:line="240" w:lineRule="auto"/>
              <w:jc w:val="left"/>
            </w:pPr>
            <w:r>
              <w:rPr>
                <w:sz w:val="20"/>
              </w:rPr>
              <w:t>Financial aid, fee waivers, support for differently-abled students, international student services</w:t>
            </w:r>
          </w:p>
        </w:tc>
        <w:tc>
          <w:tcPr>
            <w:tcW w:type="dxa" w:w="2324"/>
          </w:tcPr>
          <w:p>
            <w:pPr>
              <w:spacing w:after="20" w:before="20" w:line="240" w:lineRule="auto"/>
              <w:jc w:val="left"/>
            </w:pPr>
            <w:r>
              <w:rPr>
                <w:sz w:val="20"/>
              </w:rPr>
              <w:t>Scholarship fund utilization, diversity program records, student support budgets</w:t>
            </w:r>
          </w:p>
        </w:tc>
      </w:tr>
      <w:tr>
        <w:trPr>
          <w:cantSplit w:val="true"/>
        </w:trPr>
        <w:tc>
          <w:tcPr>
            <w:tcW w:type="dxa" w:w="2041"/>
            <w:shd w:val="clear" w:color="auto" w:fill="E8EEF5"/>
          </w:tcPr>
          <w:p>
            <w:pPr>
              <w:spacing w:after="20" w:before="20" w:line="240" w:lineRule="auto"/>
              <w:jc w:val="left"/>
            </w:pPr>
            <w:r>
              <w:rPr>
                <w:sz w:val="20"/>
              </w:rPr>
              <w:t>Research &amp; Innovation</w:t>
            </w:r>
          </w:p>
        </w:tc>
        <w:tc>
          <w:tcPr>
            <w:tcW w:type="dxa" w:w="2154"/>
            <w:shd w:val="clear" w:color="auto" w:fill="E8EEF5"/>
          </w:tcPr>
          <w:p>
            <w:pPr>
              <w:spacing w:after="20" w:before="20" w:line="240" w:lineRule="auto"/>
              <w:jc w:val="left"/>
            </w:pPr>
            <w:r>
              <w:rPr>
                <w:sz w:val="20"/>
              </w:rPr>
              <w:t>Research productivity, patents, collaborations</w:t>
            </w:r>
          </w:p>
        </w:tc>
        <w:tc>
          <w:tcPr>
            <w:tcW w:type="dxa" w:w="2721"/>
            <w:shd w:val="clear" w:color="auto" w:fill="E8EEF5"/>
          </w:tcPr>
          <w:p>
            <w:pPr>
              <w:spacing w:after="20" w:before="20" w:line="240" w:lineRule="auto"/>
              <w:jc w:val="left"/>
            </w:pPr>
            <w:r>
              <w:rPr>
                <w:sz w:val="20"/>
              </w:rPr>
              <w:t>Provisions for research grants, patent filing, seed funding, conference participation</w:t>
            </w:r>
          </w:p>
        </w:tc>
        <w:tc>
          <w:tcPr>
            <w:tcW w:type="dxa" w:w="2324"/>
            <w:shd w:val="clear" w:color="auto" w:fill="E8EEF5"/>
          </w:tcPr>
          <w:p>
            <w:pPr>
              <w:spacing w:after="20" w:before="20" w:line="240" w:lineRule="auto"/>
              <w:jc w:val="left"/>
            </w:pPr>
            <w:r>
              <w:rPr>
                <w:sz w:val="20"/>
              </w:rPr>
              <w:t>Research funding sanction letters, utilization records, patent fee receipts</w:t>
            </w:r>
          </w:p>
        </w:tc>
      </w:tr>
      <w:tr>
        <w:trPr>
          <w:cantSplit w:val="true"/>
        </w:trPr>
        <w:tc>
          <w:tcPr>
            <w:tcW w:type="dxa" w:w="2041"/>
          </w:tcPr>
          <w:p>
            <w:pPr>
              <w:spacing w:after="20" w:before="20" w:line="240" w:lineRule="auto"/>
              <w:jc w:val="left"/>
            </w:pPr>
            <w:r>
              <w:rPr>
                <w:sz w:val="20"/>
              </w:rPr>
              <w:t>Entrepreneurship</w:t>
            </w:r>
          </w:p>
        </w:tc>
        <w:tc>
          <w:tcPr>
            <w:tcW w:type="dxa" w:w="2154"/>
          </w:tcPr>
          <w:p>
            <w:pPr>
              <w:spacing w:after="20" w:before="20" w:line="240" w:lineRule="auto"/>
              <w:jc w:val="left"/>
            </w:pPr>
            <w:r>
              <w:rPr>
                <w:sz w:val="20"/>
              </w:rPr>
              <w:t>Start-up ecosystem, incubation, innovation support</w:t>
            </w:r>
          </w:p>
        </w:tc>
        <w:tc>
          <w:tcPr>
            <w:tcW w:type="dxa" w:w="2721"/>
          </w:tcPr>
          <w:p>
            <w:pPr>
              <w:spacing w:after="20" w:before="20" w:line="240" w:lineRule="auto"/>
              <w:jc w:val="left"/>
            </w:pPr>
            <w:r>
              <w:rPr>
                <w:sz w:val="20"/>
              </w:rPr>
              <w:t>Budget support for incubation centres, entrepreneurship development cells, start-up seed funds</w:t>
            </w:r>
          </w:p>
        </w:tc>
        <w:tc>
          <w:tcPr>
            <w:tcW w:type="dxa" w:w="2324"/>
          </w:tcPr>
          <w:p>
            <w:pPr>
              <w:spacing w:after="20" w:before="20" w:line="240" w:lineRule="auto"/>
              <w:jc w:val="left"/>
            </w:pPr>
            <w:r>
              <w:rPr>
                <w:sz w:val="20"/>
              </w:rPr>
              <w:t>Incubation fund allocation, start-up funding records, entrepreneurship activity reports</w:t>
            </w:r>
          </w:p>
        </w:tc>
      </w:tr>
      <w:tr>
        <w:trPr>
          <w:cantSplit w:val="true"/>
        </w:trPr>
        <w:tc>
          <w:tcPr>
            <w:tcW w:type="dxa" w:w="2041"/>
            <w:shd w:val="clear" w:color="auto" w:fill="E8EEF5"/>
          </w:tcPr>
          <w:p>
            <w:pPr>
              <w:spacing w:after="20" w:before="20" w:line="240" w:lineRule="auto"/>
              <w:jc w:val="left"/>
            </w:pPr>
            <w:r>
              <w:rPr>
                <w:sz w:val="20"/>
              </w:rPr>
              <w:t>Governance &amp; Structure</w:t>
            </w:r>
          </w:p>
        </w:tc>
        <w:tc>
          <w:tcPr>
            <w:tcW w:type="dxa" w:w="2154"/>
            <w:shd w:val="clear" w:color="auto" w:fill="E8EEF5"/>
          </w:tcPr>
          <w:p>
            <w:pPr>
              <w:spacing w:after="20" w:before="20" w:line="240" w:lineRule="auto"/>
              <w:jc w:val="left"/>
            </w:pPr>
            <w:r>
              <w:rPr>
                <w:sz w:val="20"/>
              </w:rPr>
              <w:t>Transparency, financial accountability</w:t>
            </w:r>
          </w:p>
        </w:tc>
        <w:tc>
          <w:tcPr>
            <w:tcW w:type="dxa" w:w="2721"/>
            <w:shd w:val="clear" w:color="auto" w:fill="E8EEF5"/>
          </w:tcPr>
          <w:p>
            <w:pPr>
              <w:spacing w:after="20" w:before="20" w:line="240" w:lineRule="auto"/>
              <w:jc w:val="left"/>
            </w:pPr>
            <w:r>
              <w:rPr>
                <w:sz w:val="20"/>
              </w:rPr>
              <w:t>Standard accounting practices, statutory audits, budget monitoring, compliance with regulations</w:t>
            </w:r>
          </w:p>
        </w:tc>
        <w:tc>
          <w:tcPr>
            <w:tcW w:type="dxa" w:w="2324"/>
            <w:shd w:val="clear" w:color="auto" w:fill="E8EEF5"/>
          </w:tcPr>
          <w:p>
            <w:pPr>
              <w:spacing w:after="20" w:before="20" w:line="240" w:lineRule="auto"/>
              <w:jc w:val="left"/>
            </w:pPr>
            <w:r>
              <w:rPr>
                <w:sz w:val="20"/>
              </w:rPr>
              <w:t>Annual financial statements, audit reports, finance committee minutes</w:t>
            </w:r>
          </w:p>
        </w:tc>
      </w:tr>
    </w:tbl>
    <w:p>
      <w:pPr>
        <w:spacing w:after="80" w:line="240" w:lineRule="auto"/>
      </w:pPr>
    </w:p>
    <w:p>
      <w:pPr>
        <w:spacing w:after="0"/>
      </w:pPr>
      <w:r>
        <w:br w:type="page"/>
      </w:r>
    </w:p>
    <w:p>
      <w:pPr>
        <w:pStyle w:val="Heading1"/>
        <w:spacing w:before="0"/>
      </w:pPr>
      <w:r>
        <w:rPr/>
        <w:t>55. References</w:t>
      </w:r>
    </w:p>
    <w:p>
      <w:pPr>
        <w:tabs>
          <w:tab w:pos="425" w:val="left"/>
        </w:tabs>
        <w:spacing w:after="60"/>
        <w:ind w:left="425" w:hanging="425"/>
      </w:pPr>
      <w:r>
        <w:rPr>
          <w:b/>
        </w:rPr>
        <w:t>1.</w:t>
      </w:r>
      <w:r>
        <w:rPr/>
        <w:tab/>
      </w:r>
      <w:r>
        <w:rPr>
          <w:b/>
        </w:rPr>
        <w:t>Qualitative Metrics (QlM) and Quantitative Metrics (QnM) in Higher Educational Institutions (HEIs) : As Applied in NAAC, NBA, and NIRF Frameworks, Kindle Edition, ASIN : B0F6CR212X</w:t>
      </w:r>
    </w:p>
    <w:p>
      <w:r>
        <w:rPr/>
        <w:t>https://amzn.in/d/gUWl02e</w:t>
      </w:r>
    </w:p>
    <w:p>
      <w:pPr>
        <w:tabs>
          <w:tab w:pos="425" w:val="left"/>
        </w:tabs>
        <w:spacing w:after="60"/>
        <w:ind w:left="425" w:hanging="425"/>
      </w:pPr>
      <w:r>
        <w:rPr>
          <w:b/>
        </w:rPr>
        <w:t>2.</w:t>
      </w:r>
      <w:r>
        <w:rPr/>
        <w:tab/>
      </w:r>
      <w:r>
        <w:rPr>
          <w:b/>
        </w:rPr>
        <w:t>Statutory and Non-Statutory Committees in Higher Educational Institutions (HEIs): Mandatory by regulatory bodies like AICTE, UGC, NAAC, NBA, etc. Kindle Edition, ASIN : B0F7GHJ863</w:t>
      </w:r>
    </w:p>
    <w:p>
      <w:r>
        <w:rPr/>
        <w:t>https://amzn.in/d/gf0LiBn</w:t>
      </w:r>
    </w:p>
    <w:p>
      <w:pPr>
        <w:tabs>
          <w:tab w:pos="425" w:val="left"/>
        </w:tabs>
        <w:spacing w:after="60"/>
        <w:ind w:left="425" w:hanging="425"/>
      </w:pPr>
      <w:r>
        <w:rPr>
          <w:b/>
        </w:rPr>
        <w:t>3.</w:t>
      </w:r>
      <w:r>
        <w:rPr/>
        <w:tab/>
      </w:r>
      <w:r>
        <w:rPr>
          <w:b/>
        </w:rPr>
        <w:t>Empowering Academic Skilling and Mathematical Modelling through Technical Computing Languages in Higher Education Institutions, Kindle Edition, ASIN : B0FC7TNZNG</w:t>
      </w:r>
    </w:p>
    <w:p>
      <w:r>
        <w:rPr/>
        <w:t>https://amzn.in/d/brIlQwZ</w:t>
      </w:r>
    </w:p>
    <w:p>
      <w:pPr>
        <w:tabs>
          <w:tab w:pos="425" w:val="left"/>
        </w:tabs>
        <w:spacing w:after="60"/>
        <w:ind w:left="425" w:hanging="425"/>
      </w:pPr>
      <w:r>
        <w:rPr>
          <w:b/>
        </w:rPr>
        <w:t>4.</w:t>
      </w:r>
      <w:r>
        <w:rPr/>
        <w:tab/>
      </w:r>
      <w:r>
        <w:rPr>
          <w:b/>
        </w:rPr>
        <w:t>Research and Development Transformation in Higher Education Institutions, Kindle Edition, ASIN : B0FB9QFS88</w:t>
      </w:r>
    </w:p>
    <w:p>
      <w:r>
        <w:rPr/>
        <w:t>https://amzn.in/d/1uOQZ0o</w:t>
      </w:r>
    </w:p>
    <w:p>
      <w:pPr>
        <w:tabs>
          <w:tab w:pos="425" w:val="left"/>
        </w:tabs>
        <w:spacing w:after="60"/>
        <w:ind w:left="425" w:hanging="425"/>
      </w:pPr>
      <w:r>
        <w:rPr>
          <w:b/>
        </w:rPr>
        <w:t>5.</w:t>
      </w:r>
      <w:r>
        <w:rPr/>
        <w:tab/>
      </w:r>
      <w:r>
        <w:rPr>
          <w:b/>
        </w:rPr>
        <w:t>Institutional Development Plans in Higher Education: Empowering Institutions for the 21st Century Kindle Edition, ASIN : B0FDBV6D47</w:t>
      </w:r>
    </w:p>
    <w:p>
      <w:r>
        <w:rPr/>
        <w:t>https://amzn.in/d/ckm98I2</w:t>
      </w:r>
    </w:p>
    <w:p>
      <w:pPr>
        <w:tabs>
          <w:tab w:pos="425" w:val="left"/>
        </w:tabs>
        <w:spacing w:after="60"/>
        <w:ind w:left="425" w:hanging="425"/>
      </w:pPr>
      <w:r>
        <w:rPr>
          <w:b/>
        </w:rPr>
        <w:t>6.</w:t>
      </w:r>
      <w:r>
        <w:rPr/>
        <w:tab/>
      </w:r>
      <w:r>
        <w:rPr>
          <w:b/>
        </w:rPr>
        <w:t>Comprehensive Academic System in Higher Education Institutions, Kindle Edition, ASIN : B0FF2HDMSG</w:t>
      </w:r>
    </w:p>
    <w:p>
      <w:r>
        <w:rPr/>
        <w:t>https://amzn.in/d/dbPMaVL</w:t>
      </w:r>
    </w:p>
    <w:p>
      <w:pPr>
        <w:tabs>
          <w:tab w:pos="425" w:val="left"/>
        </w:tabs>
        <w:spacing w:after="60"/>
        <w:ind w:left="425" w:hanging="425"/>
      </w:pPr>
      <w:r>
        <w:rPr>
          <w:b/>
        </w:rPr>
        <w:t>7.</w:t>
      </w:r>
      <w:r>
        <w:rPr/>
        <w:tab/>
      </w:r>
      <w:r>
        <w:rPr>
          <w:b/>
        </w:rPr>
        <w:t>Structured Approaches to Teaching, Learning, and Student Engagement in HEIs, Kindle Edition, ASIN : B0DB8QK1B4</w:t>
      </w:r>
    </w:p>
    <w:p>
      <w:r>
        <w:rPr/>
        <w:t>https://amzn.in/d/7jNZrQo</w:t>
      </w:r>
    </w:p>
    <w:p>
      <w:pPr>
        <w:tabs>
          <w:tab w:pos="425" w:val="left"/>
        </w:tabs>
        <w:spacing w:after="60"/>
        <w:ind w:left="425" w:hanging="425"/>
      </w:pPr>
      <w:r>
        <w:rPr>
          <w:b/>
        </w:rPr>
        <w:t>8.</w:t>
      </w:r>
      <w:r>
        <w:rPr/>
        <w:tab/>
      </w:r>
      <w:r>
        <w:rPr>
          <w:b/>
        </w:rPr>
        <w:t>Admission Process in Indian Higher Education: A Comprehensive Institutional Guide Kindle Edition, ASIN : B0FFNCPP6P,</w:t>
      </w:r>
    </w:p>
    <w:p>
      <w:r>
        <w:rPr/>
        <w:t>https://amzn.in/d/0XO6APq</w:t>
      </w:r>
    </w:p>
    <w:p>
      <w:pPr>
        <w:tabs>
          <w:tab w:pos="425" w:val="left"/>
        </w:tabs>
        <w:spacing w:after="60"/>
        <w:ind w:left="425" w:hanging="425"/>
      </w:pPr>
      <w:r>
        <w:rPr>
          <w:b/>
        </w:rPr>
        <w:t>9.</w:t>
      </w:r>
      <w:r>
        <w:rPr/>
        <w:tab/>
      </w:r>
      <w:r>
        <w:rPr>
          <w:b/>
        </w:rPr>
        <w:t>Strategic Implementation of Best Practices in HEIs: Enhancing Quality, Innovation, and Impact, Kindle Edition, ASIN : B0CZP85QK7</w:t>
      </w:r>
    </w:p>
    <w:p>
      <w:r>
        <w:rPr/>
        <w:t>https://amzn.in/d/5uj5Lkb</w:t>
      </w:r>
    </w:p>
    <w:p>
      <w:pPr>
        <w:tabs>
          <w:tab w:pos="425" w:val="left"/>
        </w:tabs>
        <w:spacing w:after="60"/>
        <w:ind w:left="425" w:hanging="425"/>
      </w:pPr>
      <w:r>
        <w:rPr>
          <w:b/>
        </w:rPr>
        <w:t>10.</w:t>
      </w:r>
      <w:r>
        <w:rPr/>
        <w:tab/>
      </w:r>
      <w:r>
        <w:rPr>
          <w:b/>
        </w:rPr>
        <w:t>National Education Policy 2020: A Transformative Roadmap for Holistic, Inclusive, and Future-Ready Learning in India, Kindle Edition, ASIN : B0F1L321B6</w:t>
      </w:r>
    </w:p>
    <w:p>
      <w:r>
        <w:rPr/>
        <w:t>https://amzn.in/d/eugIo4y</w:t>
      </w:r>
    </w:p>
    <w:p>
      <w:pPr>
        <w:tabs>
          <w:tab w:pos="425" w:val="left"/>
        </w:tabs>
        <w:spacing w:after="60"/>
        <w:ind w:left="425" w:hanging="425"/>
      </w:pPr>
      <w:r>
        <w:rPr>
          <w:b/>
        </w:rPr>
        <w:t>11.</w:t>
      </w:r>
      <w:r>
        <w:rPr/>
        <w:tab/>
      </w:r>
      <w:r>
        <w:rPr>
          <w:b/>
        </w:rPr>
        <w:t>Outcome-Based Education in Higher Learning: Philosophy, Design, and Impact, Kindle Edition, ASIN : B0FPCB5GHH</w:t>
      </w:r>
    </w:p>
    <w:p>
      <w:r>
        <w:rPr/>
        <w:t>https://amzn.in/d/3oGmnue</w:t>
      </w:r>
    </w:p>
    <w:p>
      <w:pPr>
        <w:tabs>
          <w:tab w:pos="425" w:val="left"/>
        </w:tabs>
        <w:spacing w:after="60"/>
        <w:ind w:left="425" w:hanging="425"/>
      </w:pPr>
      <w:r>
        <w:rPr>
          <w:b/>
        </w:rPr>
        <w:t>12.</w:t>
      </w:r>
      <w:r>
        <w:rPr/>
        <w:tab/>
      </w:r>
      <w:r>
        <w:rPr>
          <w:b/>
        </w:rPr>
        <w:t>QS I-GAUGE: An Independent Rating Framework for Indian Higher Education, Kindle Edition, ASIN : B0FN4WBGLT</w:t>
      </w:r>
    </w:p>
    <w:p>
      <w:r>
        <w:rPr/>
        <w:t>https://amzn.in/d/2mlYjez</w:t>
      </w:r>
    </w:p>
    <w:p>
      <w:pPr>
        <w:tabs>
          <w:tab w:pos="425" w:val="left"/>
        </w:tabs>
        <w:spacing w:after="60"/>
        <w:ind w:left="425" w:hanging="425"/>
      </w:pPr>
      <w:r>
        <w:rPr>
          <w:b/>
        </w:rPr>
        <w:t>13.</w:t>
      </w:r>
      <w:r>
        <w:rPr/>
        <w:tab/>
      </w:r>
      <w:r>
        <w:rPr>
          <w:b/>
        </w:rPr>
        <w:t>NBA Accreditation Process for Tier-1 Institutions – Criterion 1: Outcome-Based Curriculum: Vision, Mission, PEOs, Curriculum Structure, CO–PO–PSO Mapping, and Articulation Framework, Kindle Edition, ASIN : B0FPDCG13D</w:t>
      </w:r>
    </w:p>
    <w:p>
      <w:r>
        <w:rPr/>
        <w:t>https://amzn.in/d/4fcc0jE</w:t>
      </w:r>
    </w:p>
    <w:p>
      <w:pPr>
        <w:tabs>
          <w:tab w:pos="425" w:val="left"/>
        </w:tabs>
        <w:spacing w:after="60"/>
        <w:ind w:left="425" w:hanging="425"/>
      </w:pPr>
      <w:r>
        <w:rPr>
          <w:b/>
        </w:rPr>
        <w:t>14.</w:t>
      </w:r>
      <w:r>
        <w:rPr/>
        <w:tab/>
      </w:r>
      <w:r>
        <w:rPr>
          <w:b/>
        </w:rPr>
        <w:t>NBA Accreditation Process for Tier-1 Institutions – Criterion 2: Outcome-Based Teaching–Learning (OBTL): A Framework of Systematic Processes, Evidence-Based Practices, and CQI in OBE Kindle Edition, ASIN : B0FPG4KFB1</w:t>
      </w:r>
    </w:p>
    <w:p>
      <w:r>
        <w:rPr/>
        <w:t>https://amzn.in/d/g1bchNl</w:t>
      </w:r>
    </w:p>
    <w:p>
      <w:pPr>
        <w:tabs>
          <w:tab w:pos="425" w:val="left"/>
        </w:tabs>
        <w:spacing w:after="60"/>
        <w:ind w:left="425" w:hanging="425"/>
      </w:pPr>
      <w:r>
        <w:rPr>
          <w:b/>
        </w:rPr>
        <w:t>15.</w:t>
      </w:r>
      <w:r>
        <w:rPr/>
        <w:tab/>
      </w:r>
      <w:r>
        <w:rPr>
          <w:b/>
        </w:rPr>
        <w:t>Systematic and Transparent Feedback Mechanism in Higher Education Institutions : Ensuring Continuous Quality Improvement (CQI) and Strengthening NAAC/NBA Accreditation Kindle Edition,ASIN : B0FPGJ77RC,</w:t>
      </w:r>
    </w:p>
    <w:p>
      <w:r>
        <w:rPr/>
        <w:t>https://amzn.in/d/emeRiJ3</w:t>
      </w:r>
    </w:p>
    <w:p>
      <w:pPr>
        <w:tabs>
          <w:tab w:pos="425" w:val="left"/>
        </w:tabs>
        <w:spacing w:after="60"/>
        <w:ind w:left="425" w:hanging="425"/>
      </w:pPr>
      <w:r>
        <w:rPr>
          <w:b/>
        </w:rPr>
        <w:t>16.</w:t>
      </w:r>
      <w:r>
        <w:rPr/>
        <w:tab/>
      </w:r>
      <w:r>
        <w:rPr>
          <w:b/>
        </w:rPr>
        <w:t>Internal Quality Assurance Cell (IQAC): A Framework for Sustaining and Enhancing Quality in Higher Education Kindle Edition, ASIN : B0FPLRX4YF</w:t>
      </w:r>
    </w:p>
    <w:p>
      <w:r>
        <w:rPr/>
        <w:t>https://amzn.in/d/8n5aQRb</w:t>
      </w:r>
    </w:p>
    <w:p>
      <w:pPr>
        <w:tabs>
          <w:tab w:pos="425" w:val="left"/>
        </w:tabs>
        <w:spacing w:after="60"/>
        <w:ind w:left="425" w:hanging="425"/>
      </w:pPr>
      <w:r>
        <w:rPr>
          <w:b/>
        </w:rPr>
        <w:t>17.</w:t>
      </w:r>
      <w:r>
        <w:rPr/>
        <w:tab/>
      </w:r>
      <w:r>
        <w:rPr>
          <w:b/>
        </w:rPr>
        <w:t>Comprehensive Guide for Teaching-Learning and Evaluation under NAAC Accreditation – Criterion 2 for Higher Education Institutions Kindle Edition, ASIN : B0FPRBZ2JH</w:t>
      </w:r>
    </w:p>
    <w:p>
      <w:r>
        <w:rPr/>
        <w:t>https://amzn.in/d/37Ltl4z</w:t>
      </w:r>
    </w:p>
    <w:p>
      <w:pPr>
        <w:tabs>
          <w:tab w:pos="425" w:val="left"/>
        </w:tabs>
        <w:spacing w:after="60"/>
        <w:ind w:left="425" w:hanging="425"/>
      </w:pPr>
      <w:r>
        <w:rPr>
          <w:b/>
        </w:rPr>
        <w:t>18.</w:t>
      </w:r>
      <w:r>
        <w:rPr/>
        <w:tab/>
      </w:r>
      <w:r>
        <w:rPr>
          <w:b/>
        </w:rPr>
        <w:t>Curricular Aspects under NAAC Accreditation – Criterion 1 for Higher Education Institutions: Ensuring Academic Flexibility, Curriculum Enrichment, and Alignment with NEP 2020 Kindle Edition,ASIN : B0FPR342MM</w:t>
      </w:r>
    </w:p>
    <w:p>
      <w:r>
        <w:rPr/>
        <w:t>https://amzn.in/d/0S10khp</w:t>
      </w:r>
    </w:p>
    <w:p>
      <w:pPr>
        <w:tabs>
          <w:tab w:pos="425" w:val="left"/>
        </w:tabs>
        <w:spacing w:after="60"/>
        <w:ind w:left="425" w:hanging="425"/>
      </w:pPr>
      <w:r>
        <w:rPr>
          <w:b/>
        </w:rPr>
        <w:t>19.</w:t>
      </w:r>
      <w:r>
        <w:rPr/>
        <w:tab/>
      </w:r>
      <w:r>
        <w:rPr>
          <w:b/>
        </w:rPr>
        <w:t>National Institutional Ranking Framework (NIRF): Transforming Indian Higher Education: A Comprehensive Analysis of Methodology, Parameters, and Impact, Kindle Edition, ASIN : B0FQ5MNVGR</w:t>
      </w:r>
    </w:p>
    <w:p>
      <w:r>
        <w:rPr/>
        <w:t>https://amzn.in/d/hhrZvux</w:t>
      </w:r>
    </w:p>
    <w:p>
      <w:pPr>
        <w:tabs>
          <w:tab w:pos="425" w:val="left"/>
        </w:tabs>
        <w:spacing w:after="60"/>
        <w:ind w:left="425" w:hanging="425"/>
      </w:pPr>
      <w:r>
        <w:rPr>
          <w:b/>
        </w:rPr>
        <w:t>20.</w:t>
      </w:r>
      <w:r>
        <w:rPr/>
        <w:tab/>
      </w:r>
      <w:r>
        <w:rPr>
          <w:b/>
        </w:rPr>
        <w:t>NBA Accreditation Process for Tier-1 Institutions – Criterion 3: Outcome-Based Assessment: Framework for Evaluating COs, POs, and PSOs in Compliance with NBA Accreditation Standards, Kindle Edition, ASIN : B0FQBQ21S1</w:t>
      </w:r>
    </w:p>
    <w:p>
      <w:r>
        <w:rPr/>
        <w:t>https://amzn.in/d/a2nGhnx</w:t>
      </w:r>
    </w:p>
    <w:p>
      <w:pPr>
        <w:tabs>
          <w:tab w:pos="425" w:val="left"/>
        </w:tabs>
        <w:spacing w:after="60"/>
        <w:ind w:left="425" w:hanging="425"/>
      </w:pPr>
      <w:r>
        <w:rPr>
          <w:b/>
        </w:rPr>
        <w:t>21.</w:t>
      </w:r>
      <w:r>
        <w:rPr/>
        <w:tab/>
      </w:r>
      <w:r>
        <w:rPr>
          <w:b/>
        </w:rPr>
        <w:t>NBA Accreditation Process for Tier-1 Institutions – Criterion 9: Student Support System and Governance: A Framework for Student Support, Governance, and Institutional Accountability in HEIs, Kindle Edition, ASIN : B0FQJ2KHPC</w:t>
      </w:r>
    </w:p>
    <w:p>
      <w:r>
        <w:rPr/>
        <w:t>https://amzn.in/d/dYBQik0</w:t>
      </w:r>
    </w:p>
    <w:p>
      <w:pPr>
        <w:tabs>
          <w:tab w:pos="425" w:val="left"/>
        </w:tabs>
        <w:spacing w:after="60"/>
        <w:ind w:left="425" w:hanging="425"/>
      </w:pPr>
      <w:r>
        <w:rPr>
          <w:b/>
        </w:rPr>
        <w:t>22.</w:t>
      </w:r>
      <w:r>
        <w:rPr/>
        <w:tab/>
      </w:r>
      <w:r>
        <w:rPr>
          <w:b/>
        </w:rPr>
        <w:t>NBA Accreditation Process for Tier-1 Institutions – Criterion 8: Continuous Improvement: Closing the Loop in Outcome-Based Education for Quality Enhancement, Kindle Edition, ASIN : B0FQJ75CNV</w:t>
      </w:r>
    </w:p>
    <w:p>
      <w:r>
        <w:rPr/>
        <w:t>https://amzn.in/d/1Vco5Ye</w:t>
      </w:r>
    </w:p>
    <w:p>
      <w:pPr>
        <w:tabs>
          <w:tab w:pos="425" w:val="left"/>
        </w:tabs>
        <w:spacing w:after="60"/>
        <w:ind w:left="425" w:hanging="425"/>
      </w:pPr>
      <w:r>
        <w:rPr>
          <w:b/>
        </w:rPr>
        <w:t>23.</w:t>
      </w:r>
      <w:r>
        <w:rPr/>
        <w:tab/>
      </w:r>
      <w:r>
        <w:rPr>
          <w:b/>
        </w:rPr>
        <w:t>Holistic Performance Appraisal and Development: Driving Continuous Quality in Higher Education Institutions, Kindle Edition, ASIN : B0FQN2S8WH</w:t>
      </w:r>
    </w:p>
    <w:p>
      <w:r>
        <w:rPr/>
        <w:t>https://amzn.in/d/bipHsu8</w:t>
      </w:r>
    </w:p>
    <w:p>
      <w:pPr>
        <w:tabs>
          <w:tab w:pos="425" w:val="left"/>
        </w:tabs>
        <w:spacing w:after="60"/>
        <w:ind w:left="425" w:hanging="425"/>
      </w:pPr>
      <w:r>
        <w:rPr>
          <w:b/>
        </w:rPr>
        <w:t>24.</w:t>
      </w:r>
      <w:r>
        <w:rPr/>
        <w:tab/>
      </w:r>
      <w:r>
        <w:rPr>
          <w:b/>
        </w:rPr>
        <w:t>NBA Accreditation Process for Tier-1 Institutions – Criterion 7: Facilities and Technical Support: A Comprehensive Guide to Facilities, Laboratories, and Technical Support in Accreditation, Kindle Edition, ASIN : B0FQPHYBRC</w:t>
      </w:r>
    </w:p>
    <w:p>
      <w:r>
        <w:rPr/>
        <w:t>https://amzn.in/d/9kAkdLZ</w:t>
      </w:r>
    </w:p>
    <w:p>
      <w:pPr>
        <w:tabs>
          <w:tab w:pos="425" w:val="left"/>
        </w:tabs>
        <w:spacing w:after="60"/>
        <w:ind w:left="425" w:hanging="425"/>
      </w:pPr>
      <w:r>
        <w:rPr>
          <w:b/>
        </w:rPr>
        <w:t>25.</w:t>
      </w:r>
      <w:r>
        <w:rPr/>
        <w:tab/>
      </w:r>
      <w:r>
        <w:rPr>
          <w:b/>
        </w:rPr>
        <w:t>Comprehensive Code of Ethics and Conduct for Students in Higher Education Institutions, Kindle Edition, ASIN : B0FQS7V248</w:t>
      </w:r>
    </w:p>
    <w:p>
      <w:r>
        <w:rPr/>
        <w:t>https://amzn.in/d/6jfKQnI</w:t>
      </w:r>
    </w:p>
    <w:p>
      <w:pPr>
        <w:tabs>
          <w:tab w:pos="425" w:val="left"/>
        </w:tabs>
        <w:spacing w:after="60"/>
        <w:ind w:left="425" w:hanging="425"/>
      </w:pPr>
      <w:r>
        <w:rPr>
          <w:b/>
        </w:rPr>
        <w:t>26.</w:t>
      </w:r>
      <w:r>
        <w:rPr/>
        <w:tab/>
      </w:r>
      <w:r>
        <w:rPr>
          <w:b/>
        </w:rPr>
        <w:t>Industry Internship Program: Structure, Guidelines, and Evaluation Framework : Enhancing Employability and Industry Linkages in HEIs, Kindle Edition, ASIN : B0FQLF8385</w:t>
      </w:r>
    </w:p>
    <w:p>
      <w:r>
        <w:rPr/>
        <w:t>https://amzn.in/d/8scRAIj</w:t>
      </w:r>
    </w:p>
    <w:p>
      <w:pPr>
        <w:tabs>
          <w:tab w:pos="425" w:val="left"/>
        </w:tabs>
        <w:spacing w:after="60"/>
        <w:ind w:left="425" w:hanging="425"/>
      </w:pPr>
      <w:r>
        <w:rPr>
          <w:b/>
        </w:rPr>
        <w:t>27.</w:t>
      </w:r>
      <w:r>
        <w:rPr/>
        <w:tab/>
      </w:r>
      <w:r>
        <w:rPr>
          <w:b/>
        </w:rPr>
        <w:t>Energy Management and Audit in Indian Educational Institutions: A Blueprint for Sustainable Growth : Mapping Institutional Energy Management to NAAC Criteria, SDG Goals, and QS I-GAUGE Standards, Kindle Edition, ASIN : B0FQZNSBJ5</w:t>
      </w:r>
    </w:p>
    <w:p>
      <w:r>
        <w:rPr/>
        <w:t>https://amzn.in/d/eKx5NC9</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510" w:hanging="284"/>
      </w:pPr>
      <w:rPr>
        <w:rFonts w:ascii="Symbol" w:hAnsi="Symbol" w:hint="default"/>
      </w:rPr>
    </w:lvl>
    <w:lvl w:ilvl="1">
      <w:start w:val="1"/>
      <w:numFmt w:val="bullet"/>
      <w:lvlText w:val="o"/>
      <w:lvlJc w:val="left"/>
      <w:pPr>
        <w:ind w:left="935" w:hanging="284"/>
      </w:pPr>
      <w:rPr>
        <w:rFonts w:ascii="Courier New" w:hAnsi="Courier New" w:hint="default"/>
      </w:rPr>
    </w:lvl>
    <w:lvl w:ilvl="2">
      <w:start w:val="1"/>
      <w:numFmt w:val="bullet"/>
      <w:lvlText w:val=""/>
      <w:lvlJc w:val="left"/>
      <w:pPr>
        <w:ind w:left="1360" w:hanging="284"/>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s="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Cambria" w:hAnsi="Cambria" w:cs="Cambria" w:eastAsia="Cambria"/>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Cambria" w:hAnsi="Cambria" w:cs="Cambria" w:eastAsia="Cambria"/>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Cambria" w:hAnsi="Cambria" w:cs="Cambria" w:eastAsia="Cambria"/>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